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before="56" w:line="186" w:lineRule="auto"/>
        <w:rPr>
          <w:rFonts w:ascii="Times New Roman" w:hAnsi="Times New Roman" w:eastAsia="Times New Roman" w:cs="Times New Roman"/>
          <w:sz w:val="28"/>
          <w:szCs w:val="28"/>
        </w:rPr>
      </w:pPr>
      <w:r>
        <w:rPr>
          <w:rFonts w:ascii="SimSun" w:hAnsi="SimSun" w:eastAsia="SimSun" w:cs="SimSun"/>
          <w:sz w:val="28"/>
          <w:szCs w:val="28"/>
          <w:spacing w:val="-6"/>
        </w:rPr>
        <w:t>公司代码:</w:t>
      </w:r>
      <w:r>
        <w:rPr>
          <w:rFonts w:ascii="SimSun" w:hAnsi="SimSun" w:eastAsia="SimSun" w:cs="SimSun"/>
          <w:sz w:val="28"/>
          <w:szCs w:val="28"/>
          <w:spacing w:val="46"/>
        </w:rPr>
        <w:t xml:space="preserve"> </w:t>
      </w:r>
      <w:r>
        <w:rPr>
          <w:rFonts w:ascii="Times New Roman" w:hAnsi="Times New Roman" w:eastAsia="Times New Roman" w:cs="Times New Roman"/>
          <w:sz w:val="28"/>
          <w:szCs w:val="28"/>
          <w:spacing w:val="-6"/>
        </w:rPr>
        <w:t>601328</w:t>
      </w:r>
    </w:p>
    <w:p>
      <w:pPr>
        <w:pStyle w:val="BodyText"/>
        <w:spacing w:line="14" w:lineRule="auto"/>
        <w:rPr>
          <w:sz w:val="2"/>
        </w:rPr>
      </w:pPr>
      <w:r>
        <w:rPr>
          <w:sz w:val="2"/>
          <w:szCs w:val="2"/>
        </w:rPr>
        <w:br w:type="column"/>
      </w:r>
    </w:p>
    <w:p>
      <w:pPr>
        <w:spacing w:before="54" w:line="186" w:lineRule="auto"/>
        <w:jc w:val="right"/>
        <w:rPr>
          <w:rFonts w:ascii="SimSun" w:hAnsi="SimSun" w:eastAsia="SimSun" w:cs="SimSun"/>
          <w:sz w:val="28"/>
          <w:szCs w:val="28"/>
        </w:rPr>
      </w:pPr>
      <w:r>
        <w:rPr>
          <w:rFonts w:ascii="SimSun" w:hAnsi="SimSun" w:eastAsia="SimSun" w:cs="SimSun"/>
          <w:sz w:val="28"/>
          <w:szCs w:val="28"/>
          <w:spacing w:val="13"/>
        </w:rPr>
        <w:t>公司简称:交通银行</w:t>
      </w:r>
    </w:p>
    <w:p>
      <w:pPr>
        <w:spacing w:line="186" w:lineRule="auto"/>
        <w:sectPr>
          <w:footerReference w:type="default" r:id="rId1"/>
          <w:pgSz w:w="11907" w:h="16839"/>
          <w:pgMar w:top="1404" w:right="1134" w:bottom="1374" w:left="1152" w:header="0" w:footer="1211" w:gutter="0"/>
          <w:cols w:equalWidth="0" w:num="2">
            <w:col w:w="7020" w:space="100"/>
            <w:col w:w="2500" w:space="0"/>
          </w:cols>
        </w:sectPr>
        <w:rPr>
          <w:rFonts w:ascii="SimSun" w:hAnsi="SimSun" w:eastAsia="SimSun" w:cs="SimSun"/>
          <w:sz w:val="28"/>
          <w:szCs w:val="28"/>
        </w:rPr>
      </w:pP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8" w:lineRule="auto"/>
        <w:rPr/>
      </w:pPr>
      <w:r/>
    </w:p>
    <w:p>
      <w:pPr>
        <w:pStyle w:val="BodyText"/>
        <w:spacing w:line="248" w:lineRule="auto"/>
        <w:rPr/>
      </w:pPr>
      <w:r/>
    </w:p>
    <w:p>
      <w:pPr>
        <w:ind w:left="3426" w:right="1990" w:hanging="969"/>
        <w:spacing w:before="169" w:line="276" w:lineRule="auto"/>
        <w:outlineLvl w:val="0"/>
        <w:rPr>
          <w:rFonts w:ascii="SimSun" w:hAnsi="SimSun" w:eastAsia="SimSun" w:cs="SimSun"/>
          <w:sz w:val="52"/>
          <w:szCs w:val="52"/>
        </w:rPr>
      </w:pPr>
      <w:bookmarkStart w:name="bookmark1" w:id="1"/>
      <w:bookmarkEnd w:id="1"/>
      <w:r>
        <w:rPr>
          <w:rFonts w:ascii="SimSun" w:hAnsi="SimSun" w:eastAsia="SimSun" w:cs="SimSun"/>
          <w:sz w:val="52"/>
          <w:szCs w:val="52"/>
          <w:color w:val="FF0000"/>
          <w:spacing w:val="-3"/>
        </w:rPr>
        <w:t>交通银行股份有限公司</w:t>
      </w:r>
      <w:r>
        <w:rPr>
          <w:rFonts w:ascii="SimSun" w:hAnsi="SimSun" w:eastAsia="SimSun" w:cs="SimSun"/>
          <w:sz w:val="52"/>
          <w:szCs w:val="52"/>
          <w:color w:val="FF0000"/>
          <w:spacing w:val="1"/>
        </w:rPr>
        <w:t xml:space="preserve"> </w:t>
      </w:r>
      <w:r>
        <w:rPr>
          <w:rFonts w:ascii="Times New Roman" w:hAnsi="Times New Roman" w:eastAsia="Times New Roman" w:cs="Times New Roman"/>
          <w:sz w:val="52"/>
          <w:szCs w:val="52"/>
          <w:color w:val="FF0000"/>
          <w:spacing w:val="-4"/>
        </w:rPr>
        <w:t>2022 </w:t>
      </w:r>
      <w:r>
        <w:rPr>
          <w:rFonts w:ascii="SimSun" w:hAnsi="SimSun" w:eastAsia="SimSun" w:cs="SimSun"/>
          <w:sz w:val="52"/>
          <w:szCs w:val="52"/>
          <w:color w:val="FF0000"/>
          <w:spacing w:val="-4"/>
        </w:rPr>
        <w:t>年度报告</w:t>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ind w:firstLine="2262"/>
        <w:spacing w:line="1618" w:lineRule="exact"/>
        <w:rPr/>
      </w:pPr>
      <w:r>
        <w:rPr>
          <w:position w:val="-32"/>
        </w:rPr>
        <w:drawing>
          <wp:inline distT="0" distB="0" distL="0" distR="0">
            <wp:extent cx="3114675" cy="1027493"/>
            <wp:effectExtent l="0" t="0" r="0" b="0"/>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3114675" cy="1027493"/>
                    </a:xfrm>
                    <a:prstGeom prst="rect">
                      <a:avLst/>
                    </a:prstGeom>
                  </pic:spPr>
                </pic:pic>
              </a:graphicData>
            </a:graphic>
          </wp:inline>
        </w:drawing>
      </w:r>
    </w:p>
    <w:p>
      <w:pPr>
        <w:spacing w:line="1618" w:lineRule="exact"/>
        <w:sectPr>
          <w:type w:val="continuous"/>
          <w:pgSz w:w="11907" w:h="16839"/>
          <w:pgMar w:top="1404" w:right="1134" w:bottom="1374" w:left="1152" w:header="0" w:footer="1211" w:gutter="0"/>
          <w:cols w:equalWidth="0" w:num="1">
            <w:col w:w="9620" w:space="0"/>
          </w:cols>
        </w:sectPr>
        <w:rPr/>
      </w:pPr>
    </w:p>
    <w:sdt>
      <w:sdtPr>
        <w:rPr>
          <w:rFonts w:ascii="SimSun" w:hAnsi="SimSun" w:eastAsia="SimSun" w:cs="SimSun"/>
          <w:sz w:val="40"/>
          <w:szCs w:val="40"/>
        </w:rPr>
        <w:docPartObj>
          <w:docPartGallery w:val="Table of Contents"/>
          <w:docPartUnique/>
        </w:docPartObj>
      </w:sdtPr>
      <w:sdtEndPr>
        <w:rPr>
          <w:rFonts w:ascii="Times New Roman" w:hAnsi="Times New Roman" w:eastAsia="Times New Roman" w:cs="Times New Roman"/>
          <w:sz w:val="21"/>
          <w:szCs w:val="21"/>
        </w:rPr>
      </w:sdtEndPr>
      <w:sdtContent>
        <w:p>
          <w:pPr>
            <w:ind w:left="4324"/>
            <w:spacing w:before="80" w:line="223" w:lineRule="auto"/>
            <w:rPr>
              <w:rFonts w:ascii="SimSun" w:hAnsi="SimSun" w:eastAsia="SimSun" w:cs="SimSun"/>
              <w:sz w:val="40"/>
              <w:szCs w:val="40"/>
            </w:rPr>
          </w:pPr>
          <w:bookmarkStart w:name="bookmark2" w:id="2"/>
          <w:bookmarkEnd w:id="2"/>
          <w:r>
            <w:rPr>
              <w:rFonts w:ascii="SimSun" w:hAnsi="SimSun" w:eastAsia="SimSun" w:cs="SimSun"/>
              <w:sz w:val="40"/>
              <w:szCs w:val="40"/>
              <w:b/>
              <w:bCs/>
              <w:spacing w:val="-50"/>
            </w:rPr>
            <w:t>目</w:t>
          </w:r>
          <w:r>
            <w:rPr>
              <w:rFonts w:ascii="SimSun" w:hAnsi="SimSun" w:eastAsia="SimSun" w:cs="SimSun"/>
              <w:sz w:val="40"/>
              <w:szCs w:val="40"/>
              <w:spacing w:val="-10"/>
            </w:rPr>
            <w:t xml:space="preserve"> </w:t>
          </w:r>
          <w:r>
            <w:rPr>
              <w:rFonts w:ascii="SimSun" w:hAnsi="SimSun" w:eastAsia="SimSun" w:cs="SimSun"/>
              <w:sz w:val="40"/>
              <w:szCs w:val="40"/>
              <w:b/>
              <w:bCs/>
              <w:spacing w:val="-50"/>
            </w:rPr>
            <w:t>录</w:t>
          </w:r>
        </w:p>
        <w:p>
          <w:pPr>
            <w:pStyle w:val="BodyText"/>
            <w:spacing w:line="292" w:lineRule="auto"/>
            <w:rPr/>
          </w:pPr>
          <w:r/>
        </w:p>
        <w:p>
          <w:pPr>
            <w:ind w:left="41"/>
            <w:spacing w:before="68" w:line="186" w:lineRule="auto"/>
            <w:rPr>
              <w:rFonts w:ascii="Times New Roman" w:hAnsi="Times New Roman" w:eastAsia="Times New Roman" w:cs="Times New Roman"/>
              <w:sz w:val="21"/>
              <w:szCs w:val="21"/>
            </w:rPr>
          </w:pPr>
          <w:hyperlink w:history="true" w:anchor="bookmark2">
            <w:r>
              <w:rPr>
                <w:rFonts w:ascii="SimSun" w:hAnsi="SimSun" w:eastAsia="SimSun" w:cs="SimSun"/>
                <w:sz w:val="21"/>
                <w:szCs w:val="21"/>
                <w:spacing w:val="-19"/>
              </w:rPr>
              <w:t>目</w:t>
            </w:r>
            <w:r>
              <w:rPr>
                <w:rFonts w:ascii="SimSun" w:hAnsi="SimSun" w:eastAsia="SimSun" w:cs="SimSun"/>
                <w:sz w:val="21"/>
                <w:szCs w:val="21"/>
                <w:spacing w:val="10"/>
              </w:rPr>
              <w:t xml:space="preserve"> </w:t>
            </w:r>
            <w:r>
              <w:rPr>
                <w:rFonts w:ascii="SimSun" w:hAnsi="SimSun" w:eastAsia="SimSun" w:cs="SimSun"/>
                <w:sz w:val="21"/>
                <w:szCs w:val="21"/>
                <w:spacing w:val="-19"/>
              </w:rPr>
              <w:t>录</w:t>
            </w:r>
            <w:r>
              <w:rPr>
                <w:rFonts w:ascii="SimSun" w:hAnsi="SimSun" w:eastAsia="SimSun" w:cs="SimSun"/>
                <w:sz w:val="21"/>
                <w:szCs w:val="21"/>
              </w:rPr>
              <w:t xml:space="preserve">                                                                                   </w:t>
            </w:r>
            <w:r>
              <w:rPr>
                <w:rFonts w:ascii="Times New Roman" w:hAnsi="Times New Roman" w:eastAsia="Times New Roman" w:cs="Times New Roman"/>
                <w:sz w:val="21"/>
                <w:szCs w:val="21"/>
                <w:spacing w:val="-19"/>
              </w:rPr>
              <w:t>2</w:t>
            </w:r>
          </w:hyperlink>
        </w:p>
        <w:p>
          <w:pPr>
            <w:ind w:left="1"/>
            <w:spacing w:before="227" w:line="186" w:lineRule="auto"/>
            <w:rPr>
              <w:rFonts w:ascii="Times New Roman" w:hAnsi="Times New Roman" w:eastAsia="Times New Roman" w:cs="Times New Roman"/>
              <w:sz w:val="21"/>
              <w:szCs w:val="21"/>
            </w:rPr>
          </w:pPr>
          <w:hyperlink w:history="true" w:anchor="bookmark3">
            <w:r>
              <w:rPr>
                <w:rFonts w:ascii="SimSun" w:hAnsi="SimSun" w:eastAsia="SimSun" w:cs="SimSun"/>
                <w:sz w:val="21"/>
                <w:szCs w:val="21"/>
              </w:rPr>
              <w:t>重要提示                                                                                </w:t>
            </w:r>
            <w:r>
              <w:rPr>
                <w:rFonts w:ascii="Times New Roman" w:hAnsi="Times New Roman" w:eastAsia="Times New Roman" w:cs="Times New Roman"/>
                <w:sz w:val="21"/>
                <w:szCs w:val="21"/>
              </w:rPr>
              <w:t>3</w:t>
            </w:r>
          </w:hyperlink>
        </w:p>
        <w:p>
          <w:pPr>
            <w:spacing w:before="230" w:line="186" w:lineRule="auto"/>
            <w:rPr>
              <w:rFonts w:ascii="Times New Roman" w:hAnsi="Times New Roman" w:eastAsia="Times New Roman" w:cs="Times New Roman"/>
              <w:sz w:val="21"/>
              <w:szCs w:val="21"/>
            </w:rPr>
          </w:pPr>
          <w:hyperlink w:history="true" w:anchor="bookmark4">
            <w:r>
              <w:rPr>
                <w:rFonts w:ascii="SimSun" w:hAnsi="SimSun" w:eastAsia="SimSun" w:cs="SimSun"/>
                <w:sz w:val="21"/>
                <w:szCs w:val="21"/>
                <w:spacing w:val="-2"/>
              </w:rPr>
              <w:t>释义</w:t>
            </w:r>
            <w:r>
              <w:rPr>
                <w:rFonts w:ascii="SimSun" w:hAnsi="SimSun" w:eastAsia="SimSun" w:cs="SimSun"/>
                <w:sz w:val="21"/>
                <w:szCs w:val="21"/>
              </w:rPr>
              <w:t xml:space="preserve">                                                                                    </w:t>
            </w:r>
            <w:r>
              <w:rPr>
                <w:rFonts w:ascii="Times New Roman" w:hAnsi="Times New Roman" w:eastAsia="Times New Roman" w:cs="Times New Roman"/>
                <w:sz w:val="21"/>
                <w:szCs w:val="21"/>
                <w:spacing w:val="-2"/>
              </w:rPr>
              <w:t>4</w:t>
            </w:r>
          </w:hyperlink>
        </w:p>
        <w:p>
          <w:pPr>
            <w:ind w:left="7"/>
            <w:spacing w:before="227" w:line="186" w:lineRule="auto"/>
            <w:rPr>
              <w:rFonts w:ascii="Times New Roman" w:hAnsi="Times New Roman" w:eastAsia="Times New Roman" w:cs="Times New Roman"/>
              <w:sz w:val="21"/>
              <w:szCs w:val="21"/>
            </w:rPr>
          </w:pPr>
          <w:hyperlink w:history="true" w:anchor="bookmark5">
            <w:r>
              <w:rPr>
                <w:rFonts w:ascii="SimSun" w:hAnsi="SimSun" w:eastAsia="SimSun" w:cs="SimSun"/>
                <w:sz w:val="21"/>
                <w:szCs w:val="21"/>
              </w:rPr>
              <w:t>公司基本情况                                                                         </w:t>
            </w:r>
            <w:r>
              <w:rPr>
                <w:rFonts w:ascii="SimSun" w:hAnsi="SimSun" w:eastAsia="SimSun" w:cs="SimSun"/>
                <w:sz w:val="21"/>
                <w:szCs w:val="21"/>
                <w:spacing w:val="-1"/>
              </w:rPr>
              <w:t xml:space="preserve">   </w:t>
            </w:r>
            <w:r>
              <w:rPr>
                <w:rFonts w:ascii="Times New Roman" w:hAnsi="Times New Roman" w:eastAsia="Times New Roman" w:cs="Times New Roman"/>
                <w:sz w:val="21"/>
                <w:szCs w:val="21"/>
                <w:spacing w:val="-1"/>
              </w:rPr>
              <w:t>5</w:t>
            </w:r>
          </w:hyperlink>
        </w:p>
        <w:p>
          <w:pPr>
            <w:ind w:left="1"/>
            <w:spacing w:before="227" w:line="186" w:lineRule="auto"/>
            <w:rPr>
              <w:rFonts w:ascii="Times New Roman" w:hAnsi="Times New Roman" w:eastAsia="Times New Roman" w:cs="Times New Roman"/>
              <w:sz w:val="21"/>
              <w:szCs w:val="21"/>
            </w:rPr>
          </w:pPr>
          <w:hyperlink w:history="true" w:anchor="bookmark6">
            <w:r>
              <w:rPr>
                <w:rFonts w:ascii="SimSun" w:hAnsi="SimSun" w:eastAsia="SimSun" w:cs="SimSun"/>
                <w:sz w:val="21"/>
                <w:szCs w:val="21"/>
              </w:rPr>
              <w:t>财务摘要                                                                                </w:t>
            </w:r>
            <w:r>
              <w:rPr>
                <w:rFonts w:ascii="Times New Roman" w:hAnsi="Times New Roman" w:eastAsia="Times New Roman" w:cs="Times New Roman"/>
                <w:sz w:val="21"/>
                <w:szCs w:val="21"/>
              </w:rPr>
              <w:t>9</w:t>
            </w:r>
          </w:hyperlink>
        </w:p>
        <w:p>
          <w:pPr>
            <w:ind w:left="2"/>
            <w:spacing w:before="230" w:line="186" w:lineRule="auto"/>
            <w:rPr>
              <w:rFonts w:ascii="Times New Roman" w:hAnsi="Times New Roman" w:eastAsia="Times New Roman" w:cs="Times New Roman"/>
              <w:sz w:val="21"/>
              <w:szCs w:val="21"/>
            </w:rPr>
          </w:pPr>
          <w:hyperlink w:history="true" w:anchor="bookmark7">
            <w:r>
              <w:rPr>
                <w:rFonts w:ascii="SimSun" w:hAnsi="SimSun" w:eastAsia="SimSun" w:cs="SimSun"/>
                <w:sz w:val="21"/>
                <w:szCs w:val="21"/>
                <w:spacing w:val="-1"/>
              </w:rPr>
              <w:t>董事长致辞                                                                  </w:t>
            </w:r>
            <w:r>
              <w:rPr>
                <w:rFonts w:ascii="SimSun" w:hAnsi="SimSun" w:eastAsia="SimSun" w:cs="SimSun"/>
                <w:sz w:val="21"/>
                <w:szCs w:val="21"/>
                <w:spacing w:val="-2"/>
              </w:rPr>
              <w:t xml:space="preserve">             </w:t>
            </w:r>
            <w:r>
              <w:rPr>
                <w:rFonts w:ascii="Times New Roman" w:hAnsi="Times New Roman" w:eastAsia="Times New Roman" w:cs="Times New Roman"/>
                <w:sz w:val="21"/>
                <w:szCs w:val="21"/>
                <w:spacing w:val="-2"/>
              </w:rPr>
              <w:t>12</w:t>
            </w:r>
          </w:hyperlink>
        </w:p>
        <w:p>
          <w:pPr>
            <w:ind w:left="4"/>
            <w:spacing w:before="229" w:line="186" w:lineRule="auto"/>
            <w:rPr>
              <w:rFonts w:ascii="Times New Roman" w:hAnsi="Times New Roman" w:eastAsia="Times New Roman" w:cs="Times New Roman"/>
              <w:sz w:val="21"/>
              <w:szCs w:val="21"/>
            </w:rPr>
          </w:pPr>
          <w:hyperlink w:history="true" w:anchor="bookmark8">
            <w:r>
              <w:rPr>
                <w:rFonts w:ascii="SimSun" w:hAnsi="SimSun" w:eastAsia="SimSun" w:cs="SimSun"/>
                <w:sz w:val="21"/>
                <w:szCs w:val="21"/>
                <w:spacing w:val="-4"/>
              </w:rPr>
              <w:t>行长致辞</w:t>
            </w:r>
            <w:r>
              <w:rPr>
                <w:rFonts w:ascii="SimSun" w:hAnsi="SimSun" w:eastAsia="SimSun" w:cs="SimSun"/>
                <w:sz w:val="21"/>
                <w:szCs w:val="21"/>
                <w:spacing w:val="1"/>
              </w:rPr>
              <w:t xml:space="preserve">                         </w:t>
            </w:r>
            <w:r>
              <w:rPr>
                <w:rFonts w:ascii="SimSun" w:hAnsi="SimSun" w:eastAsia="SimSun" w:cs="SimSun"/>
                <w:sz w:val="21"/>
                <w:szCs w:val="21"/>
              </w:rPr>
              <w:t xml:space="preserve">                                                       </w:t>
            </w:r>
            <w:r>
              <w:rPr>
                <w:rFonts w:ascii="Times New Roman" w:hAnsi="Times New Roman" w:eastAsia="Times New Roman" w:cs="Times New Roman"/>
                <w:sz w:val="21"/>
                <w:szCs w:val="21"/>
                <w:spacing w:val="-4"/>
              </w:rPr>
              <w:t>14</w:t>
            </w:r>
          </w:hyperlink>
        </w:p>
        <w:p>
          <w:pPr>
            <w:ind w:left="1"/>
            <w:spacing w:before="227" w:line="186" w:lineRule="auto"/>
            <w:rPr>
              <w:rFonts w:ascii="Times New Roman" w:hAnsi="Times New Roman" w:eastAsia="Times New Roman" w:cs="Times New Roman"/>
              <w:sz w:val="21"/>
              <w:szCs w:val="21"/>
            </w:rPr>
          </w:pPr>
          <w:hyperlink w:history="true" w:anchor="bookmark9">
            <w:r>
              <w:rPr>
                <w:rFonts w:ascii="SimSun" w:hAnsi="SimSun" w:eastAsia="SimSun" w:cs="SimSun"/>
                <w:sz w:val="21"/>
                <w:szCs w:val="21"/>
                <w:spacing w:val="-1"/>
              </w:rPr>
              <w:t>监事长致辞                                                                  </w:t>
            </w:r>
            <w:r>
              <w:rPr>
                <w:rFonts w:ascii="SimSun" w:hAnsi="SimSun" w:eastAsia="SimSun" w:cs="SimSun"/>
                <w:sz w:val="21"/>
                <w:szCs w:val="21"/>
                <w:spacing w:val="-2"/>
              </w:rPr>
              <w:t xml:space="preserve">             </w:t>
            </w:r>
            <w:r>
              <w:rPr>
                <w:rFonts w:ascii="Times New Roman" w:hAnsi="Times New Roman" w:eastAsia="Times New Roman" w:cs="Times New Roman"/>
                <w:sz w:val="21"/>
                <w:szCs w:val="21"/>
                <w:spacing w:val="-2"/>
              </w:rPr>
              <w:t>16</w:t>
            </w:r>
          </w:hyperlink>
        </w:p>
        <w:p>
          <w:pPr>
            <w:ind w:left="5"/>
            <w:spacing w:before="230" w:line="186" w:lineRule="auto"/>
            <w:rPr>
              <w:rFonts w:ascii="Times New Roman" w:hAnsi="Times New Roman" w:eastAsia="Times New Roman" w:cs="Times New Roman"/>
              <w:sz w:val="21"/>
              <w:szCs w:val="21"/>
            </w:rPr>
          </w:pPr>
          <w:hyperlink w:history="true" w:anchor="bookmark10">
            <w:r>
              <w:rPr>
                <w:rFonts w:ascii="SimSun" w:hAnsi="SimSun" w:eastAsia="SimSun" w:cs="SimSun"/>
                <w:sz w:val="21"/>
                <w:szCs w:val="21"/>
                <w:spacing w:val="-1"/>
              </w:rPr>
              <w:t>管理层讨论与分析                                                      </w:t>
            </w:r>
            <w:r>
              <w:rPr>
                <w:rFonts w:ascii="SimSun" w:hAnsi="SimSun" w:eastAsia="SimSun" w:cs="SimSun"/>
                <w:sz w:val="21"/>
                <w:szCs w:val="21"/>
                <w:spacing w:val="-2"/>
              </w:rPr>
              <w:t xml:space="preserve">                   </w:t>
            </w:r>
            <w:r>
              <w:rPr>
                <w:rFonts w:ascii="Times New Roman" w:hAnsi="Times New Roman" w:eastAsia="Times New Roman" w:cs="Times New Roman"/>
                <w:sz w:val="21"/>
                <w:szCs w:val="21"/>
                <w:spacing w:val="-2"/>
              </w:rPr>
              <w:t>17</w:t>
            </w:r>
          </w:hyperlink>
        </w:p>
        <w:p>
          <w:pPr>
            <w:ind w:left="287"/>
            <w:spacing w:before="228" w:line="186" w:lineRule="auto"/>
            <w:rPr>
              <w:rFonts w:ascii="Times New Roman" w:hAnsi="Times New Roman" w:eastAsia="Times New Roman" w:cs="Times New Roman"/>
              <w:sz w:val="21"/>
              <w:szCs w:val="21"/>
            </w:rPr>
          </w:pPr>
          <w:hyperlink w:history="true" w:anchor="bookmark11">
            <w:r>
              <w:rPr>
                <w:rFonts w:ascii="SimSun" w:hAnsi="SimSun" w:eastAsia="SimSun" w:cs="SimSun"/>
                <w:sz w:val="21"/>
                <w:szCs w:val="21"/>
                <w:spacing w:val="-1"/>
              </w:rPr>
              <w:t>一、经济金融形势                                                                      </w:t>
            </w:r>
            <w:r>
              <w:rPr>
                <w:rFonts w:ascii="Times New Roman" w:hAnsi="Times New Roman" w:eastAsia="Times New Roman" w:cs="Times New Roman"/>
                <w:sz w:val="21"/>
                <w:szCs w:val="21"/>
                <w:spacing w:val="-1"/>
              </w:rPr>
              <w:t>17</w:t>
            </w:r>
          </w:hyperlink>
        </w:p>
        <w:p>
          <w:pPr>
            <w:ind w:left="287"/>
            <w:spacing w:before="227" w:line="186" w:lineRule="auto"/>
            <w:rPr>
              <w:rFonts w:ascii="Times New Roman" w:hAnsi="Times New Roman" w:eastAsia="Times New Roman" w:cs="Times New Roman"/>
              <w:sz w:val="21"/>
              <w:szCs w:val="21"/>
            </w:rPr>
          </w:pPr>
          <w:hyperlink w:history="true" w:anchor="bookmark12">
            <w:r>
              <w:rPr>
                <w:rFonts w:ascii="SimSun" w:hAnsi="SimSun" w:eastAsia="SimSun" w:cs="SimSun"/>
                <w:sz w:val="21"/>
                <w:szCs w:val="21"/>
                <w:spacing w:val="-1"/>
              </w:rPr>
              <w:t>二、财务报表分析                                                                      </w:t>
            </w:r>
            <w:r>
              <w:rPr>
                <w:rFonts w:ascii="Times New Roman" w:hAnsi="Times New Roman" w:eastAsia="Times New Roman" w:cs="Times New Roman"/>
                <w:sz w:val="21"/>
                <w:szCs w:val="21"/>
                <w:spacing w:val="-1"/>
              </w:rPr>
              <w:t>17</w:t>
            </w:r>
          </w:hyperlink>
        </w:p>
        <w:p>
          <w:pPr>
            <w:ind w:left="284"/>
            <w:spacing w:before="230" w:line="186" w:lineRule="auto"/>
            <w:rPr>
              <w:rFonts w:ascii="Times New Roman" w:hAnsi="Times New Roman" w:eastAsia="Times New Roman" w:cs="Times New Roman"/>
              <w:sz w:val="21"/>
              <w:szCs w:val="21"/>
            </w:rPr>
          </w:pPr>
          <w:hyperlink w:history="true" w:anchor="bookmark13">
            <w:r>
              <w:rPr>
                <w:rFonts w:ascii="SimSun" w:hAnsi="SimSun" w:eastAsia="SimSun" w:cs="SimSun"/>
                <w:sz w:val="21"/>
                <w:szCs w:val="21"/>
                <w:spacing w:val="-2"/>
              </w:rPr>
              <w:t>三、业务回顾</w:t>
            </w:r>
            <w:r>
              <w:rPr>
                <w:rFonts w:ascii="SimSun" w:hAnsi="SimSun" w:eastAsia="SimSun" w:cs="SimSun"/>
                <w:sz w:val="21"/>
                <w:szCs w:val="21"/>
                <w:spacing w:val="1"/>
              </w:rPr>
              <w:t xml:space="preserve">                                            </w:t>
            </w:r>
            <w:r>
              <w:rPr>
                <w:rFonts w:ascii="SimSun" w:hAnsi="SimSun" w:eastAsia="SimSun" w:cs="SimSun"/>
                <w:sz w:val="21"/>
                <w:szCs w:val="21"/>
              </w:rPr>
              <w:t xml:space="preserve">                             </w:t>
            </w:r>
            <w:r>
              <w:rPr>
                <w:rFonts w:ascii="Times New Roman" w:hAnsi="Times New Roman" w:eastAsia="Times New Roman" w:cs="Times New Roman"/>
                <w:sz w:val="21"/>
                <w:szCs w:val="21"/>
                <w:spacing w:val="-2"/>
              </w:rPr>
              <w:t>31</w:t>
            </w:r>
          </w:hyperlink>
        </w:p>
        <w:p>
          <w:pPr>
            <w:ind w:left="304"/>
            <w:spacing w:before="228" w:line="186" w:lineRule="auto"/>
            <w:rPr>
              <w:rFonts w:ascii="Times New Roman" w:hAnsi="Times New Roman" w:eastAsia="Times New Roman" w:cs="Times New Roman"/>
              <w:sz w:val="21"/>
              <w:szCs w:val="21"/>
            </w:rPr>
          </w:pPr>
          <w:hyperlink w:history="true" w:anchor="bookmark14">
            <w:r>
              <w:rPr>
                <w:rFonts w:ascii="SimSun" w:hAnsi="SimSun" w:eastAsia="SimSun" w:cs="SimSun"/>
                <w:sz w:val="21"/>
                <w:szCs w:val="21"/>
                <w:spacing w:val="-1"/>
              </w:rPr>
              <w:t>四、风险管理                                                           </w:t>
            </w:r>
            <w:r>
              <w:rPr>
                <w:rFonts w:ascii="SimSun" w:hAnsi="SimSun" w:eastAsia="SimSun" w:cs="SimSun"/>
                <w:sz w:val="21"/>
                <w:szCs w:val="21"/>
                <w:spacing w:val="-2"/>
              </w:rPr>
              <w:t xml:space="preserve">               </w:t>
            </w:r>
            <w:r>
              <w:rPr>
                <w:rFonts w:ascii="Times New Roman" w:hAnsi="Times New Roman" w:eastAsia="Times New Roman" w:cs="Times New Roman"/>
                <w:sz w:val="21"/>
                <w:szCs w:val="21"/>
                <w:spacing w:val="-2"/>
              </w:rPr>
              <w:t>44</w:t>
            </w:r>
          </w:hyperlink>
        </w:p>
        <w:p>
          <w:pPr>
            <w:ind w:left="287"/>
            <w:spacing w:before="228" w:line="186" w:lineRule="auto"/>
            <w:rPr>
              <w:rFonts w:ascii="Times New Roman" w:hAnsi="Times New Roman" w:eastAsia="Times New Roman" w:cs="Times New Roman"/>
              <w:sz w:val="21"/>
              <w:szCs w:val="21"/>
            </w:rPr>
          </w:pPr>
          <w:hyperlink w:history="true" w:anchor="bookmark15">
            <w:r>
              <w:rPr>
                <w:rFonts w:ascii="SimSun" w:hAnsi="SimSun" w:eastAsia="SimSun" w:cs="SimSun"/>
                <w:sz w:val="21"/>
                <w:szCs w:val="21"/>
                <w:spacing w:val="-1"/>
              </w:rPr>
              <w:t>五、展望                                                                              </w:t>
            </w:r>
            <w:r>
              <w:rPr>
                <w:rFonts w:ascii="Times New Roman" w:hAnsi="Times New Roman" w:eastAsia="Times New Roman" w:cs="Times New Roman"/>
                <w:sz w:val="21"/>
                <w:szCs w:val="21"/>
                <w:spacing w:val="-1"/>
              </w:rPr>
              <w:t>51</w:t>
            </w:r>
          </w:hyperlink>
        </w:p>
        <w:p>
          <w:pPr>
            <w:ind w:left="286"/>
            <w:spacing w:before="230" w:line="186" w:lineRule="auto"/>
            <w:rPr>
              <w:rFonts w:ascii="Times New Roman" w:hAnsi="Times New Roman" w:eastAsia="Times New Roman" w:cs="Times New Roman"/>
              <w:sz w:val="21"/>
              <w:szCs w:val="21"/>
            </w:rPr>
          </w:pPr>
          <w:hyperlink w:history="true" w:anchor="bookmark16">
            <w:r>
              <w:rPr>
                <w:rFonts w:ascii="SimSun" w:hAnsi="SimSun" w:eastAsia="SimSun" w:cs="SimSun"/>
                <w:sz w:val="21"/>
                <w:szCs w:val="21"/>
                <w:spacing w:val="1"/>
              </w:rPr>
              <w:t>六、资本市场关注的热点问题               </w:t>
            </w:r>
            <w:r>
              <w:rPr>
                <w:rFonts w:ascii="SimSun" w:hAnsi="SimSun" w:eastAsia="SimSun" w:cs="SimSun"/>
                <w:sz w:val="21"/>
                <w:szCs w:val="21"/>
              </w:rPr>
              <w:t xml:space="preserve">                                            </w:t>
            </w:r>
            <w:r>
              <w:rPr>
                <w:rFonts w:ascii="Times New Roman" w:hAnsi="Times New Roman" w:eastAsia="Times New Roman" w:cs="Times New Roman"/>
                <w:sz w:val="21"/>
                <w:szCs w:val="21"/>
              </w:rPr>
              <w:t>52</w:t>
            </w:r>
          </w:hyperlink>
        </w:p>
        <w:p>
          <w:pPr>
            <w:spacing w:before="228" w:line="186" w:lineRule="auto"/>
            <w:rPr>
              <w:rFonts w:ascii="Times New Roman" w:hAnsi="Times New Roman" w:eastAsia="Times New Roman" w:cs="Times New Roman"/>
              <w:sz w:val="21"/>
              <w:szCs w:val="21"/>
            </w:rPr>
          </w:pPr>
          <w:hyperlink w:history="true" w:anchor="bookmark1">
            <w:r>
              <w:rPr>
                <w:rFonts w:ascii="SimSun" w:hAnsi="SimSun" w:eastAsia="SimSun" w:cs="SimSun"/>
                <w:sz w:val="21"/>
                <w:szCs w:val="21"/>
              </w:rPr>
              <w:t>股份变动及股东情况                                                                      </w:t>
            </w:r>
            <w:r>
              <w:rPr>
                <w:rFonts w:ascii="Times New Roman" w:hAnsi="Times New Roman" w:eastAsia="Times New Roman" w:cs="Times New Roman"/>
                <w:sz w:val="21"/>
                <w:szCs w:val="21"/>
                <w:spacing w:val="-1"/>
              </w:rPr>
              <w:t>55</w:t>
            </w:r>
          </w:hyperlink>
        </w:p>
        <w:p>
          <w:pPr>
            <w:ind w:left="7"/>
            <w:spacing w:before="227" w:line="186" w:lineRule="auto"/>
            <w:rPr>
              <w:rFonts w:ascii="Times New Roman" w:hAnsi="Times New Roman" w:eastAsia="Times New Roman" w:cs="Times New Roman"/>
              <w:sz w:val="21"/>
              <w:szCs w:val="21"/>
            </w:rPr>
          </w:pPr>
          <w:hyperlink w:history="true" w:anchor="bookmark1">
            <w:r>
              <w:rPr>
                <w:rFonts w:ascii="SimSun" w:hAnsi="SimSun" w:eastAsia="SimSun" w:cs="SimSun"/>
                <w:sz w:val="21"/>
                <w:szCs w:val="21"/>
                <w:spacing w:val="-1"/>
              </w:rPr>
              <w:t>公司治理                                                        </w:t>
            </w:r>
            <w:r>
              <w:rPr>
                <w:rFonts w:ascii="SimSun" w:hAnsi="SimSun" w:eastAsia="SimSun" w:cs="SimSun"/>
                <w:sz w:val="21"/>
                <w:szCs w:val="21"/>
                <w:spacing w:val="-2"/>
              </w:rPr>
              <w:t xml:space="preserve">                         </w:t>
            </w:r>
            <w:r>
              <w:rPr>
                <w:rFonts w:ascii="Times New Roman" w:hAnsi="Times New Roman" w:eastAsia="Times New Roman" w:cs="Times New Roman"/>
                <w:sz w:val="21"/>
                <w:szCs w:val="21"/>
                <w:spacing w:val="-2"/>
              </w:rPr>
              <w:t>61</w:t>
            </w:r>
          </w:hyperlink>
        </w:p>
        <w:p>
          <w:pPr>
            <w:ind w:left="2"/>
            <w:spacing w:before="230" w:line="186" w:lineRule="auto"/>
            <w:rPr>
              <w:rFonts w:ascii="Times New Roman" w:hAnsi="Times New Roman" w:eastAsia="Times New Roman" w:cs="Times New Roman"/>
              <w:sz w:val="21"/>
              <w:szCs w:val="21"/>
            </w:rPr>
          </w:pPr>
          <w:hyperlink w:history="true" w:anchor="bookmark1">
            <w:r>
              <w:rPr>
                <w:rFonts w:ascii="SimSun" w:hAnsi="SimSun" w:eastAsia="SimSun" w:cs="SimSun"/>
                <w:sz w:val="21"/>
                <w:szCs w:val="21"/>
              </w:rPr>
              <w:t>董事会报告                                                                           </w:t>
            </w:r>
            <w:r>
              <w:rPr>
                <w:rFonts w:ascii="SimSun" w:hAnsi="SimSun" w:eastAsia="SimSun" w:cs="SimSun"/>
                <w:sz w:val="21"/>
                <w:szCs w:val="21"/>
                <w:spacing w:val="-1"/>
              </w:rPr>
              <w:t xml:space="preserve">   </w:t>
            </w:r>
            <w:r>
              <w:rPr>
                <w:rFonts w:ascii="Times New Roman" w:hAnsi="Times New Roman" w:eastAsia="Times New Roman" w:cs="Times New Roman"/>
                <w:sz w:val="21"/>
                <w:szCs w:val="21"/>
                <w:spacing w:val="-1"/>
              </w:rPr>
              <w:t>94</w:t>
            </w:r>
          </w:hyperlink>
        </w:p>
        <w:p>
          <w:pPr>
            <w:ind w:left="1"/>
            <w:spacing w:before="228" w:line="186" w:lineRule="auto"/>
            <w:rPr>
              <w:rFonts w:ascii="Times New Roman" w:hAnsi="Times New Roman" w:eastAsia="Times New Roman" w:cs="Times New Roman"/>
              <w:sz w:val="21"/>
              <w:szCs w:val="21"/>
            </w:rPr>
          </w:pPr>
          <w:hyperlink w:history="true" w:anchor="bookmark1">
            <w:r>
              <w:rPr>
                <w:rFonts w:ascii="SimSun" w:hAnsi="SimSun" w:eastAsia="SimSun" w:cs="SimSun"/>
                <w:sz w:val="21"/>
                <w:szCs w:val="21"/>
              </w:rPr>
              <w:t>监事会报告                                                                            </w:t>
            </w:r>
            <w:r>
              <w:rPr>
                <w:rFonts w:ascii="SimSun" w:hAnsi="SimSun" w:eastAsia="SimSun" w:cs="SimSun"/>
                <w:sz w:val="21"/>
                <w:szCs w:val="21"/>
                <w:spacing w:val="-1"/>
              </w:rPr>
              <w:t xml:space="preserve">  </w:t>
            </w:r>
            <w:r>
              <w:rPr>
                <w:rFonts w:ascii="Times New Roman" w:hAnsi="Times New Roman" w:eastAsia="Times New Roman" w:cs="Times New Roman"/>
                <w:sz w:val="21"/>
                <w:szCs w:val="21"/>
                <w:spacing w:val="-1"/>
              </w:rPr>
              <w:t>99</w:t>
            </w:r>
          </w:hyperlink>
        </w:p>
        <w:p>
          <w:pPr>
            <w:spacing w:before="228" w:line="186" w:lineRule="auto"/>
            <w:jc w:val="right"/>
            <w:rPr>
              <w:rFonts w:ascii="Times New Roman" w:hAnsi="Times New Roman" w:eastAsia="Times New Roman" w:cs="Times New Roman"/>
              <w:sz w:val="21"/>
              <w:szCs w:val="21"/>
            </w:rPr>
          </w:pPr>
          <w:hyperlink w:history="true" w:anchor="bookmark1">
            <w:r>
              <w:rPr>
                <w:rFonts w:ascii="SimSun" w:hAnsi="SimSun" w:eastAsia="SimSun" w:cs="SimSun"/>
                <w:sz w:val="21"/>
                <w:szCs w:val="21"/>
                <w:spacing w:val="-1"/>
              </w:rPr>
              <w:t>环境和社会责任                                                    </w:t>
            </w:r>
            <w:r>
              <w:rPr>
                <w:rFonts w:ascii="SimSun" w:hAnsi="SimSun" w:eastAsia="SimSun" w:cs="SimSun"/>
                <w:sz w:val="21"/>
                <w:szCs w:val="21"/>
                <w:spacing w:val="-2"/>
              </w:rPr>
              <w:t xml:space="preserve">                       </w:t>
            </w:r>
            <w:r>
              <w:rPr>
                <w:rFonts w:ascii="Times New Roman" w:hAnsi="Times New Roman" w:eastAsia="Times New Roman" w:cs="Times New Roman"/>
                <w:sz w:val="21"/>
                <w:szCs w:val="21"/>
                <w:spacing w:val="-2"/>
              </w:rPr>
              <w:t>102</w:t>
            </w:r>
          </w:hyperlink>
        </w:p>
        <w:p>
          <w:pPr>
            <w:spacing w:before="230" w:line="186" w:lineRule="auto"/>
            <w:jc w:val="right"/>
            <w:rPr>
              <w:rFonts w:ascii="Times New Roman" w:hAnsi="Times New Roman" w:eastAsia="Times New Roman" w:cs="Times New Roman"/>
              <w:sz w:val="21"/>
              <w:szCs w:val="21"/>
            </w:rPr>
          </w:pPr>
          <w:hyperlink w:history="true" w:anchor="bookmark1">
            <w:r>
              <w:rPr>
                <w:rFonts w:ascii="SimSun" w:hAnsi="SimSun" w:eastAsia="SimSun" w:cs="SimSun"/>
                <w:sz w:val="21"/>
                <w:szCs w:val="21"/>
                <w:spacing w:val="-2"/>
              </w:rPr>
              <w:t>重要事项                                              </w:t>
            </w:r>
            <w:r>
              <w:rPr>
                <w:rFonts w:ascii="SimSun" w:hAnsi="SimSun" w:eastAsia="SimSun" w:cs="SimSun"/>
                <w:sz w:val="21"/>
                <w:szCs w:val="21"/>
                <w:spacing w:val="-3"/>
              </w:rPr>
              <w:t xml:space="preserve">                                    </w:t>
            </w:r>
            <w:r>
              <w:rPr>
                <w:rFonts w:ascii="Times New Roman" w:hAnsi="Times New Roman" w:eastAsia="Times New Roman" w:cs="Times New Roman"/>
                <w:sz w:val="21"/>
                <w:szCs w:val="21"/>
                <w:spacing w:val="-3"/>
              </w:rPr>
              <w:t>108</w:t>
            </w:r>
          </w:hyperlink>
        </w:p>
        <w:p>
          <w:pPr>
            <w:ind w:left="3"/>
            <w:spacing w:before="228" w:line="186" w:lineRule="auto"/>
            <w:rPr>
              <w:rFonts w:ascii="Times New Roman" w:hAnsi="Times New Roman" w:eastAsia="Times New Roman" w:cs="Times New Roman"/>
              <w:sz w:val="21"/>
              <w:szCs w:val="21"/>
            </w:rPr>
          </w:pPr>
          <w:hyperlink w:history="true" w:anchor="bookmark1">
            <w:r>
              <w:rPr>
                <w:rFonts w:ascii="SimSun" w:hAnsi="SimSun" w:eastAsia="SimSun" w:cs="SimSun"/>
                <w:sz w:val="21"/>
                <w:szCs w:val="21"/>
                <w:spacing w:val="-1"/>
              </w:rPr>
              <w:t>组织架构与机构名录                                          </w:t>
            </w:r>
            <w:r>
              <w:rPr>
                <w:rFonts w:ascii="SimSun" w:hAnsi="SimSun" w:eastAsia="SimSun" w:cs="SimSun"/>
                <w:sz w:val="21"/>
                <w:szCs w:val="21"/>
                <w:spacing w:val="-2"/>
              </w:rPr>
              <w:t xml:space="preserve">                             </w:t>
            </w:r>
            <w:r>
              <w:rPr>
                <w:rFonts w:ascii="Times New Roman" w:hAnsi="Times New Roman" w:eastAsia="Times New Roman" w:cs="Times New Roman"/>
                <w:sz w:val="21"/>
                <w:szCs w:val="21"/>
                <w:spacing w:val="-2"/>
              </w:rPr>
              <w:t>111</w:t>
            </w:r>
          </w:hyperlink>
        </w:p>
        <w:p>
          <w:pPr>
            <w:ind w:left="2"/>
            <w:spacing w:before="228" w:line="186" w:lineRule="auto"/>
            <w:rPr>
              <w:rFonts w:ascii="Times New Roman" w:hAnsi="Times New Roman" w:eastAsia="Times New Roman" w:cs="Times New Roman"/>
              <w:sz w:val="21"/>
              <w:szCs w:val="21"/>
            </w:rPr>
          </w:pPr>
          <w:hyperlink w:history="true" w:anchor="bookmark1">
            <w:r>
              <w:rPr>
                <w:rFonts w:ascii="SimSun" w:hAnsi="SimSun" w:eastAsia="SimSun" w:cs="SimSun"/>
                <w:sz w:val="21"/>
                <w:szCs w:val="21"/>
              </w:rPr>
              <w:t>董事、监事、高级管理人员对年度报告确认意见                                     </w:t>
            </w:r>
            <w:r>
              <w:rPr>
                <w:rFonts w:ascii="SimSun" w:hAnsi="SimSun" w:eastAsia="SimSun" w:cs="SimSun"/>
                <w:sz w:val="21"/>
                <w:szCs w:val="21"/>
                <w:spacing w:val="-1"/>
              </w:rPr>
              <w:t xml:space="preserve">         </w:t>
            </w:r>
            <w:r>
              <w:rPr>
                <w:rFonts w:ascii="Times New Roman" w:hAnsi="Times New Roman" w:eastAsia="Times New Roman" w:cs="Times New Roman"/>
                <w:sz w:val="21"/>
                <w:szCs w:val="21"/>
                <w:spacing w:val="-1"/>
              </w:rPr>
              <w:t>115</w:t>
            </w:r>
          </w:hyperlink>
        </w:p>
        <w:p>
          <w:pPr>
            <w:ind w:left="3"/>
            <w:spacing w:before="229" w:line="221" w:lineRule="auto"/>
            <w:rPr>
              <w:rFonts w:ascii="Times New Roman" w:hAnsi="Times New Roman" w:eastAsia="Times New Roman" w:cs="Times New Roman"/>
              <w:sz w:val="21"/>
              <w:szCs w:val="21"/>
            </w:rPr>
          </w:pPr>
          <w:hyperlink w:history="true" w:anchor="bookmark1">
            <w:r>
              <w:rPr>
                <w:rFonts w:ascii="SimSun" w:hAnsi="SimSun" w:eastAsia="SimSun" w:cs="SimSun"/>
                <w:sz w:val="21"/>
                <w:szCs w:val="21"/>
                <w:spacing w:val="-2"/>
              </w:rPr>
              <w:t>备查文件                                        </w:t>
            </w:r>
            <w:r>
              <w:rPr>
                <w:rFonts w:ascii="SimSun" w:hAnsi="SimSun" w:eastAsia="SimSun" w:cs="SimSun"/>
                <w:sz w:val="21"/>
                <w:szCs w:val="21"/>
                <w:spacing w:val="-3"/>
              </w:rPr>
              <w:t xml:space="preserve">                                          </w:t>
            </w:r>
            <w:r>
              <w:rPr>
                <w:rFonts w:ascii="Times New Roman" w:hAnsi="Times New Roman" w:eastAsia="Times New Roman" w:cs="Times New Roman"/>
                <w:sz w:val="21"/>
                <w:szCs w:val="21"/>
                <w:spacing w:val="-3"/>
              </w:rPr>
              <w:t>116</w:t>
            </w:r>
          </w:hyperlink>
        </w:p>
        <w:p>
          <w:pPr>
            <w:ind w:left="7"/>
            <w:spacing w:before="188" w:line="220" w:lineRule="auto"/>
            <w:rPr>
              <w:rFonts w:ascii="Times New Roman" w:hAnsi="Times New Roman" w:eastAsia="Times New Roman" w:cs="Times New Roman"/>
              <w:sz w:val="21"/>
              <w:szCs w:val="21"/>
            </w:rPr>
          </w:pPr>
          <w:r>
            <w:rPr>
              <w:rFonts w:ascii="SimSun" w:hAnsi="SimSun" w:eastAsia="SimSun" w:cs="SimSun"/>
              <w:sz w:val="21"/>
              <w:szCs w:val="21"/>
              <w:spacing w:val="-3"/>
            </w:rPr>
            <w:t>审计报告                     </w:t>
          </w:r>
          <w:r>
            <w:rPr>
              <w:rFonts w:ascii="SimSun" w:hAnsi="SimSun" w:eastAsia="SimSun" w:cs="SimSun"/>
              <w:sz w:val="21"/>
              <w:szCs w:val="21"/>
              <w:spacing w:val="-4"/>
            </w:rPr>
            <w:t xml:space="preserve">                                                              </w:t>
          </w:r>
          <w:r>
            <w:rPr>
              <w:rFonts w:ascii="Times New Roman" w:hAnsi="Times New Roman" w:eastAsia="Times New Roman" w:cs="Times New Roman"/>
              <w:sz w:val="21"/>
              <w:szCs w:val="21"/>
              <w:spacing w:val="-4"/>
            </w:rPr>
            <w:t>119</w:t>
          </w:r>
        </w:p>
        <w:p>
          <w:pPr>
            <w:spacing w:before="189" w:line="221" w:lineRule="auto"/>
            <w:jc w:val="right"/>
            <w:rPr>
              <w:rFonts w:ascii="Times New Roman" w:hAnsi="Times New Roman" w:eastAsia="Times New Roman" w:cs="Times New Roman"/>
              <w:sz w:val="21"/>
              <w:szCs w:val="21"/>
            </w:rPr>
          </w:pPr>
          <w:r>
            <w:rPr>
              <w:rFonts w:ascii="SimSun" w:hAnsi="SimSun" w:eastAsia="SimSun" w:cs="SimSun"/>
              <w:sz w:val="21"/>
              <w:szCs w:val="21"/>
              <w:spacing w:val="-2"/>
            </w:rPr>
            <w:t>财务报表                                              </w:t>
          </w:r>
          <w:r>
            <w:rPr>
              <w:rFonts w:ascii="SimSun" w:hAnsi="SimSun" w:eastAsia="SimSun" w:cs="SimSun"/>
              <w:sz w:val="21"/>
              <w:szCs w:val="21"/>
              <w:spacing w:val="-3"/>
            </w:rPr>
            <w:t xml:space="preserve">                                    </w:t>
          </w:r>
          <w:r>
            <w:rPr>
              <w:rFonts w:ascii="Times New Roman" w:hAnsi="Times New Roman" w:eastAsia="Times New Roman" w:cs="Times New Roman"/>
              <w:sz w:val="21"/>
              <w:szCs w:val="21"/>
              <w:spacing w:val="-3"/>
            </w:rPr>
            <w:t>130</w:t>
          </w:r>
        </w:p>
        <w:p>
          <w:pPr>
            <w:spacing w:before="190" w:line="221" w:lineRule="auto"/>
            <w:jc w:val="right"/>
            <w:rPr>
              <w:rFonts w:ascii="Times New Roman" w:hAnsi="Times New Roman" w:eastAsia="Times New Roman" w:cs="Times New Roman"/>
              <w:sz w:val="21"/>
              <w:szCs w:val="21"/>
            </w:rPr>
          </w:pPr>
          <w:r>
            <w:rPr>
              <w:rFonts w:ascii="SimSun" w:hAnsi="SimSun" w:eastAsia="SimSun" w:cs="SimSun"/>
              <w:sz w:val="21"/>
              <w:szCs w:val="21"/>
              <w:spacing w:val="-1"/>
            </w:rPr>
            <w:t>财务报表附注                                                      </w:t>
          </w:r>
          <w:r>
            <w:rPr>
              <w:rFonts w:ascii="SimSun" w:hAnsi="SimSun" w:eastAsia="SimSun" w:cs="SimSun"/>
              <w:sz w:val="21"/>
              <w:szCs w:val="21"/>
              <w:spacing w:val="-2"/>
            </w:rPr>
            <w:t xml:space="preserve">                       </w:t>
          </w:r>
          <w:r>
            <w:rPr>
              <w:rFonts w:ascii="Times New Roman" w:hAnsi="Times New Roman" w:eastAsia="Times New Roman" w:cs="Times New Roman"/>
              <w:sz w:val="21"/>
              <w:szCs w:val="21"/>
              <w:spacing w:val="-2"/>
            </w:rPr>
            <w:t>146</w:t>
          </w:r>
        </w:p>
        <w:p>
          <w:pPr>
            <w:spacing w:before="188" w:line="222" w:lineRule="auto"/>
            <w:jc w:val="right"/>
            <w:rPr>
              <w:rFonts w:ascii="Times New Roman" w:hAnsi="Times New Roman" w:eastAsia="Times New Roman" w:cs="Times New Roman"/>
              <w:sz w:val="21"/>
              <w:szCs w:val="21"/>
            </w:rPr>
          </w:pPr>
          <w:r>
            <w:rPr>
              <w:rFonts w:ascii="SimSun" w:hAnsi="SimSun" w:eastAsia="SimSun" w:cs="SimSun"/>
              <w:sz w:val="21"/>
              <w:szCs w:val="21"/>
              <w:spacing w:val="-2"/>
            </w:rPr>
            <w:t>补充资料</w:t>
          </w:r>
          <w:r>
            <w:rPr>
              <w:rFonts w:ascii="SimSun" w:hAnsi="SimSun" w:eastAsia="SimSun" w:cs="SimSun"/>
              <w:sz w:val="21"/>
              <w:szCs w:val="21"/>
            </w:rPr>
            <w:t xml:space="preserve">                                                                                </w:t>
          </w:r>
          <w:r>
            <w:rPr>
              <w:rFonts w:ascii="Times New Roman" w:hAnsi="Times New Roman" w:eastAsia="Times New Roman" w:cs="Times New Roman"/>
              <w:sz w:val="21"/>
              <w:szCs w:val="21"/>
              <w:spacing w:val="-2"/>
            </w:rPr>
            <w:t>348</w:t>
          </w:r>
        </w:p>
        <w:p>
          <w:pPr>
            <w:spacing w:before="187" w:line="221" w:lineRule="auto"/>
            <w:jc w:val="right"/>
            <w:rPr>
              <w:rFonts w:ascii="Times New Roman" w:hAnsi="Times New Roman" w:eastAsia="Times New Roman" w:cs="Times New Roman"/>
              <w:sz w:val="21"/>
              <w:szCs w:val="21"/>
            </w:rPr>
          </w:pPr>
          <w:r>
            <w:rPr>
              <w:rFonts w:ascii="SimSun" w:hAnsi="SimSun" w:eastAsia="SimSun" w:cs="SimSun"/>
              <w:sz w:val="21"/>
              <w:szCs w:val="21"/>
            </w:rPr>
            <w:t>杠杆率、流动性覆盖率和净稳定资金比例信息补充资料                                      </w:t>
          </w:r>
          <w:r>
            <w:rPr>
              <w:rFonts w:ascii="SimSun" w:hAnsi="SimSun" w:eastAsia="SimSun" w:cs="SimSun"/>
              <w:sz w:val="21"/>
              <w:szCs w:val="21"/>
              <w:spacing w:val="-1"/>
            </w:rPr>
            <w:t xml:space="preserve">  </w:t>
          </w:r>
          <w:r>
            <w:rPr>
              <w:rFonts w:ascii="Times New Roman" w:hAnsi="Times New Roman" w:eastAsia="Times New Roman" w:cs="Times New Roman"/>
              <w:sz w:val="21"/>
              <w:szCs w:val="21"/>
              <w:spacing w:val="-1"/>
            </w:rPr>
            <w:t>350</w:t>
          </w:r>
        </w:p>
      </w:sdtContent>
    </w:sdt>
    <w:p>
      <w:pPr>
        <w:spacing w:line="221" w:lineRule="auto"/>
        <w:sectPr>
          <w:footerReference w:type="default" r:id="rId3"/>
          <w:pgSz w:w="11907" w:h="16839"/>
          <w:pgMar w:top="1164" w:right="1214" w:bottom="1375" w:left="1140" w:header="0" w:footer="1211" w:gutter="0"/>
        </w:sectPr>
        <w:rPr>
          <w:rFonts w:ascii="Times New Roman" w:hAnsi="Times New Roman" w:eastAsia="Times New Roman" w:cs="Times New Roman"/>
          <w:sz w:val="21"/>
          <w:szCs w:val="21"/>
        </w:rPr>
      </w:pPr>
    </w:p>
    <w:p>
      <w:pPr>
        <w:ind w:left="3933"/>
        <w:spacing w:before="81" w:line="221" w:lineRule="auto"/>
        <w:rPr>
          <w:rFonts w:ascii="SimSun" w:hAnsi="SimSun" w:eastAsia="SimSun" w:cs="SimSun"/>
          <w:sz w:val="40"/>
          <w:szCs w:val="40"/>
        </w:rPr>
      </w:pPr>
      <w:bookmarkStart w:name="bookmark3" w:id="3"/>
      <w:bookmarkEnd w:id="3"/>
      <w:r>
        <w:rPr>
          <w:rFonts w:ascii="SimSun" w:hAnsi="SimSun" w:eastAsia="SimSun" w:cs="SimSun"/>
          <w:sz w:val="40"/>
          <w:szCs w:val="40"/>
          <w:b/>
          <w:bCs/>
          <w:spacing w:val="-8"/>
        </w:rPr>
        <w:t>重要提示</w:t>
      </w:r>
    </w:p>
    <w:p>
      <w:pPr>
        <w:ind w:right="64" w:firstLine="424"/>
        <w:spacing w:before="301" w:line="267" w:lineRule="auto"/>
        <w:rPr>
          <w:rFonts w:ascii="SimSun" w:hAnsi="SimSun" w:eastAsia="SimSun" w:cs="SimSun"/>
          <w:sz w:val="21"/>
          <w:szCs w:val="21"/>
        </w:rPr>
      </w:pPr>
      <w:r>
        <w:rPr>
          <w:rFonts w:ascii="SimSun" w:hAnsi="SimSun" w:eastAsia="SimSun" w:cs="SimSun"/>
          <w:sz w:val="21"/>
          <w:szCs w:val="21"/>
          <w:spacing w:val="-1"/>
        </w:rPr>
        <w:t>一、本行董事会、监事会及董事、监事、高级管理人员保证年度报告</w:t>
      </w:r>
      <w:r>
        <w:rPr>
          <w:rFonts w:ascii="SimSun" w:hAnsi="SimSun" w:eastAsia="SimSun" w:cs="SimSun"/>
          <w:sz w:val="21"/>
          <w:szCs w:val="21"/>
          <w:spacing w:val="-2"/>
        </w:rPr>
        <w:t>内容的真实、准确、完整,</w:t>
      </w:r>
      <w:r>
        <w:rPr>
          <w:rFonts w:ascii="SimSun" w:hAnsi="SimSun" w:eastAsia="SimSun" w:cs="SimSun"/>
          <w:sz w:val="21"/>
          <w:szCs w:val="21"/>
          <w:spacing w:val="29"/>
        </w:rPr>
        <w:t xml:space="preserve"> </w:t>
      </w:r>
      <w:r>
        <w:rPr>
          <w:rFonts w:ascii="SimSun" w:hAnsi="SimSun" w:eastAsia="SimSun" w:cs="SimSun"/>
          <w:sz w:val="21"/>
          <w:szCs w:val="21"/>
          <w:spacing w:val="-2"/>
        </w:rPr>
        <w:t>不存</w:t>
      </w:r>
      <w:r>
        <w:rPr>
          <w:rFonts w:ascii="SimSun" w:hAnsi="SimSun" w:eastAsia="SimSun" w:cs="SimSun"/>
          <w:sz w:val="21"/>
          <w:szCs w:val="21"/>
        </w:rPr>
        <w:t xml:space="preserve"> </w:t>
      </w:r>
      <w:r>
        <w:rPr>
          <w:rFonts w:ascii="SimSun" w:hAnsi="SimSun" w:eastAsia="SimSun" w:cs="SimSun"/>
          <w:sz w:val="21"/>
          <w:szCs w:val="21"/>
          <w:spacing w:val="3"/>
        </w:rPr>
        <w:t>在虚假记载、误导性陈述或重大遗漏,并承担个别和连带的</w:t>
      </w:r>
      <w:r>
        <w:rPr>
          <w:rFonts w:ascii="SimSun" w:hAnsi="SimSun" w:eastAsia="SimSun" w:cs="SimSun"/>
          <w:sz w:val="21"/>
          <w:szCs w:val="21"/>
          <w:spacing w:val="2"/>
        </w:rPr>
        <w:t>法律责任。</w:t>
      </w:r>
    </w:p>
    <w:p>
      <w:pPr>
        <w:ind w:right="66" w:firstLine="425"/>
        <w:spacing w:before="309" w:line="285" w:lineRule="auto"/>
        <w:jc w:val="both"/>
        <w:rPr>
          <w:rFonts w:ascii="SimSun" w:hAnsi="SimSun" w:eastAsia="SimSun" w:cs="SimSun"/>
          <w:sz w:val="21"/>
          <w:szCs w:val="21"/>
        </w:rPr>
      </w:pPr>
      <w:r>
        <w:rPr>
          <w:rFonts w:ascii="SimSun" w:hAnsi="SimSun" w:eastAsia="SimSun" w:cs="SimSun"/>
          <w:sz w:val="21"/>
          <w:szCs w:val="21"/>
          <w:spacing w:val="-2"/>
        </w:rPr>
        <w:t>二、本行第十届董事会第六次会议于</w:t>
      </w:r>
      <w:r>
        <w:rPr>
          <w:rFonts w:ascii="SimSun" w:hAnsi="SimSun" w:eastAsia="SimSun" w:cs="SimSun"/>
          <w:sz w:val="21"/>
          <w:szCs w:val="21"/>
          <w:spacing w:val="-40"/>
        </w:rPr>
        <w:t xml:space="preserve"> </w:t>
      </w:r>
      <w:r>
        <w:rPr>
          <w:rFonts w:ascii="Times New Roman" w:hAnsi="Times New Roman" w:eastAsia="Times New Roman" w:cs="Times New Roman"/>
          <w:sz w:val="21"/>
          <w:szCs w:val="21"/>
          <w:spacing w:val="-2"/>
        </w:rPr>
        <w:t>2023</w:t>
      </w:r>
      <w:r>
        <w:rPr>
          <w:rFonts w:ascii="Times New Roman" w:hAnsi="Times New Roman" w:eastAsia="Times New Roman" w:cs="Times New Roman"/>
          <w:sz w:val="21"/>
          <w:szCs w:val="21"/>
          <w:spacing w:val="19"/>
        </w:rPr>
        <w:t xml:space="preserve"> </w:t>
      </w:r>
      <w:r>
        <w:rPr>
          <w:rFonts w:ascii="SimSun" w:hAnsi="SimSun" w:eastAsia="SimSun" w:cs="SimSun"/>
          <w:sz w:val="21"/>
          <w:szCs w:val="21"/>
          <w:spacing w:val="-2"/>
        </w:rPr>
        <w:t>年</w:t>
      </w:r>
      <w:r>
        <w:rPr>
          <w:rFonts w:ascii="SimSun" w:hAnsi="SimSun" w:eastAsia="SimSun" w:cs="SimSun"/>
          <w:sz w:val="21"/>
          <w:szCs w:val="21"/>
          <w:spacing w:val="-34"/>
        </w:rPr>
        <w:t xml:space="preserve"> </w:t>
      </w:r>
      <w:r>
        <w:rPr>
          <w:rFonts w:ascii="Times New Roman" w:hAnsi="Times New Roman" w:eastAsia="Times New Roman" w:cs="Times New Roman"/>
          <w:sz w:val="21"/>
          <w:szCs w:val="21"/>
          <w:spacing w:val="-2"/>
        </w:rPr>
        <w:t>3</w:t>
      </w:r>
      <w:r>
        <w:rPr>
          <w:rFonts w:ascii="Times New Roman" w:hAnsi="Times New Roman" w:eastAsia="Times New Roman" w:cs="Times New Roman"/>
          <w:sz w:val="21"/>
          <w:szCs w:val="21"/>
          <w:spacing w:val="21"/>
        </w:rPr>
        <w:t xml:space="preserve"> </w:t>
      </w:r>
      <w:r>
        <w:rPr>
          <w:rFonts w:ascii="SimSun" w:hAnsi="SimSun" w:eastAsia="SimSun" w:cs="SimSun"/>
          <w:sz w:val="21"/>
          <w:szCs w:val="21"/>
          <w:spacing w:val="-2"/>
        </w:rPr>
        <w:t>月</w:t>
      </w:r>
      <w:r>
        <w:rPr>
          <w:rFonts w:ascii="SimSun" w:hAnsi="SimSun" w:eastAsia="SimSun" w:cs="SimSun"/>
          <w:sz w:val="21"/>
          <w:szCs w:val="21"/>
          <w:spacing w:val="-34"/>
        </w:rPr>
        <w:t xml:space="preserve"> </w:t>
      </w:r>
      <w:r>
        <w:rPr>
          <w:rFonts w:ascii="Times New Roman" w:hAnsi="Times New Roman" w:eastAsia="Times New Roman" w:cs="Times New Roman"/>
          <w:sz w:val="21"/>
          <w:szCs w:val="21"/>
          <w:spacing w:val="-2"/>
        </w:rPr>
        <w:t>30  </w:t>
      </w:r>
      <w:r>
        <w:rPr>
          <w:rFonts w:ascii="SimSun" w:hAnsi="SimSun" w:eastAsia="SimSun" w:cs="SimSun"/>
          <w:sz w:val="21"/>
          <w:szCs w:val="21"/>
          <w:spacing w:val="-2"/>
        </w:rPr>
        <w:t>日审议批准了交通银行股份有限公司</w:t>
      </w:r>
      <w:r>
        <w:rPr>
          <w:rFonts w:ascii="SimSun" w:hAnsi="SimSun" w:eastAsia="SimSun" w:cs="SimSun"/>
          <w:sz w:val="21"/>
          <w:szCs w:val="21"/>
          <w:spacing w:val="-38"/>
        </w:rPr>
        <w:t xml:space="preserve"> </w:t>
      </w:r>
      <w:r>
        <w:rPr>
          <w:rFonts w:ascii="Times New Roman" w:hAnsi="Times New Roman" w:eastAsia="Times New Roman" w:cs="Times New Roman"/>
          <w:sz w:val="21"/>
          <w:szCs w:val="21"/>
          <w:spacing w:val="-2"/>
        </w:rPr>
        <w:t>202</w:t>
      </w:r>
      <w:r>
        <w:rPr>
          <w:rFonts w:ascii="Times New Roman" w:hAnsi="Times New Roman" w:eastAsia="Times New Roman" w:cs="Times New Roman"/>
          <w:sz w:val="21"/>
          <w:szCs w:val="21"/>
          <w:spacing w:val="-3"/>
        </w:rPr>
        <w:t>2</w:t>
      </w:r>
      <w:r>
        <w:rPr>
          <w:rFonts w:ascii="Times New Roman" w:hAnsi="Times New Roman" w:eastAsia="Times New Roman" w:cs="Times New Roman"/>
          <w:sz w:val="21"/>
          <w:szCs w:val="21"/>
          <w:spacing w:val="19"/>
        </w:rPr>
        <w:t xml:space="preserve"> </w:t>
      </w:r>
      <w:r>
        <w:rPr>
          <w:rFonts w:ascii="SimSun" w:hAnsi="SimSun" w:eastAsia="SimSun" w:cs="SimSun"/>
          <w:sz w:val="21"/>
          <w:szCs w:val="21"/>
          <w:spacing w:val="-3"/>
        </w:rPr>
        <w:t>年度</w:t>
      </w:r>
      <w:r>
        <w:rPr>
          <w:rFonts w:ascii="SimSun" w:hAnsi="SimSun" w:eastAsia="SimSun" w:cs="SimSun"/>
          <w:sz w:val="21"/>
          <w:szCs w:val="21"/>
        </w:rPr>
        <w:t xml:space="preserve"> </w:t>
      </w:r>
      <w:r>
        <w:rPr>
          <w:rFonts w:ascii="SimSun" w:hAnsi="SimSun" w:eastAsia="SimSun" w:cs="SimSun"/>
          <w:sz w:val="21"/>
          <w:szCs w:val="21"/>
          <w:spacing w:val="-4"/>
        </w:rPr>
        <w:t>报告及摘要。出席会议应到董事</w:t>
      </w:r>
      <w:r>
        <w:rPr>
          <w:rFonts w:ascii="SimSun" w:hAnsi="SimSun" w:eastAsia="SimSun" w:cs="SimSun"/>
          <w:sz w:val="21"/>
          <w:szCs w:val="21"/>
          <w:spacing w:val="-18"/>
        </w:rPr>
        <w:t xml:space="preserve"> </w:t>
      </w:r>
      <w:r>
        <w:rPr>
          <w:rFonts w:ascii="Times New Roman" w:hAnsi="Times New Roman" w:eastAsia="Times New Roman" w:cs="Times New Roman"/>
          <w:sz w:val="21"/>
          <w:szCs w:val="21"/>
          <w:spacing w:val="-4"/>
        </w:rPr>
        <w:t>16 </w:t>
      </w:r>
      <w:r>
        <w:rPr>
          <w:rFonts w:ascii="SimSun" w:hAnsi="SimSun" w:eastAsia="SimSun" w:cs="SimSun"/>
          <w:sz w:val="21"/>
          <w:szCs w:val="21"/>
          <w:spacing w:val="-4"/>
        </w:rPr>
        <w:t>名,</w:t>
      </w:r>
      <w:r>
        <w:rPr>
          <w:rFonts w:ascii="SimSun" w:hAnsi="SimSun" w:eastAsia="SimSun" w:cs="SimSun"/>
          <w:sz w:val="21"/>
          <w:szCs w:val="21"/>
          <w:spacing w:val="27"/>
        </w:rPr>
        <w:t xml:space="preserve"> </w:t>
      </w:r>
      <w:r>
        <w:rPr>
          <w:rFonts w:ascii="SimSun" w:hAnsi="SimSun" w:eastAsia="SimSun" w:cs="SimSun"/>
          <w:sz w:val="21"/>
          <w:szCs w:val="21"/>
          <w:spacing w:val="-4"/>
        </w:rPr>
        <w:t>亲自出席董事</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4"/>
        </w:rPr>
        <w:t>15 </w:t>
      </w:r>
      <w:r>
        <w:rPr>
          <w:rFonts w:ascii="SimSun" w:hAnsi="SimSun" w:eastAsia="SimSun" w:cs="SimSun"/>
          <w:sz w:val="21"/>
          <w:szCs w:val="21"/>
          <w:spacing w:val="-4"/>
        </w:rPr>
        <w:t>名, 委托出席董事</w:t>
      </w:r>
      <w:r>
        <w:rPr>
          <w:rFonts w:ascii="SimSun" w:hAnsi="SimSun" w:eastAsia="SimSun" w:cs="SimSun"/>
          <w:sz w:val="21"/>
          <w:szCs w:val="21"/>
          <w:spacing w:val="-30"/>
        </w:rPr>
        <w:t xml:space="preserve"> </w:t>
      </w:r>
      <w:r>
        <w:rPr>
          <w:rFonts w:ascii="Times New Roman" w:hAnsi="Times New Roman" w:eastAsia="Times New Roman" w:cs="Times New Roman"/>
          <w:sz w:val="21"/>
          <w:szCs w:val="21"/>
          <w:spacing w:val="-4"/>
        </w:rPr>
        <w:t>1</w:t>
      </w:r>
      <w:r>
        <w:rPr>
          <w:rFonts w:ascii="Times New Roman" w:hAnsi="Times New Roman" w:eastAsia="Times New Roman" w:cs="Times New Roman"/>
          <w:sz w:val="21"/>
          <w:szCs w:val="21"/>
          <w:spacing w:val="8"/>
        </w:rPr>
        <w:t xml:space="preserve"> </w:t>
      </w:r>
      <w:r>
        <w:rPr>
          <w:rFonts w:ascii="SimSun" w:hAnsi="SimSun" w:eastAsia="SimSun" w:cs="SimSun"/>
          <w:sz w:val="21"/>
          <w:szCs w:val="21"/>
          <w:spacing w:val="-4"/>
        </w:rPr>
        <w:t>名,</w:t>
      </w:r>
      <w:r>
        <w:rPr>
          <w:rFonts w:ascii="SimSun" w:hAnsi="SimSun" w:eastAsia="SimSun" w:cs="SimSun"/>
          <w:sz w:val="21"/>
          <w:szCs w:val="21"/>
          <w:spacing w:val="28"/>
        </w:rPr>
        <w:t xml:space="preserve"> </w:t>
      </w:r>
      <w:r>
        <w:rPr>
          <w:rFonts w:ascii="SimSun" w:hAnsi="SimSun" w:eastAsia="SimSun" w:cs="SimSun"/>
          <w:sz w:val="21"/>
          <w:szCs w:val="21"/>
          <w:spacing w:val="-4"/>
        </w:rPr>
        <w:t>石磊独立董事因事,</w:t>
      </w:r>
      <w:r>
        <w:rPr>
          <w:rFonts w:ascii="SimSun" w:hAnsi="SimSun" w:eastAsia="SimSun" w:cs="SimSun"/>
          <w:sz w:val="21"/>
          <w:szCs w:val="21"/>
          <w:spacing w:val="28"/>
        </w:rPr>
        <w:t xml:space="preserve"> </w:t>
      </w:r>
      <w:r>
        <w:rPr>
          <w:rFonts w:ascii="SimSun" w:hAnsi="SimSun" w:eastAsia="SimSun" w:cs="SimSun"/>
          <w:sz w:val="21"/>
          <w:szCs w:val="21"/>
          <w:spacing w:val="-4"/>
        </w:rPr>
        <w:t>书</w:t>
      </w:r>
      <w:r>
        <w:rPr>
          <w:rFonts w:ascii="SimSun" w:hAnsi="SimSun" w:eastAsia="SimSun" w:cs="SimSun"/>
          <w:sz w:val="21"/>
          <w:szCs w:val="21"/>
        </w:rPr>
        <w:t xml:space="preserve"> </w:t>
      </w:r>
      <w:r>
        <w:rPr>
          <w:rFonts w:ascii="SimSun" w:hAnsi="SimSun" w:eastAsia="SimSun" w:cs="SimSun"/>
          <w:sz w:val="21"/>
          <w:szCs w:val="21"/>
        </w:rPr>
        <w:t>面委托李晓慧独立董事出席会议并代为行使表决</w:t>
      </w:r>
      <w:r>
        <w:rPr>
          <w:rFonts w:ascii="SimSun" w:hAnsi="SimSun" w:eastAsia="SimSun" w:cs="SimSun"/>
          <w:sz w:val="21"/>
          <w:szCs w:val="21"/>
          <w:spacing w:val="-1"/>
        </w:rPr>
        <w:t>权。</w:t>
      </w:r>
    </w:p>
    <w:p>
      <w:pPr>
        <w:pStyle w:val="BodyText"/>
        <w:spacing w:line="241" w:lineRule="auto"/>
        <w:rPr/>
      </w:pPr>
      <w:r/>
    </w:p>
    <w:p>
      <w:pPr>
        <w:ind w:right="63" w:firstLine="421"/>
        <w:spacing w:before="68" w:line="268" w:lineRule="auto"/>
        <w:rPr>
          <w:rFonts w:ascii="SimSun" w:hAnsi="SimSun" w:eastAsia="SimSun" w:cs="SimSun"/>
          <w:sz w:val="21"/>
          <w:szCs w:val="21"/>
        </w:rPr>
      </w:pPr>
      <w:r>
        <w:rPr>
          <w:rFonts w:ascii="SimSun" w:hAnsi="SimSun" w:eastAsia="SimSun" w:cs="SimSun"/>
          <w:sz w:val="21"/>
          <w:szCs w:val="21"/>
        </w:rPr>
        <w:t>三、本行董事长任德奇先生、主管会计工作负</w:t>
      </w:r>
      <w:r>
        <w:rPr>
          <w:rFonts w:ascii="SimSun" w:hAnsi="SimSun" w:eastAsia="SimSun" w:cs="SimSun"/>
          <w:sz w:val="21"/>
          <w:szCs w:val="21"/>
          <w:spacing w:val="-1"/>
        </w:rPr>
        <w:t>责人刘琪先生及会计机构负责人陈喻先生声明: 保证年</w:t>
      </w:r>
      <w:r>
        <w:rPr>
          <w:rFonts w:ascii="SimSun" w:hAnsi="SimSun" w:eastAsia="SimSun" w:cs="SimSun"/>
          <w:sz w:val="21"/>
          <w:szCs w:val="21"/>
        </w:rPr>
        <w:t xml:space="preserve"> </w:t>
      </w:r>
      <w:r>
        <w:rPr>
          <w:rFonts w:ascii="SimSun" w:hAnsi="SimSun" w:eastAsia="SimSun" w:cs="SimSun"/>
          <w:sz w:val="21"/>
          <w:szCs w:val="21"/>
          <w:spacing w:val="-2"/>
        </w:rPr>
        <w:t>度报告中财务报告的真实、准确、完整。</w:t>
      </w:r>
    </w:p>
    <w:p>
      <w:pPr>
        <w:pStyle w:val="BodyText"/>
        <w:rPr/>
      </w:pPr>
      <w:r/>
    </w:p>
    <w:p>
      <w:pPr>
        <w:ind w:left="2" w:firstLine="439"/>
        <w:spacing w:before="69" w:line="267" w:lineRule="auto"/>
        <w:rPr>
          <w:rFonts w:ascii="SimSun" w:hAnsi="SimSun" w:eastAsia="SimSun" w:cs="SimSun"/>
          <w:sz w:val="21"/>
          <w:szCs w:val="21"/>
        </w:rPr>
      </w:pPr>
      <w:r>
        <w:rPr>
          <w:rFonts w:ascii="SimSun" w:hAnsi="SimSun" w:eastAsia="SimSun" w:cs="SimSun"/>
          <w:sz w:val="21"/>
          <w:szCs w:val="21"/>
          <w:spacing w:val="1"/>
        </w:rPr>
        <w:t>四、本集团按照中国会计准则编制的财务报表经毕马威华振会计师事</w:t>
      </w:r>
      <w:r>
        <w:rPr>
          <w:rFonts w:ascii="SimSun" w:hAnsi="SimSun" w:eastAsia="SimSun" w:cs="SimSun"/>
          <w:sz w:val="21"/>
          <w:szCs w:val="21"/>
        </w:rPr>
        <w:t>务所(特殊普通合伙) 审计,</w:t>
      </w:r>
      <w:r>
        <w:rPr>
          <w:rFonts w:ascii="SimSun" w:hAnsi="SimSun" w:eastAsia="SimSun" w:cs="SimSun"/>
          <w:sz w:val="21"/>
          <w:szCs w:val="21"/>
          <w:spacing w:val="28"/>
        </w:rPr>
        <w:t xml:space="preserve"> </w:t>
      </w:r>
      <w:r>
        <w:rPr>
          <w:rFonts w:ascii="SimSun" w:hAnsi="SimSun" w:eastAsia="SimSun" w:cs="SimSun"/>
          <w:sz w:val="21"/>
          <w:szCs w:val="21"/>
        </w:rPr>
        <w:t>按 </w:t>
      </w:r>
      <w:r>
        <w:rPr>
          <w:rFonts w:ascii="SimSun" w:hAnsi="SimSun" w:eastAsia="SimSun" w:cs="SimSun"/>
          <w:sz w:val="21"/>
          <w:szCs w:val="21"/>
          <w:spacing w:val="3"/>
        </w:rPr>
        <w:t>照国际财务报告准则编制的财务报表经毕马威会计师事务所审计,均出具了标准无保留意见的审计报告。</w:t>
      </w:r>
    </w:p>
    <w:p>
      <w:pPr>
        <w:ind w:left="3" w:right="95" w:firstLine="422"/>
        <w:spacing w:before="309" w:line="285" w:lineRule="auto"/>
        <w:jc w:val="both"/>
        <w:rPr>
          <w:rFonts w:ascii="SimSun" w:hAnsi="SimSun" w:eastAsia="SimSun" w:cs="SimSun"/>
          <w:sz w:val="21"/>
          <w:szCs w:val="21"/>
        </w:rPr>
      </w:pPr>
      <w:r>
        <w:rPr>
          <w:rFonts w:ascii="SimSun" w:hAnsi="SimSun" w:eastAsia="SimSun" w:cs="SimSun"/>
          <w:sz w:val="21"/>
          <w:szCs w:val="21"/>
          <w:spacing w:val="-1"/>
        </w:rPr>
        <w:t>五、经董事会审议的</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1"/>
        </w:rPr>
        <w:t>2022 </w:t>
      </w:r>
      <w:r>
        <w:rPr>
          <w:rFonts w:ascii="SimSun" w:hAnsi="SimSun" w:eastAsia="SimSun" w:cs="SimSun"/>
          <w:sz w:val="21"/>
          <w:szCs w:val="21"/>
          <w:spacing w:val="-1"/>
        </w:rPr>
        <w:t>年度利润分配预案:</w:t>
      </w:r>
      <w:r>
        <w:rPr>
          <w:rFonts w:ascii="SimSun" w:hAnsi="SimSun" w:eastAsia="SimSun" w:cs="SimSun"/>
          <w:sz w:val="21"/>
          <w:szCs w:val="21"/>
          <w:spacing w:val="52"/>
        </w:rPr>
        <w:t xml:space="preserve"> </w:t>
      </w:r>
      <w:r>
        <w:rPr>
          <w:rFonts w:ascii="SimSun" w:hAnsi="SimSun" w:eastAsia="SimSun" w:cs="SimSun"/>
          <w:sz w:val="21"/>
          <w:szCs w:val="21"/>
          <w:spacing w:val="-1"/>
        </w:rPr>
        <w:t>以报告期末</w:t>
      </w:r>
      <w:r>
        <w:rPr>
          <w:rFonts w:ascii="SimSun" w:hAnsi="SimSun" w:eastAsia="SimSun" w:cs="SimSun"/>
          <w:sz w:val="21"/>
          <w:szCs w:val="21"/>
          <w:spacing w:val="-2"/>
        </w:rPr>
        <w:t>本行已发行普通股总股份</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2"/>
        </w:rPr>
        <w:t>742.63 </w:t>
      </w:r>
      <w:r>
        <w:rPr>
          <w:rFonts w:ascii="SimSun" w:hAnsi="SimSun" w:eastAsia="SimSun" w:cs="SimSun"/>
          <w:sz w:val="21"/>
          <w:szCs w:val="21"/>
          <w:spacing w:val="-2"/>
        </w:rPr>
        <w:t>亿股为基</w:t>
      </w:r>
      <w:r>
        <w:rPr>
          <w:rFonts w:ascii="SimSun" w:hAnsi="SimSun" w:eastAsia="SimSun" w:cs="SimSun"/>
          <w:sz w:val="21"/>
          <w:szCs w:val="21"/>
        </w:rPr>
        <w:t xml:space="preserve"> </w:t>
      </w:r>
      <w:r>
        <w:rPr>
          <w:rFonts w:ascii="SimSun" w:hAnsi="SimSun" w:eastAsia="SimSun" w:cs="SimSun"/>
          <w:sz w:val="21"/>
          <w:szCs w:val="21"/>
          <w:spacing w:val="3"/>
        </w:rPr>
        <w:t>数,向本行登记在册的</w:t>
      </w:r>
      <w:r>
        <w:rPr>
          <w:rFonts w:ascii="SimSun" w:hAnsi="SimSun" w:eastAsia="SimSun" w:cs="SimSun"/>
          <w:sz w:val="21"/>
          <w:szCs w:val="21"/>
          <w:spacing w:val="-45"/>
        </w:rPr>
        <w:t xml:space="preserve"> </w:t>
      </w:r>
      <w:r>
        <w:rPr>
          <w:rFonts w:ascii="Times New Roman" w:hAnsi="Times New Roman" w:eastAsia="Times New Roman" w:cs="Times New Roman"/>
          <w:sz w:val="21"/>
          <w:szCs w:val="21"/>
          <w:spacing w:val="3"/>
        </w:rPr>
        <w:t>A </w:t>
      </w:r>
      <w:r>
        <w:rPr>
          <w:rFonts w:ascii="SimSun" w:hAnsi="SimSun" w:eastAsia="SimSun" w:cs="SimSun"/>
          <w:sz w:val="21"/>
          <w:szCs w:val="21"/>
          <w:spacing w:val="3"/>
        </w:rPr>
        <w:t>股和</w:t>
      </w:r>
      <w:r>
        <w:rPr>
          <w:rFonts w:ascii="SimSun" w:hAnsi="SimSun" w:eastAsia="SimSun" w:cs="SimSun"/>
          <w:sz w:val="21"/>
          <w:szCs w:val="21"/>
          <w:spacing w:val="-50"/>
        </w:rPr>
        <w:t xml:space="preserve"> </w:t>
      </w:r>
      <w:r>
        <w:rPr>
          <w:rFonts w:ascii="Times New Roman" w:hAnsi="Times New Roman" w:eastAsia="Times New Roman" w:cs="Times New Roman"/>
          <w:sz w:val="21"/>
          <w:szCs w:val="21"/>
          <w:spacing w:val="3"/>
        </w:rPr>
        <w:t>H </w:t>
      </w:r>
      <w:r>
        <w:rPr>
          <w:rFonts w:ascii="SimSun" w:hAnsi="SimSun" w:eastAsia="SimSun" w:cs="SimSun"/>
          <w:sz w:val="21"/>
          <w:szCs w:val="21"/>
          <w:spacing w:val="3"/>
        </w:rPr>
        <w:t>股股东,</w:t>
      </w:r>
      <w:r>
        <w:rPr>
          <w:rFonts w:ascii="SimSun" w:hAnsi="SimSun" w:eastAsia="SimSun" w:cs="SimSun"/>
          <w:sz w:val="21"/>
          <w:szCs w:val="21"/>
          <w:spacing w:val="28"/>
        </w:rPr>
        <w:t xml:space="preserve"> </w:t>
      </w:r>
      <w:r>
        <w:rPr>
          <w:rFonts w:ascii="SimSun" w:hAnsi="SimSun" w:eastAsia="SimSun" w:cs="SimSun"/>
          <w:sz w:val="21"/>
          <w:szCs w:val="21"/>
          <w:spacing w:val="3"/>
        </w:rPr>
        <w:t>每股分配现金股利人民币</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3"/>
        </w:rPr>
        <w:t>0.373 </w:t>
      </w:r>
      <w:r>
        <w:rPr>
          <w:rFonts w:ascii="SimSun" w:hAnsi="SimSun" w:eastAsia="SimSun" w:cs="SimSun"/>
          <w:sz w:val="21"/>
          <w:szCs w:val="21"/>
          <w:spacing w:val="3"/>
        </w:rPr>
        <w:t>元(含税), 共分配现金股利人</w:t>
      </w:r>
      <w:r>
        <w:rPr>
          <w:rFonts w:ascii="SimSun" w:hAnsi="SimSun" w:eastAsia="SimSun" w:cs="SimSun"/>
          <w:sz w:val="21"/>
          <w:szCs w:val="21"/>
        </w:rPr>
        <w:t xml:space="preserve"> </w:t>
      </w:r>
      <w:r>
        <w:rPr>
          <w:rFonts w:ascii="SimSun" w:hAnsi="SimSun" w:eastAsia="SimSun" w:cs="SimSun"/>
          <w:sz w:val="21"/>
          <w:szCs w:val="21"/>
          <w:spacing w:val="-3"/>
        </w:rPr>
        <w:t>民币</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277.00 </w:t>
      </w:r>
      <w:r>
        <w:rPr>
          <w:rFonts w:ascii="SimSun" w:hAnsi="SimSun" w:eastAsia="SimSun" w:cs="SimSun"/>
          <w:sz w:val="21"/>
          <w:szCs w:val="21"/>
          <w:spacing w:val="-3"/>
        </w:rPr>
        <w:t>亿元。</w:t>
      </w:r>
      <w:r>
        <w:rPr>
          <w:rFonts w:ascii="SimSun" w:hAnsi="SimSun" w:eastAsia="SimSun" w:cs="SimSun"/>
          <w:sz w:val="21"/>
          <w:szCs w:val="21"/>
          <w:spacing w:val="-30"/>
        </w:rPr>
        <w:t xml:space="preserve"> </w:t>
      </w:r>
      <w:r>
        <w:rPr>
          <w:rFonts w:ascii="SimSun" w:hAnsi="SimSun" w:eastAsia="SimSun" w:cs="SimSun"/>
          <w:sz w:val="21"/>
          <w:szCs w:val="21"/>
          <w:spacing w:val="-3"/>
        </w:rPr>
        <w:t>本年度无送红股及资本公</w:t>
      </w:r>
      <w:r>
        <w:rPr>
          <w:rFonts w:ascii="SimSun" w:hAnsi="SimSun" w:eastAsia="SimSun" w:cs="SimSun"/>
          <w:sz w:val="21"/>
          <w:szCs w:val="21"/>
          <w:spacing w:val="-4"/>
        </w:rPr>
        <w:t>积转增股本预案。</w:t>
      </w:r>
    </w:p>
    <w:p>
      <w:pPr>
        <w:pStyle w:val="BodyText"/>
        <w:spacing w:line="241" w:lineRule="auto"/>
        <w:rPr/>
      </w:pPr>
      <w:r/>
    </w:p>
    <w:p>
      <w:pPr>
        <w:ind w:left="10" w:right="68" w:firstLine="413"/>
        <w:spacing w:before="69" w:line="267" w:lineRule="auto"/>
        <w:rPr>
          <w:rFonts w:ascii="SimSun" w:hAnsi="SimSun" w:eastAsia="SimSun" w:cs="SimSun"/>
          <w:sz w:val="21"/>
          <w:szCs w:val="21"/>
        </w:rPr>
      </w:pPr>
      <w:r>
        <w:rPr>
          <w:rFonts w:ascii="SimSun" w:hAnsi="SimSun" w:eastAsia="SimSun" w:cs="SimSun"/>
          <w:sz w:val="21"/>
          <w:szCs w:val="21"/>
          <w:spacing w:val="-1"/>
        </w:rPr>
        <w:t>六、本报告所涉及的未来计划、发展战略等前瞻性描述,</w:t>
      </w:r>
      <w:r>
        <w:rPr>
          <w:rFonts w:ascii="SimSun" w:hAnsi="SimSun" w:eastAsia="SimSun" w:cs="SimSun"/>
          <w:sz w:val="21"/>
          <w:szCs w:val="21"/>
          <w:spacing w:val="30"/>
        </w:rPr>
        <w:t xml:space="preserve"> </w:t>
      </w:r>
      <w:r>
        <w:rPr>
          <w:rFonts w:ascii="SimSun" w:hAnsi="SimSun" w:eastAsia="SimSun" w:cs="SimSun"/>
          <w:sz w:val="21"/>
          <w:szCs w:val="21"/>
          <w:spacing w:val="-1"/>
        </w:rPr>
        <w:t>不构成本</w:t>
      </w:r>
      <w:r>
        <w:rPr>
          <w:rFonts w:ascii="SimSun" w:hAnsi="SimSun" w:eastAsia="SimSun" w:cs="SimSun"/>
          <w:sz w:val="21"/>
          <w:szCs w:val="21"/>
          <w:spacing w:val="-2"/>
        </w:rPr>
        <w:t>集团对投资者的实质承诺, 敬请投</w:t>
      </w:r>
      <w:r>
        <w:rPr>
          <w:rFonts w:ascii="SimSun" w:hAnsi="SimSun" w:eastAsia="SimSun" w:cs="SimSun"/>
          <w:sz w:val="21"/>
          <w:szCs w:val="21"/>
        </w:rPr>
        <w:t xml:space="preserve"> </w:t>
      </w:r>
      <w:r>
        <w:rPr>
          <w:rFonts w:ascii="SimSun" w:hAnsi="SimSun" w:eastAsia="SimSun" w:cs="SimSun"/>
          <w:sz w:val="21"/>
          <w:szCs w:val="21"/>
          <w:spacing w:val="2"/>
        </w:rPr>
        <w:t>资者及相关人士对此保持足够的风险认识,并理解计划、预测与承诺之间的差异。</w:t>
      </w:r>
    </w:p>
    <w:p>
      <w:pPr>
        <w:pStyle w:val="BodyText"/>
        <w:spacing w:line="242" w:lineRule="auto"/>
        <w:rPr/>
      </w:pPr>
      <w:r/>
    </w:p>
    <w:p>
      <w:pPr>
        <w:ind w:left="4" w:right="64" w:firstLine="417"/>
        <w:spacing w:before="68" w:line="267" w:lineRule="auto"/>
        <w:rPr>
          <w:rFonts w:ascii="SimSun" w:hAnsi="SimSun" w:eastAsia="SimSun" w:cs="SimSun"/>
          <w:sz w:val="21"/>
          <w:szCs w:val="21"/>
        </w:rPr>
      </w:pPr>
      <w:r>
        <w:rPr>
          <w:rFonts w:ascii="SimSun" w:hAnsi="SimSun" w:eastAsia="SimSun" w:cs="SimSun"/>
          <w:sz w:val="21"/>
          <w:szCs w:val="21"/>
        </w:rPr>
        <w:t>七、本集团在经营活动中主要面临信用风险</w:t>
      </w:r>
      <w:r>
        <w:rPr>
          <w:rFonts w:ascii="SimSun" w:hAnsi="SimSun" w:eastAsia="SimSun" w:cs="SimSun"/>
          <w:sz w:val="21"/>
          <w:szCs w:val="21"/>
          <w:spacing w:val="-1"/>
        </w:rPr>
        <w:t>、市场风险、操作风险、合规风险等。本集团已经并将继</w:t>
      </w:r>
      <w:r>
        <w:rPr>
          <w:rFonts w:ascii="SimSun" w:hAnsi="SimSun" w:eastAsia="SimSun" w:cs="SimSun"/>
          <w:sz w:val="21"/>
          <w:szCs w:val="21"/>
        </w:rPr>
        <w:t xml:space="preserve"> </w:t>
      </w:r>
      <w:r>
        <w:rPr>
          <w:rFonts w:ascii="SimSun" w:hAnsi="SimSun" w:eastAsia="SimSun" w:cs="SimSun"/>
          <w:sz w:val="21"/>
          <w:szCs w:val="21"/>
          <w:spacing w:val="3"/>
        </w:rPr>
        <w:t>续采取各种措施有效管控风险,</w:t>
      </w:r>
      <w:r>
        <w:rPr>
          <w:rFonts w:ascii="SimSun" w:hAnsi="SimSun" w:eastAsia="SimSun" w:cs="SimSun"/>
          <w:sz w:val="21"/>
          <w:szCs w:val="21"/>
          <w:spacing w:val="-22"/>
        </w:rPr>
        <w:t xml:space="preserve"> </w:t>
      </w:r>
      <w:r>
        <w:rPr>
          <w:rFonts w:ascii="SimSun" w:hAnsi="SimSun" w:eastAsia="SimSun" w:cs="SimSun"/>
          <w:sz w:val="21"/>
          <w:szCs w:val="21"/>
          <w:spacing w:val="3"/>
        </w:rPr>
        <w:t>具体情况参见"管理层讨论与分析-风险管理"</w:t>
      </w:r>
      <w:r>
        <w:rPr>
          <w:rFonts w:ascii="SimSun" w:hAnsi="SimSun" w:eastAsia="SimSun" w:cs="SimSun"/>
          <w:sz w:val="21"/>
          <w:szCs w:val="21"/>
          <w:spacing w:val="2"/>
        </w:rPr>
        <w:t>部分,</w:t>
      </w:r>
      <w:r>
        <w:rPr>
          <w:rFonts w:ascii="SimSun" w:hAnsi="SimSun" w:eastAsia="SimSun" w:cs="SimSun"/>
          <w:sz w:val="21"/>
          <w:szCs w:val="21"/>
          <w:spacing w:val="-30"/>
        </w:rPr>
        <w:t xml:space="preserve"> </w:t>
      </w:r>
      <w:r>
        <w:rPr>
          <w:rFonts w:ascii="SimSun" w:hAnsi="SimSun" w:eastAsia="SimSun" w:cs="SimSun"/>
          <w:sz w:val="21"/>
          <w:szCs w:val="21"/>
          <w:spacing w:val="2"/>
        </w:rPr>
        <w:t>请投资者注意阅读。</w:t>
      </w:r>
    </w:p>
    <w:p>
      <w:pPr>
        <w:spacing w:line="267" w:lineRule="auto"/>
        <w:sectPr>
          <w:footerReference w:type="default" r:id="rId4"/>
          <w:pgSz w:w="11907" w:h="16839"/>
          <w:pgMar w:top="1164" w:right="1064" w:bottom="1375" w:left="1139" w:header="0" w:footer="1211" w:gutter="0"/>
        </w:sectPr>
        <w:rPr>
          <w:rFonts w:ascii="SimSun" w:hAnsi="SimSun" w:eastAsia="SimSun" w:cs="SimSun"/>
          <w:sz w:val="21"/>
          <w:szCs w:val="21"/>
        </w:rPr>
      </w:pPr>
    </w:p>
    <w:p>
      <w:pPr>
        <w:ind w:left="4399"/>
        <w:spacing w:before="79" w:line="221" w:lineRule="auto"/>
        <w:rPr>
          <w:rFonts w:ascii="SimSun" w:hAnsi="SimSun" w:eastAsia="SimSun" w:cs="SimSun"/>
          <w:sz w:val="40"/>
          <w:szCs w:val="40"/>
        </w:rPr>
      </w:pPr>
      <w:bookmarkStart w:name="bookmark4" w:id="4"/>
      <w:bookmarkEnd w:id="4"/>
      <w:r>
        <w:rPr>
          <w:rFonts w:ascii="SimSun" w:hAnsi="SimSun" w:eastAsia="SimSun" w:cs="SimSun"/>
          <w:sz w:val="40"/>
          <w:szCs w:val="40"/>
          <w:b/>
          <w:bCs/>
          <w:spacing w:val="-7"/>
        </w:rPr>
        <w:t>释义</w:t>
      </w:r>
    </w:p>
    <w:p>
      <w:pPr>
        <w:ind w:left="490"/>
        <w:spacing w:before="302" w:line="218" w:lineRule="auto"/>
        <w:rPr>
          <w:rFonts w:ascii="SimSun" w:hAnsi="SimSun" w:eastAsia="SimSun" w:cs="SimSun"/>
          <w:sz w:val="21"/>
          <w:szCs w:val="21"/>
        </w:rPr>
      </w:pPr>
      <w:r>
        <w:rPr>
          <w:rFonts w:ascii="SimSun" w:hAnsi="SimSun" w:eastAsia="SimSun" w:cs="SimSun"/>
          <w:sz w:val="21"/>
          <w:szCs w:val="21"/>
          <w:spacing w:val="8"/>
        </w:rPr>
        <w:t>在本报告中,除非文义另有所指,下列词语具有如下含义:</w:t>
      </w:r>
    </w:p>
    <w:p>
      <w:pPr>
        <w:spacing w:line="204" w:lineRule="exact"/>
        <w:rPr/>
      </w:pPr>
      <w:r/>
    </w:p>
    <w:tbl>
      <w:tblPr>
        <w:tblStyle w:val="TableNormal"/>
        <w:tblW w:w="976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723"/>
        <w:gridCol w:w="7037"/>
      </w:tblGrid>
      <w:tr>
        <w:trPr>
          <w:trHeight w:val="405" w:hRule="atLeast"/>
        </w:trPr>
        <w:tc>
          <w:tcPr>
            <w:tcW w:w="2723" w:type="dxa"/>
            <w:vAlign w:val="top"/>
          </w:tcPr>
          <w:p>
            <w:pPr>
              <w:pStyle w:val="TableText"/>
              <w:ind w:left="66"/>
              <w:spacing w:before="72" w:line="278" w:lineRule="exact"/>
              <w:rPr/>
            </w:pPr>
            <w:r>
              <w:rPr>
                <w:spacing w:val="-1"/>
                <w:position w:val="1"/>
              </w:rPr>
              <w:t>本行</w:t>
            </w:r>
            <w:r>
              <w:rPr>
                <w:rFonts w:ascii="Times New Roman" w:hAnsi="Times New Roman" w:eastAsia="Times New Roman" w:cs="Times New Roman"/>
                <w:spacing w:val="-1"/>
                <w:position w:val="1"/>
              </w:rPr>
              <w:t>/</w:t>
            </w:r>
            <w:r>
              <w:rPr>
                <w:spacing w:val="-1"/>
                <w:position w:val="1"/>
              </w:rPr>
              <w:t>本银行</w:t>
            </w:r>
            <w:r>
              <w:rPr>
                <w:rFonts w:ascii="Times New Roman" w:hAnsi="Times New Roman" w:eastAsia="Times New Roman" w:cs="Times New Roman"/>
                <w:spacing w:val="-1"/>
                <w:position w:val="1"/>
              </w:rPr>
              <w:t>/</w:t>
            </w:r>
            <w:r>
              <w:rPr>
                <w:spacing w:val="-1"/>
                <w:position w:val="1"/>
              </w:rPr>
              <w:t>交行</w:t>
            </w:r>
          </w:p>
        </w:tc>
        <w:tc>
          <w:tcPr>
            <w:tcW w:w="7037" w:type="dxa"/>
            <w:vAlign w:val="top"/>
          </w:tcPr>
          <w:p>
            <w:pPr>
              <w:pStyle w:val="TableText"/>
              <w:ind w:left="67"/>
              <w:spacing w:before="104" w:line="221" w:lineRule="auto"/>
              <w:rPr/>
            </w:pPr>
            <w:r>
              <w:rPr>
                <w:spacing w:val="-1"/>
              </w:rPr>
              <w:t>交通银行股份有限公司</w:t>
            </w:r>
          </w:p>
        </w:tc>
      </w:tr>
      <w:tr>
        <w:trPr>
          <w:trHeight w:val="398" w:hRule="atLeast"/>
        </w:trPr>
        <w:tc>
          <w:tcPr>
            <w:tcW w:w="2723" w:type="dxa"/>
            <w:vAlign w:val="top"/>
          </w:tcPr>
          <w:p>
            <w:pPr>
              <w:pStyle w:val="TableText"/>
              <w:ind w:left="66"/>
              <w:spacing w:before="68" w:line="277" w:lineRule="exact"/>
              <w:rPr/>
            </w:pPr>
            <w:r>
              <w:rPr>
                <w:spacing w:val="-1"/>
                <w:position w:val="1"/>
              </w:rPr>
              <w:t>本集团</w:t>
            </w:r>
            <w:r>
              <w:rPr>
                <w:rFonts w:ascii="Times New Roman" w:hAnsi="Times New Roman" w:eastAsia="Times New Roman" w:cs="Times New Roman"/>
                <w:spacing w:val="-1"/>
                <w:position w:val="1"/>
              </w:rPr>
              <w:t>/</w:t>
            </w:r>
            <w:r>
              <w:rPr>
                <w:spacing w:val="-1"/>
                <w:position w:val="1"/>
              </w:rPr>
              <w:t>集团</w:t>
            </w:r>
          </w:p>
        </w:tc>
        <w:tc>
          <w:tcPr>
            <w:tcW w:w="7037" w:type="dxa"/>
            <w:vAlign w:val="top"/>
          </w:tcPr>
          <w:p>
            <w:pPr>
              <w:pStyle w:val="TableText"/>
              <w:ind w:left="63"/>
              <w:spacing w:before="99" w:line="221" w:lineRule="auto"/>
              <w:rPr/>
            </w:pPr>
            <w:r>
              <w:rPr>
                <w:spacing w:val="-1"/>
              </w:rPr>
              <w:t>本行及附属公司</w:t>
            </w:r>
          </w:p>
        </w:tc>
      </w:tr>
      <w:tr>
        <w:trPr>
          <w:trHeight w:val="400" w:hRule="atLeast"/>
        </w:trPr>
        <w:tc>
          <w:tcPr>
            <w:tcW w:w="2723" w:type="dxa"/>
            <w:vAlign w:val="top"/>
          </w:tcPr>
          <w:p>
            <w:pPr>
              <w:pStyle w:val="TableText"/>
              <w:ind w:left="66"/>
              <w:spacing w:before="100" w:line="221" w:lineRule="auto"/>
              <w:rPr/>
            </w:pPr>
            <w:r>
              <w:rPr>
                <w:spacing w:val="-2"/>
              </w:rPr>
              <w:t>财政部</w:t>
            </w:r>
          </w:p>
        </w:tc>
        <w:tc>
          <w:tcPr>
            <w:tcW w:w="7037" w:type="dxa"/>
            <w:vAlign w:val="top"/>
          </w:tcPr>
          <w:p>
            <w:pPr>
              <w:pStyle w:val="TableText"/>
              <w:ind w:left="82"/>
              <w:spacing w:before="100" w:line="221" w:lineRule="auto"/>
              <w:rPr/>
            </w:pPr>
            <w:r>
              <w:rPr>
                <w:spacing w:val="-3"/>
              </w:rPr>
              <w:t>中华人民共和国财政部</w:t>
            </w:r>
          </w:p>
        </w:tc>
      </w:tr>
      <w:tr>
        <w:trPr>
          <w:trHeight w:val="398" w:hRule="atLeast"/>
        </w:trPr>
        <w:tc>
          <w:tcPr>
            <w:tcW w:w="2723" w:type="dxa"/>
            <w:vAlign w:val="top"/>
          </w:tcPr>
          <w:p>
            <w:pPr>
              <w:pStyle w:val="TableText"/>
              <w:ind w:left="65"/>
              <w:spacing w:before="98" w:line="222" w:lineRule="auto"/>
              <w:rPr/>
            </w:pPr>
            <w:r>
              <w:rPr>
                <w:spacing w:val="-2"/>
              </w:rPr>
              <w:t>汇丰银行</w:t>
            </w:r>
          </w:p>
        </w:tc>
        <w:tc>
          <w:tcPr>
            <w:tcW w:w="7037" w:type="dxa"/>
            <w:vAlign w:val="top"/>
          </w:tcPr>
          <w:p>
            <w:pPr>
              <w:pStyle w:val="TableText"/>
              <w:ind w:left="64"/>
              <w:spacing w:before="98" w:line="222" w:lineRule="auto"/>
              <w:rPr/>
            </w:pPr>
            <w:r>
              <w:rPr>
                <w:spacing w:val="-1"/>
              </w:rPr>
              <w:t>香港上海汇丰银行有限公司</w:t>
            </w:r>
          </w:p>
        </w:tc>
      </w:tr>
      <w:tr>
        <w:trPr>
          <w:trHeight w:val="398" w:hRule="atLeast"/>
        </w:trPr>
        <w:tc>
          <w:tcPr>
            <w:tcW w:w="2723" w:type="dxa"/>
            <w:vAlign w:val="top"/>
          </w:tcPr>
          <w:p>
            <w:pPr>
              <w:pStyle w:val="TableText"/>
              <w:ind w:left="67"/>
              <w:spacing w:before="100" w:line="221" w:lineRule="auto"/>
              <w:rPr/>
            </w:pPr>
            <w:r>
              <w:rPr>
                <w:spacing w:val="-2"/>
              </w:rPr>
              <w:t>社保基金会</w:t>
            </w:r>
          </w:p>
        </w:tc>
        <w:tc>
          <w:tcPr>
            <w:tcW w:w="7037" w:type="dxa"/>
            <w:vAlign w:val="top"/>
          </w:tcPr>
          <w:p>
            <w:pPr>
              <w:pStyle w:val="TableText"/>
              <w:ind w:left="62"/>
              <w:spacing w:before="100" w:line="221" w:lineRule="auto"/>
              <w:rPr/>
            </w:pPr>
            <w:r>
              <w:rPr>
                <w:spacing w:val="-1"/>
              </w:rPr>
              <w:t>全国社会保障基金理事会</w:t>
            </w:r>
          </w:p>
        </w:tc>
      </w:tr>
      <w:tr>
        <w:trPr>
          <w:trHeight w:val="401" w:hRule="atLeast"/>
        </w:trPr>
        <w:tc>
          <w:tcPr>
            <w:tcW w:w="2723" w:type="dxa"/>
            <w:vAlign w:val="top"/>
          </w:tcPr>
          <w:p>
            <w:pPr>
              <w:pStyle w:val="TableText"/>
              <w:ind w:left="65"/>
              <w:spacing w:before="101" w:line="223" w:lineRule="auto"/>
              <w:rPr/>
            </w:pPr>
            <w:r>
              <w:rPr>
                <w:spacing w:val="-2"/>
              </w:rPr>
              <w:t>汇金公司</w:t>
            </w:r>
          </w:p>
        </w:tc>
        <w:tc>
          <w:tcPr>
            <w:tcW w:w="7037" w:type="dxa"/>
            <w:vAlign w:val="top"/>
          </w:tcPr>
          <w:p>
            <w:pPr>
              <w:pStyle w:val="TableText"/>
              <w:ind w:left="82"/>
              <w:spacing w:before="101" w:line="221" w:lineRule="auto"/>
              <w:rPr/>
            </w:pPr>
            <w:r>
              <w:rPr>
                <w:spacing w:val="-3"/>
              </w:rPr>
              <w:t>中央汇金投资有限责任公司</w:t>
            </w:r>
          </w:p>
        </w:tc>
      </w:tr>
      <w:tr>
        <w:trPr>
          <w:trHeight w:val="398" w:hRule="atLeast"/>
        </w:trPr>
        <w:tc>
          <w:tcPr>
            <w:tcW w:w="2723" w:type="dxa"/>
            <w:vAlign w:val="top"/>
          </w:tcPr>
          <w:p>
            <w:pPr>
              <w:pStyle w:val="TableText"/>
              <w:ind w:left="67"/>
              <w:spacing w:before="98" w:line="222" w:lineRule="auto"/>
              <w:rPr/>
            </w:pPr>
            <w:r>
              <w:rPr>
                <w:spacing w:val="-2"/>
              </w:rPr>
              <w:t>人民银行</w:t>
            </w:r>
          </w:p>
        </w:tc>
        <w:tc>
          <w:tcPr>
            <w:tcW w:w="7037" w:type="dxa"/>
            <w:vAlign w:val="top"/>
          </w:tcPr>
          <w:p>
            <w:pPr>
              <w:pStyle w:val="TableText"/>
              <w:ind w:left="82"/>
              <w:spacing w:before="98" w:line="222" w:lineRule="auto"/>
              <w:rPr/>
            </w:pPr>
            <w:r>
              <w:rPr>
                <w:spacing w:val="-5"/>
              </w:rPr>
              <w:t>中国人民银行</w:t>
            </w:r>
          </w:p>
        </w:tc>
      </w:tr>
      <w:tr>
        <w:trPr>
          <w:trHeight w:val="398" w:hRule="atLeast"/>
        </w:trPr>
        <w:tc>
          <w:tcPr>
            <w:tcW w:w="2723" w:type="dxa"/>
            <w:vAlign w:val="top"/>
          </w:tcPr>
          <w:p>
            <w:pPr>
              <w:pStyle w:val="TableText"/>
              <w:ind w:left="66"/>
              <w:spacing w:before="100" w:line="221" w:lineRule="auto"/>
              <w:rPr/>
            </w:pPr>
            <w:r>
              <w:rPr>
                <w:spacing w:val="-2"/>
              </w:rPr>
              <w:t>银保监会</w:t>
            </w:r>
          </w:p>
        </w:tc>
        <w:tc>
          <w:tcPr>
            <w:tcW w:w="7037" w:type="dxa"/>
            <w:vAlign w:val="top"/>
          </w:tcPr>
          <w:p>
            <w:pPr>
              <w:pStyle w:val="TableText"/>
              <w:ind w:left="82"/>
              <w:spacing w:before="100" w:line="221" w:lineRule="auto"/>
              <w:rPr/>
            </w:pPr>
            <w:r>
              <w:rPr>
                <w:spacing w:val="-2"/>
              </w:rPr>
              <w:t>中国银行保险监督管理委员会</w:t>
            </w:r>
          </w:p>
        </w:tc>
      </w:tr>
      <w:tr>
        <w:trPr>
          <w:trHeight w:val="401" w:hRule="atLeast"/>
        </w:trPr>
        <w:tc>
          <w:tcPr>
            <w:tcW w:w="2723" w:type="dxa"/>
            <w:vAlign w:val="top"/>
          </w:tcPr>
          <w:p>
            <w:pPr>
              <w:pStyle w:val="TableText"/>
              <w:ind w:left="65"/>
              <w:spacing w:before="100" w:line="221" w:lineRule="auto"/>
              <w:rPr/>
            </w:pPr>
            <w:r>
              <w:rPr>
                <w:spacing w:val="-2"/>
              </w:rPr>
              <w:t>证监会</w:t>
            </w:r>
          </w:p>
        </w:tc>
        <w:tc>
          <w:tcPr>
            <w:tcW w:w="7037" w:type="dxa"/>
            <w:vAlign w:val="top"/>
          </w:tcPr>
          <w:p>
            <w:pPr>
              <w:pStyle w:val="TableText"/>
              <w:ind w:left="82"/>
              <w:spacing w:before="100" w:line="221" w:lineRule="auto"/>
              <w:rPr/>
            </w:pPr>
            <w:r>
              <w:rPr>
                <w:spacing w:val="-3"/>
              </w:rPr>
              <w:t>中国证券监督管理委员会</w:t>
            </w:r>
          </w:p>
        </w:tc>
      </w:tr>
      <w:tr>
        <w:trPr>
          <w:trHeight w:val="398" w:hRule="atLeast"/>
        </w:trPr>
        <w:tc>
          <w:tcPr>
            <w:tcW w:w="2723" w:type="dxa"/>
            <w:vAlign w:val="top"/>
          </w:tcPr>
          <w:p>
            <w:pPr>
              <w:pStyle w:val="TableText"/>
              <w:ind w:left="65"/>
              <w:spacing w:before="98" w:line="221" w:lineRule="auto"/>
              <w:rPr/>
            </w:pPr>
            <w:r>
              <w:rPr>
                <w:spacing w:val="-1"/>
              </w:rPr>
              <w:t>农业农村部</w:t>
            </w:r>
          </w:p>
        </w:tc>
        <w:tc>
          <w:tcPr>
            <w:tcW w:w="7037" w:type="dxa"/>
            <w:vAlign w:val="top"/>
          </w:tcPr>
          <w:p>
            <w:pPr>
              <w:pStyle w:val="TableText"/>
              <w:ind w:left="82"/>
              <w:spacing w:before="98" w:line="221" w:lineRule="auto"/>
              <w:rPr/>
            </w:pPr>
            <w:r>
              <w:rPr>
                <w:spacing w:val="-3"/>
              </w:rPr>
              <w:t>中华人民共和国农业农村部</w:t>
            </w:r>
          </w:p>
        </w:tc>
      </w:tr>
      <w:tr>
        <w:trPr>
          <w:trHeight w:val="398" w:hRule="atLeast"/>
        </w:trPr>
        <w:tc>
          <w:tcPr>
            <w:tcW w:w="2723" w:type="dxa"/>
            <w:vAlign w:val="top"/>
          </w:tcPr>
          <w:p>
            <w:pPr>
              <w:pStyle w:val="TableText"/>
              <w:ind w:left="67"/>
              <w:spacing w:before="101" w:line="222" w:lineRule="auto"/>
              <w:rPr/>
            </w:pPr>
            <w:r>
              <w:rPr>
                <w:spacing w:val="-2"/>
              </w:rPr>
              <w:t>上交所</w:t>
            </w:r>
          </w:p>
        </w:tc>
        <w:tc>
          <w:tcPr>
            <w:tcW w:w="7037" w:type="dxa"/>
            <w:vAlign w:val="top"/>
          </w:tcPr>
          <w:p>
            <w:pPr>
              <w:pStyle w:val="TableText"/>
              <w:ind w:left="64"/>
              <w:spacing w:before="101" w:line="222" w:lineRule="auto"/>
              <w:rPr/>
            </w:pPr>
            <w:r>
              <w:rPr>
                <w:spacing w:val="-1"/>
              </w:rPr>
              <w:t>上海证券交易所</w:t>
            </w:r>
          </w:p>
        </w:tc>
      </w:tr>
      <w:tr>
        <w:trPr>
          <w:trHeight w:val="401" w:hRule="atLeast"/>
        </w:trPr>
        <w:tc>
          <w:tcPr>
            <w:tcW w:w="2723" w:type="dxa"/>
            <w:vAlign w:val="top"/>
          </w:tcPr>
          <w:p>
            <w:pPr>
              <w:pStyle w:val="TableText"/>
              <w:ind w:left="67"/>
              <w:spacing w:before="101" w:line="222" w:lineRule="auto"/>
              <w:rPr/>
            </w:pPr>
            <w:r>
              <w:rPr>
                <w:spacing w:val="-2"/>
              </w:rPr>
              <w:t>香港联交所</w:t>
            </w:r>
          </w:p>
        </w:tc>
        <w:tc>
          <w:tcPr>
            <w:tcW w:w="7037" w:type="dxa"/>
            <w:vAlign w:val="top"/>
          </w:tcPr>
          <w:p>
            <w:pPr>
              <w:pStyle w:val="TableText"/>
              <w:ind w:left="64"/>
              <w:spacing w:before="101" w:line="222" w:lineRule="auto"/>
              <w:rPr/>
            </w:pPr>
            <w:r>
              <w:rPr>
                <w:spacing w:val="-1"/>
              </w:rPr>
              <w:t>香港联合交易所有限公司</w:t>
            </w:r>
          </w:p>
        </w:tc>
      </w:tr>
      <w:tr>
        <w:trPr>
          <w:trHeight w:val="398" w:hRule="atLeast"/>
        </w:trPr>
        <w:tc>
          <w:tcPr>
            <w:tcW w:w="2723" w:type="dxa"/>
            <w:vAlign w:val="top"/>
          </w:tcPr>
          <w:p>
            <w:pPr>
              <w:pStyle w:val="TableText"/>
              <w:ind w:left="67"/>
              <w:spacing w:before="98" w:line="221" w:lineRule="auto"/>
              <w:rPr/>
            </w:pPr>
            <w:r>
              <w:rPr>
                <w:spacing w:val="-2"/>
              </w:rPr>
              <w:t>香港上市规则</w:t>
            </w:r>
          </w:p>
        </w:tc>
        <w:tc>
          <w:tcPr>
            <w:tcW w:w="7037" w:type="dxa"/>
            <w:vAlign w:val="top"/>
          </w:tcPr>
          <w:p>
            <w:pPr>
              <w:pStyle w:val="TableText"/>
              <w:ind w:left="64"/>
              <w:spacing w:before="98" w:line="221" w:lineRule="auto"/>
              <w:rPr/>
            </w:pPr>
            <w:r>
              <w:rPr>
                <w:spacing w:val="-1"/>
              </w:rPr>
              <w:t>《香港联合交易所有限公司证券上市规则》</w:t>
            </w:r>
          </w:p>
        </w:tc>
      </w:tr>
      <w:tr>
        <w:trPr>
          <w:trHeight w:val="398" w:hRule="atLeast"/>
        </w:trPr>
        <w:tc>
          <w:tcPr>
            <w:tcW w:w="2723" w:type="dxa"/>
            <w:vAlign w:val="top"/>
          </w:tcPr>
          <w:p>
            <w:pPr>
              <w:pStyle w:val="TableText"/>
              <w:ind w:left="67"/>
              <w:spacing w:before="101" w:line="221" w:lineRule="auto"/>
              <w:rPr/>
            </w:pPr>
            <w:r>
              <w:rPr>
                <w:spacing w:val="-1"/>
              </w:rPr>
              <w:t>《企业管治守则》</w:t>
            </w:r>
          </w:p>
        </w:tc>
        <w:tc>
          <w:tcPr>
            <w:tcW w:w="7037" w:type="dxa"/>
            <w:vAlign w:val="top"/>
          </w:tcPr>
          <w:p>
            <w:pPr>
              <w:pStyle w:val="TableText"/>
              <w:ind w:left="64"/>
              <w:spacing w:before="100" w:line="221" w:lineRule="auto"/>
              <w:rPr/>
            </w:pPr>
            <w:r>
              <w:rPr>
                <w:spacing w:val="-1"/>
              </w:rPr>
              <w:t>香港上市规则附录十四《企业管治守则》</w:t>
            </w:r>
          </w:p>
        </w:tc>
      </w:tr>
      <w:tr>
        <w:trPr>
          <w:trHeight w:val="679" w:hRule="atLeast"/>
        </w:trPr>
        <w:tc>
          <w:tcPr>
            <w:tcW w:w="2723" w:type="dxa"/>
            <w:vAlign w:val="top"/>
          </w:tcPr>
          <w:p>
            <w:pPr>
              <w:pStyle w:val="TableText"/>
              <w:ind w:left="68"/>
              <w:spacing w:before="101" w:line="222" w:lineRule="auto"/>
              <w:rPr/>
            </w:pPr>
            <w:r>
              <w:rPr>
                <w:spacing w:val="-2"/>
              </w:rPr>
              <w:t>蕴通财富</w:t>
            </w:r>
          </w:p>
        </w:tc>
        <w:tc>
          <w:tcPr>
            <w:tcW w:w="7037" w:type="dxa"/>
            <w:vAlign w:val="top"/>
          </w:tcPr>
          <w:p>
            <w:pPr>
              <w:pStyle w:val="TableText"/>
              <w:ind w:left="61" w:right="71" w:firstLine="1"/>
              <w:spacing w:before="101" w:line="234" w:lineRule="auto"/>
              <w:rPr/>
            </w:pPr>
            <w:r>
              <w:rPr>
                <w:spacing w:val="-3"/>
              </w:rPr>
              <w:t>本行对公和同业财富管理品牌,</w:t>
            </w:r>
            <w:r>
              <w:rPr>
                <w:spacing w:val="33"/>
              </w:rPr>
              <w:t xml:space="preserve"> </w:t>
            </w:r>
            <w:r>
              <w:rPr>
                <w:spacing w:val="-3"/>
              </w:rPr>
              <w:t>通过金融智慧服务和数字化转型,</w:t>
            </w:r>
            <w:r>
              <w:rPr>
                <w:spacing w:val="31"/>
              </w:rPr>
              <w:t xml:space="preserve"> </w:t>
            </w:r>
            <w:r>
              <w:rPr>
                <w:spacing w:val="-3"/>
              </w:rPr>
              <w:t>为企业、</w:t>
            </w:r>
            <w:r>
              <w:rPr/>
              <w:t xml:space="preserve"> </w:t>
            </w:r>
            <w:r>
              <w:rPr/>
              <w:t>政府机构和金融同业客户提供综合化一站式财富管理解决方</w:t>
            </w:r>
            <w:r>
              <w:rPr>
                <w:spacing w:val="-1"/>
              </w:rPr>
              <w:t>案。</w:t>
            </w:r>
          </w:p>
        </w:tc>
      </w:tr>
      <w:tr>
        <w:trPr>
          <w:trHeight w:val="679" w:hRule="atLeast"/>
        </w:trPr>
        <w:tc>
          <w:tcPr>
            <w:tcW w:w="2723" w:type="dxa"/>
            <w:vAlign w:val="top"/>
          </w:tcPr>
          <w:p>
            <w:pPr>
              <w:pStyle w:val="TableText"/>
              <w:ind w:left="67"/>
              <w:spacing w:before="101" w:line="222" w:lineRule="auto"/>
              <w:rPr/>
            </w:pPr>
            <w:r>
              <w:rPr>
                <w:spacing w:val="-2"/>
              </w:rPr>
              <w:t>沃德财富</w:t>
            </w:r>
          </w:p>
        </w:tc>
        <w:tc>
          <w:tcPr>
            <w:tcW w:w="7037" w:type="dxa"/>
            <w:vAlign w:val="top"/>
          </w:tcPr>
          <w:p>
            <w:pPr>
              <w:pStyle w:val="TableText"/>
              <w:ind w:left="63" w:right="52"/>
              <w:spacing w:before="101" w:line="234" w:lineRule="auto"/>
              <w:rPr/>
            </w:pPr>
            <w:r>
              <w:rPr/>
              <w:t>本行零售业务主品牌,</w:t>
            </w:r>
            <w:r>
              <w:rPr>
                <w:spacing w:val="53"/>
              </w:rPr>
              <w:t xml:space="preserve"> </w:t>
            </w:r>
            <w:r>
              <w:rPr/>
              <w:t>以"丰沃共享,</w:t>
            </w:r>
            <w:r>
              <w:rPr>
                <w:spacing w:val="34"/>
              </w:rPr>
              <w:t xml:space="preserve"> </w:t>
            </w:r>
            <w:r>
              <w:rPr/>
              <w:t>厚德载富"</w:t>
            </w:r>
            <w:r>
              <w:rPr>
                <w:spacing w:val="-26"/>
              </w:rPr>
              <w:t xml:space="preserve"> </w:t>
            </w:r>
            <w:r>
              <w:rPr/>
              <w:t>为品牌核心,</w:t>
            </w:r>
            <w:r>
              <w:rPr>
                <w:spacing w:val="28"/>
              </w:rPr>
              <w:t xml:space="preserve"> </w:t>
            </w:r>
            <w:r>
              <w:rPr/>
              <w:t>致力于实现 </w:t>
            </w:r>
            <w:r>
              <w:rPr>
                <w:spacing w:val="-1"/>
              </w:rPr>
              <w:t>客户的财富保值增值。</w:t>
            </w:r>
          </w:p>
        </w:tc>
      </w:tr>
      <w:tr>
        <w:trPr>
          <w:trHeight w:val="679" w:hRule="atLeast"/>
        </w:trPr>
        <w:tc>
          <w:tcPr>
            <w:tcW w:w="2723" w:type="dxa"/>
            <w:vAlign w:val="top"/>
          </w:tcPr>
          <w:p>
            <w:pPr>
              <w:pStyle w:val="TableText"/>
              <w:ind w:left="65"/>
              <w:spacing w:before="101" w:line="221" w:lineRule="auto"/>
              <w:rPr/>
            </w:pPr>
            <w:r>
              <w:rPr>
                <w:spacing w:val="-1"/>
              </w:rPr>
              <w:t>个人手机银行</w:t>
            </w:r>
          </w:p>
        </w:tc>
        <w:tc>
          <w:tcPr>
            <w:tcW w:w="7037" w:type="dxa"/>
            <w:vAlign w:val="top"/>
          </w:tcPr>
          <w:p>
            <w:pPr>
              <w:pStyle w:val="TableText"/>
              <w:ind w:left="80" w:right="52" w:firstLine="4"/>
              <w:spacing w:before="101" w:line="234" w:lineRule="auto"/>
              <w:rPr/>
            </w:pPr>
            <w:r>
              <w:rPr>
                <w:spacing w:val="-1"/>
              </w:rPr>
              <w:t>向本行个人客户提供线上业务办理和服务的手机应用, 覆盖客户多种金</w:t>
            </w:r>
            <w:r>
              <w:rPr>
                <w:spacing w:val="-2"/>
              </w:rPr>
              <w:t>融产</w:t>
            </w:r>
            <w:r>
              <w:rPr/>
              <w:t xml:space="preserve"> </w:t>
            </w:r>
            <w:r>
              <w:rPr>
                <w:spacing w:val="-5"/>
              </w:rPr>
              <w:t>品和生活服务需求。</w:t>
            </w:r>
          </w:p>
        </w:tc>
      </w:tr>
      <w:tr>
        <w:trPr>
          <w:trHeight w:val="959" w:hRule="atLeast"/>
        </w:trPr>
        <w:tc>
          <w:tcPr>
            <w:tcW w:w="2723" w:type="dxa"/>
            <w:vAlign w:val="top"/>
          </w:tcPr>
          <w:p>
            <w:pPr>
              <w:pStyle w:val="TableText"/>
              <w:ind w:left="69"/>
              <w:spacing w:before="101" w:line="221" w:lineRule="auto"/>
              <w:rPr/>
            </w:pPr>
            <w:r>
              <w:rPr>
                <w:spacing w:val="-2"/>
              </w:rPr>
              <w:t>企业手机银行</w:t>
            </w:r>
          </w:p>
        </w:tc>
        <w:tc>
          <w:tcPr>
            <w:tcW w:w="7037" w:type="dxa"/>
            <w:vAlign w:val="top"/>
          </w:tcPr>
          <w:p>
            <w:pPr>
              <w:pStyle w:val="TableText"/>
              <w:ind w:left="63"/>
              <w:spacing w:before="101" w:line="221" w:lineRule="auto"/>
              <w:rPr/>
            </w:pPr>
            <w:r>
              <w:rPr/>
              <w:t>本行利用移动电话和平板电脑等移动设备应用软件向企业客户提</w:t>
            </w:r>
            <w:r>
              <w:rPr>
                <w:spacing w:val="-1"/>
              </w:rPr>
              <w:t>供在线开</w:t>
            </w:r>
          </w:p>
          <w:p>
            <w:pPr>
              <w:pStyle w:val="TableText"/>
              <w:ind w:left="61" w:right="54" w:firstLine="1"/>
              <w:spacing w:before="28" w:line="232" w:lineRule="auto"/>
              <w:rPr/>
            </w:pPr>
            <w:r>
              <w:rPr>
                <w:spacing w:val="-1"/>
              </w:rPr>
              <w:t>户、账户查询、对账管理、转账付款、理财投资、金融资讯、办理业务签约</w:t>
            </w:r>
            <w:r>
              <w:rPr>
                <w:spacing w:val="15"/>
              </w:rPr>
              <w:t xml:space="preserve"> </w:t>
            </w:r>
            <w:r>
              <w:rPr>
                <w:spacing w:val="-3"/>
              </w:rPr>
              <w:t>及解约等金融服务,</w:t>
            </w:r>
            <w:r>
              <w:rPr>
                <w:spacing w:val="60"/>
              </w:rPr>
              <w:t xml:space="preserve"> </w:t>
            </w:r>
            <w:r>
              <w:rPr>
                <w:spacing w:val="-3"/>
              </w:rPr>
              <w:t>以贴身便捷为特点的渠道。</w:t>
            </w:r>
          </w:p>
        </w:tc>
      </w:tr>
      <w:tr>
        <w:trPr>
          <w:trHeight w:val="679" w:hRule="atLeast"/>
        </w:trPr>
        <w:tc>
          <w:tcPr>
            <w:tcW w:w="2723" w:type="dxa"/>
            <w:vAlign w:val="top"/>
          </w:tcPr>
          <w:p>
            <w:pPr>
              <w:pStyle w:val="TableText"/>
              <w:ind w:left="69"/>
              <w:spacing w:before="103" w:line="225" w:lineRule="auto"/>
              <w:rPr/>
            </w:pPr>
            <w:r>
              <w:rPr>
                <w:spacing w:val="-3"/>
              </w:rPr>
              <w:t>企业网银</w:t>
            </w:r>
          </w:p>
        </w:tc>
        <w:tc>
          <w:tcPr>
            <w:tcW w:w="7037" w:type="dxa"/>
            <w:vAlign w:val="top"/>
          </w:tcPr>
          <w:p>
            <w:pPr>
              <w:pStyle w:val="TableText"/>
              <w:ind w:left="64" w:hanging="1"/>
              <w:spacing w:before="103" w:line="233" w:lineRule="auto"/>
              <w:rPr/>
            </w:pPr>
            <w:r>
              <w:rPr>
                <w:spacing w:val="-5"/>
              </w:rPr>
              <w:t>本行通过因特网向企业客户提供账户查询、企业付款、现金管理、国际</w:t>
            </w:r>
            <w:r>
              <w:rPr>
                <w:spacing w:val="-6"/>
              </w:rPr>
              <w:t>业务、</w:t>
            </w:r>
            <w:r>
              <w:rPr/>
              <w:t xml:space="preserve"> </w:t>
            </w:r>
            <w:r>
              <w:rPr>
                <w:spacing w:val="-2"/>
              </w:rPr>
              <w:t>投资理财、财政业务等金融服务的电子交易系统。</w:t>
            </w:r>
          </w:p>
        </w:tc>
      </w:tr>
      <w:tr>
        <w:trPr>
          <w:trHeight w:val="398" w:hRule="atLeast"/>
        </w:trPr>
        <w:tc>
          <w:tcPr>
            <w:tcW w:w="2723" w:type="dxa"/>
            <w:vAlign w:val="top"/>
          </w:tcPr>
          <w:p>
            <w:pPr>
              <w:pStyle w:val="TableText"/>
              <w:ind w:left="73"/>
              <w:spacing w:before="103" w:line="222" w:lineRule="auto"/>
              <w:rPr/>
            </w:pPr>
            <w:r>
              <w:rPr>
                <w:spacing w:val="-3"/>
              </w:rPr>
              <w:t>买单吧</w:t>
            </w:r>
          </w:p>
        </w:tc>
        <w:tc>
          <w:tcPr>
            <w:tcW w:w="7037" w:type="dxa"/>
            <w:vAlign w:val="top"/>
          </w:tcPr>
          <w:p>
            <w:pPr>
              <w:pStyle w:val="TableText"/>
              <w:ind w:left="63"/>
              <w:spacing w:before="103" w:line="221" w:lineRule="auto"/>
              <w:rPr/>
            </w:pPr>
            <w:r>
              <w:rPr>
                <w:spacing w:val="-1"/>
              </w:rPr>
              <w:t>面向所有用户开放的一站式金融和生活数字化服务平台。</w:t>
            </w:r>
          </w:p>
        </w:tc>
      </w:tr>
      <w:tr>
        <w:trPr>
          <w:trHeight w:val="400" w:hRule="atLeast"/>
        </w:trPr>
        <w:tc>
          <w:tcPr>
            <w:tcW w:w="2723" w:type="dxa"/>
            <w:vAlign w:val="top"/>
          </w:tcPr>
          <w:p>
            <w:pPr>
              <w:pStyle w:val="TableText"/>
              <w:ind w:left="72"/>
              <w:spacing w:before="103" w:line="221" w:lineRule="auto"/>
              <w:rPr/>
            </w:pPr>
            <w:r>
              <w:rPr>
                <w:spacing w:val="-3"/>
              </w:rPr>
              <w:t>惠民贷</w:t>
            </w:r>
          </w:p>
        </w:tc>
        <w:tc>
          <w:tcPr>
            <w:tcW w:w="7037" w:type="dxa"/>
            <w:vAlign w:val="top"/>
          </w:tcPr>
          <w:p>
            <w:pPr>
              <w:pStyle w:val="TableText"/>
              <w:ind w:left="63"/>
              <w:spacing w:before="102" w:line="221" w:lineRule="auto"/>
              <w:rPr/>
            </w:pPr>
            <w:r>
              <w:rPr>
                <w:spacing w:val="-1"/>
              </w:rPr>
              <w:t>本行针对符合条件的客户推出的线上信用消费贷款产品。</w:t>
            </w:r>
          </w:p>
        </w:tc>
      </w:tr>
      <w:tr>
        <w:trPr>
          <w:trHeight w:val="398" w:hRule="atLeast"/>
        </w:trPr>
        <w:tc>
          <w:tcPr>
            <w:tcW w:w="2723" w:type="dxa"/>
            <w:vAlign w:val="top"/>
          </w:tcPr>
          <w:p>
            <w:pPr>
              <w:pStyle w:val="TableText"/>
              <w:ind w:left="64"/>
              <w:spacing w:before="101" w:line="221" w:lineRule="auto"/>
              <w:rPr/>
            </w:pPr>
            <w:r>
              <w:rPr>
                <w:spacing w:val="-2"/>
              </w:rPr>
              <w:t>普惠</w:t>
            </w:r>
            <w:r>
              <w:rPr>
                <w:spacing w:val="-44"/>
              </w:rPr>
              <w:t xml:space="preserve"> </w:t>
            </w:r>
            <w:r>
              <w:rPr>
                <w:rFonts w:ascii="Times New Roman" w:hAnsi="Times New Roman" w:eastAsia="Times New Roman" w:cs="Times New Roman"/>
                <w:spacing w:val="-2"/>
              </w:rPr>
              <w:t>e </w:t>
            </w:r>
            <w:r>
              <w:rPr>
                <w:spacing w:val="-2"/>
              </w:rPr>
              <w:t>贷</w:t>
            </w:r>
          </w:p>
        </w:tc>
        <w:tc>
          <w:tcPr>
            <w:tcW w:w="7037" w:type="dxa"/>
            <w:vAlign w:val="top"/>
          </w:tcPr>
          <w:p>
            <w:pPr>
              <w:pStyle w:val="TableText"/>
              <w:ind w:left="63"/>
              <w:spacing w:before="101" w:line="221" w:lineRule="auto"/>
              <w:rPr/>
            </w:pPr>
            <w:r>
              <w:rPr/>
              <w:t>本行针对符合条件的客户推出的普惠金融线上融资</w:t>
            </w:r>
            <w:r>
              <w:rPr>
                <w:spacing w:val="-1"/>
              </w:rPr>
              <w:t>类业务。</w:t>
            </w:r>
          </w:p>
        </w:tc>
      </w:tr>
      <w:tr>
        <w:trPr>
          <w:trHeight w:val="398" w:hRule="atLeast"/>
        </w:trPr>
        <w:tc>
          <w:tcPr>
            <w:tcW w:w="2723" w:type="dxa"/>
            <w:vAlign w:val="top"/>
          </w:tcPr>
          <w:p>
            <w:pPr>
              <w:pStyle w:val="TableText"/>
              <w:ind w:left="69"/>
              <w:spacing w:before="104" w:line="221" w:lineRule="auto"/>
              <w:rPr/>
            </w:pPr>
            <w:r>
              <w:rPr>
                <w:spacing w:val="-3"/>
              </w:rPr>
              <w:t>兴农</w:t>
            </w:r>
            <w:r>
              <w:rPr>
                <w:spacing w:val="-44"/>
              </w:rPr>
              <w:t xml:space="preserve"> </w:t>
            </w:r>
            <w:r>
              <w:rPr>
                <w:rFonts w:ascii="Times New Roman" w:hAnsi="Times New Roman" w:eastAsia="Times New Roman" w:cs="Times New Roman"/>
                <w:spacing w:val="-3"/>
              </w:rPr>
              <w:t>e </w:t>
            </w:r>
            <w:r>
              <w:rPr>
                <w:spacing w:val="-3"/>
              </w:rPr>
              <w:t>贷</w:t>
            </w:r>
          </w:p>
        </w:tc>
        <w:tc>
          <w:tcPr>
            <w:tcW w:w="7037" w:type="dxa"/>
            <w:vAlign w:val="top"/>
          </w:tcPr>
          <w:p>
            <w:pPr>
              <w:pStyle w:val="TableText"/>
              <w:ind w:left="63"/>
              <w:spacing w:before="103" w:line="221" w:lineRule="auto"/>
              <w:rPr/>
            </w:pPr>
            <w:r>
              <w:rPr>
                <w:spacing w:val="-1"/>
              </w:rPr>
              <w:t>本行针对农业经营主体推出的线上融资服务。</w:t>
            </w:r>
          </w:p>
        </w:tc>
      </w:tr>
      <w:tr>
        <w:trPr>
          <w:trHeight w:val="1060" w:hRule="atLeast"/>
        </w:trPr>
        <w:tc>
          <w:tcPr>
            <w:tcW w:w="2723" w:type="dxa"/>
            <w:vAlign w:val="top"/>
          </w:tcPr>
          <w:p>
            <w:pPr>
              <w:pStyle w:val="TableText"/>
              <w:ind w:left="71"/>
              <w:spacing w:before="104" w:line="222" w:lineRule="auto"/>
              <w:rPr/>
            </w:pPr>
            <w:r>
              <w:rPr>
                <w:spacing w:val="-3"/>
              </w:rPr>
              <w:t>云上交行</w:t>
            </w:r>
          </w:p>
        </w:tc>
        <w:tc>
          <w:tcPr>
            <w:tcW w:w="7037" w:type="dxa"/>
            <w:vAlign w:val="top"/>
          </w:tcPr>
          <w:p>
            <w:pPr>
              <w:pStyle w:val="TableText"/>
              <w:ind w:left="62" w:right="52"/>
              <w:spacing w:before="112" w:line="256" w:lineRule="auto"/>
              <w:jc w:val="both"/>
              <w:rPr/>
            </w:pPr>
            <w:r>
              <w:rPr>
                <w:spacing w:val="3"/>
              </w:rPr>
              <w:t>本行线上线下一体化服务品牌。践行"机构在线、员</w:t>
            </w:r>
            <w:r>
              <w:rPr>
                <w:spacing w:val="2"/>
              </w:rPr>
              <w:t>工在线、产品在线、服</w:t>
            </w:r>
            <w:r>
              <w:rPr/>
              <w:t xml:space="preserve"> </w:t>
            </w:r>
            <w:r>
              <w:rPr/>
              <w:t>务在线"</w:t>
            </w:r>
            <w:r>
              <w:rPr>
                <w:spacing w:val="-32"/>
              </w:rPr>
              <w:t xml:space="preserve"> </w:t>
            </w:r>
            <w:r>
              <w:rPr/>
              <w:t>服务理念,</w:t>
            </w:r>
            <w:r>
              <w:rPr>
                <w:spacing w:val="36"/>
              </w:rPr>
              <w:t xml:space="preserve"> </w:t>
            </w:r>
            <w:r>
              <w:rPr/>
              <w:t>以远程视频服务构建"云网点、云柜员、云管家"</w:t>
            </w:r>
            <w:r>
              <w:rPr>
                <w:spacing w:val="-43"/>
              </w:rPr>
              <w:t xml:space="preserve"> </w:t>
            </w:r>
            <w:r>
              <w:rPr/>
              <w:t>体系, </w:t>
            </w:r>
            <w:r>
              <w:rPr>
                <w:spacing w:val="-1"/>
              </w:rPr>
              <w:t>通过屏对屏的线上服务新模式,</w:t>
            </w:r>
            <w:r>
              <w:rPr>
                <w:spacing w:val="29"/>
              </w:rPr>
              <w:t xml:space="preserve"> </w:t>
            </w:r>
            <w:r>
              <w:rPr>
                <w:spacing w:val="-1"/>
              </w:rPr>
              <w:t>满足客户线上化、数字化服务需</w:t>
            </w:r>
            <w:r>
              <w:rPr>
                <w:spacing w:val="-2"/>
              </w:rPr>
              <w:t>求。</w:t>
            </w:r>
          </w:p>
        </w:tc>
      </w:tr>
    </w:tbl>
    <w:p>
      <w:pPr>
        <w:pStyle w:val="BodyText"/>
        <w:rPr/>
      </w:pPr>
      <w:r/>
    </w:p>
    <w:p>
      <w:pPr>
        <w:sectPr>
          <w:footerReference w:type="default" r:id="rId5"/>
          <w:pgSz w:w="11907" w:h="16839"/>
          <w:pgMar w:top="1164" w:right="1070" w:bottom="1374" w:left="1070" w:header="0" w:footer="1211" w:gutter="0"/>
        </w:sectPr>
        <w:rPr/>
      </w:pPr>
    </w:p>
    <w:p>
      <w:pPr>
        <w:ind w:left="3127"/>
        <w:spacing w:before="80" w:line="220" w:lineRule="auto"/>
        <w:rPr>
          <w:rFonts w:ascii="SimSun" w:hAnsi="SimSun" w:eastAsia="SimSun" w:cs="SimSun"/>
          <w:sz w:val="40"/>
          <w:szCs w:val="40"/>
        </w:rPr>
      </w:pPr>
      <w:bookmarkStart w:name="bookmark5" w:id="5"/>
      <w:bookmarkEnd w:id="5"/>
      <w:r>
        <w:rPr>
          <w:rFonts w:ascii="SimSun" w:hAnsi="SimSun" w:eastAsia="SimSun" w:cs="SimSun"/>
          <w:sz w:val="40"/>
          <w:szCs w:val="40"/>
          <w:b/>
          <w:bCs/>
          <w:spacing w:val="-8"/>
        </w:rPr>
        <w:t>公司基本情况</w:t>
      </w:r>
    </w:p>
    <w:p>
      <w:pPr>
        <w:ind w:left="12"/>
        <w:spacing w:before="303" w:line="222" w:lineRule="auto"/>
        <w:outlineLvl w:val="0"/>
        <w:rPr>
          <w:rFonts w:ascii="SimSun" w:hAnsi="SimSun" w:eastAsia="SimSun" w:cs="SimSun"/>
          <w:sz w:val="21"/>
          <w:szCs w:val="21"/>
        </w:rPr>
      </w:pPr>
      <w:r>
        <w:rPr>
          <w:rFonts w:ascii="SimSun" w:hAnsi="SimSun" w:eastAsia="SimSun" w:cs="SimSun"/>
          <w:sz w:val="21"/>
          <w:szCs w:val="21"/>
          <w:b/>
          <w:bCs/>
          <w:spacing w:val="-4"/>
        </w:rPr>
        <w:t>一、公司资料</w:t>
      </w:r>
    </w:p>
    <w:p>
      <w:pPr>
        <w:ind w:left="28"/>
        <w:spacing w:before="306" w:line="562" w:lineRule="exact"/>
        <w:rPr>
          <w:rFonts w:ascii="SimSun" w:hAnsi="SimSun" w:eastAsia="SimSun" w:cs="SimSun"/>
          <w:sz w:val="21"/>
          <w:szCs w:val="21"/>
        </w:rPr>
      </w:pPr>
      <w:r>
        <w:rPr>
          <w:rFonts w:ascii="SimSun" w:hAnsi="SimSun" w:eastAsia="SimSun" w:cs="SimSun"/>
          <w:sz w:val="21"/>
          <w:szCs w:val="21"/>
          <w:b/>
          <w:bCs/>
          <w:spacing w:val="-5"/>
          <w:position w:val="27"/>
        </w:rPr>
        <w:t>中文名称:</w:t>
      </w:r>
      <w:r>
        <w:rPr>
          <w:rFonts w:ascii="SimSun" w:hAnsi="SimSun" w:eastAsia="SimSun" w:cs="SimSun"/>
          <w:sz w:val="21"/>
          <w:szCs w:val="21"/>
          <w:spacing w:val="42"/>
          <w:position w:val="27"/>
        </w:rPr>
        <w:t xml:space="preserve"> </w:t>
      </w:r>
      <w:r>
        <w:rPr>
          <w:rFonts w:ascii="SimSun" w:hAnsi="SimSun" w:eastAsia="SimSun" w:cs="SimSun"/>
          <w:sz w:val="21"/>
          <w:szCs w:val="21"/>
          <w:spacing w:val="-5"/>
          <w:position w:val="27"/>
        </w:rPr>
        <w:t>交通银行股份有限公司</w:t>
      </w:r>
    </w:p>
    <w:p>
      <w:pPr>
        <w:ind w:left="28"/>
        <w:spacing w:line="220" w:lineRule="auto"/>
        <w:rPr>
          <w:rFonts w:ascii="SimSun" w:hAnsi="SimSun" w:eastAsia="SimSun" w:cs="SimSun"/>
          <w:sz w:val="21"/>
          <w:szCs w:val="21"/>
        </w:rPr>
      </w:pPr>
      <w:r>
        <w:rPr>
          <w:rFonts w:ascii="SimSun" w:hAnsi="SimSun" w:eastAsia="SimSun" w:cs="SimSun"/>
          <w:sz w:val="21"/>
          <w:szCs w:val="21"/>
          <w:b/>
          <w:bCs/>
          <w:spacing w:val="-8"/>
        </w:rPr>
        <w:t>中文简称:</w:t>
      </w:r>
      <w:r>
        <w:rPr>
          <w:rFonts w:ascii="SimSun" w:hAnsi="SimSun" w:eastAsia="SimSun" w:cs="SimSun"/>
          <w:sz w:val="21"/>
          <w:szCs w:val="21"/>
          <w:spacing w:val="39"/>
        </w:rPr>
        <w:t xml:space="preserve"> </w:t>
      </w:r>
      <w:r>
        <w:rPr>
          <w:rFonts w:ascii="SimSun" w:hAnsi="SimSun" w:eastAsia="SimSun" w:cs="SimSun"/>
          <w:sz w:val="21"/>
          <w:szCs w:val="21"/>
          <w:spacing w:val="-8"/>
        </w:rPr>
        <w:t>交通银行</w:t>
      </w:r>
    </w:p>
    <w:p>
      <w:pPr>
        <w:ind w:left="9"/>
        <w:spacing w:before="277" w:line="277" w:lineRule="exact"/>
        <w:rPr>
          <w:rFonts w:ascii="Times New Roman" w:hAnsi="Times New Roman" w:eastAsia="Times New Roman" w:cs="Times New Roman"/>
          <w:sz w:val="21"/>
          <w:szCs w:val="21"/>
        </w:rPr>
      </w:pPr>
      <w:r>
        <w:rPr>
          <w:rFonts w:ascii="SimSun" w:hAnsi="SimSun" w:eastAsia="SimSun" w:cs="SimSun"/>
          <w:sz w:val="21"/>
          <w:szCs w:val="21"/>
          <w:b/>
          <w:bCs/>
          <w:spacing w:val="-1"/>
          <w:position w:val="1"/>
        </w:rPr>
        <w:t>英文名称:</w:t>
      </w:r>
      <w:r>
        <w:rPr>
          <w:rFonts w:ascii="SimSun" w:hAnsi="SimSun" w:eastAsia="SimSun" w:cs="SimSun"/>
          <w:sz w:val="21"/>
          <w:szCs w:val="21"/>
          <w:spacing w:val="37"/>
          <w:position w:val="1"/>
        </w:rPr>
        <w:t xml:space="preserve"> </w:t>
      </w:r>
      <w:r>
        <w:rPr>
          <w:rFonts w:ascii="Times New Roman" w:hAnsi="Times New Roman" w:eastAsia="Times New Roman" w:cs="Times New Roman"/>
          <w:sz w:val="21"/>
          <w:szCs w:val="21"/>
          <w:spacing w:val="-1"/>
          <w:position w:val="1"/>
        </w:rPr>
        <w:t>Bank of</w:t>
      </w:r>
      <w:r>
        <w:rPr>
          <w:rFonts w:ascii="Times New Roman" w:hAnsi="Times New Roman" w:eastAsia="Times New Roman" w:cs="Times New Roman"/>
          <w:sz w:val="21"/>
          <w:szCs w:val="21"/>
          <w:spacing w:val="-16"/>
          <w:position w:val="1"/>
        </w:rPr>
        <w:t xml:space="preserve"> </w:t>
      </w:r>
      <w:r>
        <w:rPr>
          <w:rFonts w:ascii="Times New Roman" w:hAnsi="Times New Roman" w:eastAsia="Times New Roman" w:cs="Times New Roman"/>
          <w:sz w:val="21"/>
          <w:szCs w:val="21"/>
          <w:spacing w:val="-1"/>
          <w:position w:val="1"/>
        </w:rPr>
        <w:t>Communications Co., Ltd.</w:t>
      </w:r>
    </w:p>
    <w:p>
      <w:pPr>
        <w:pStyle w:val="BodyText"/>
        <w:spacing w:line="267" w:lineRule="auto"/>
        <w:rPr/>
      </w:pPr>
      <w:r/>
    </w:p>
    <w:p>
      <w:pPr>
        <w:pStyle w:val="BodyText"/>
        <w:spacing w:line="267" w:lineRule="auto"/>
        <w:rPr/>
      </w:pPr>
      <w:r/>
    </w:p>
    <w:p>
      <w:pPr>
        <w:pStyle w:val="BodyText"/>
        <w:spacing w:line="268" w:lineRule="auto"/>
        <w:rPr/>
      </w:pPr>
      <w:r/>
    </w:p>
    <w:p>
      <w:pPr>
        <w:ind w:left="9"/>
        <w:spacing w:before="68" w:line="221" w:lineRule="auto"/>
        <w:rPr>
          <w:rFonts w:ascii="SimSun" w:hAnsi="SimSun" w:eastAsia="SimSun" w:cs="SimSun"/>
          <w:sz w:val="21"/>
          <w:szCs w:val="21"/>
        </w:rPr>
      </w:pPr>
      <w:r>
        <w:rPr>
          <w:rFonts w:ascii="SimSun" w:hAnsi="SimSun" w:eastAsia="SimSun" w:cs="SimSun"/>
          <w:sz w:val="21"/>
          <w:szCs w:val="21"/>
          <w:b/>
          <w:bCs/>
          <w:spacing w:val="-5"/>
        </w:rPr>
        <w:t>法定代表人:</w:t>
      </w:r>
      <w:r>
        <w:rPr>
          <w:rFonts w:ascii="SimSun" w:hAnsi="SimSun" w:eastAsia="SimSun" w:cs="SimSun"/>
          <w:sz w:val="21"/>
          <w:szCs w:val="21"/>
          <w:spacing w:val="30"/>
        </w:rPr>
        <w:t xml:space="preserve"> </w:t>
      </w:r>
      <w:r>
        <w:rPr>
          <w:rFonts w:ascii="SimSun" w:hAnsi="SimSun" w:eastAsia="SimSun" w:cs="SimSun"/>
          <w:sz w:val="21"/>
          <w:szCs w:val="21"/>
          <w:spacing w:val="-5"/>
        </w:rPr>
        <w:t>任德奇</w:t>
      </w:r>
    </w:p>
    <w:p>
      <w:pPr>
        <w:ind w:left="8"/>
        <w:spacing w:before="308" w:line="220" w:lineRule="auto"/>
        <w:rPr>
          <w:rFonts w:ascii="SimSun" w:hAnsi="SimSun" w:eastAsia="SimSun" w:cs="SimSun"/>
          <w:sz w:val="21"/>
          <w:szCs w:val="21"/>
        </w:rPr>
      </w:pPr>
      <w:r>
        <w:rPr>
          <w:rFonts w:ascii="SimSun" w:hAnsi="SimSun" w:eastAsia="SimSun" w:cs="SimSun"/>
          <w:sz w:val="21"/>
          <w:szCs w:val="21"/>
          <w:b/>
          <w:bCs/>
          <w:spacing w:val="5"/>
        </w:rPr>
        <w:t>授权代表:</w:t>
      </w:r>
      <w:r>
        <w:rPr>
          <w:rFonts w:ascii="SimSun" w:hAnsi="SimSun" w:eastAsia="SimSun" w:cs="SimSun"/>
          <w:sz w:val="21"/>
          <w:szCs w:val="21"/>
          <w:spacing w:val="32"/>
        </w:rPr>
        <w:t xml:space="preserve"> </w:t>
      </w:r>
      <w:r>
        <w:rPr>
          <w:rFonts w:ascii="SimSun" w:hAnsi="SimSun" w:eastAsia="SimSun" w:cs="SimSun"/>
          <w:sz w:val="21"/>
          <w:szCs w:val="21"/>
          <w:spacing w:val="5"/>
        </w:rPr>
        <w:t>任德奇、周万阜(代)</w:t>
      </w:r>
    </w:p>
    <w:p>
      <w:pPr>
        <w:ind w:left="10"/>
        <w:spacing w:before="309" w:line="220" w:lineRule="auto"/>
        <w:rPr>
          <w:rFonts w:ascii="SimSun" w:hAnsi="SimSun" w:eastAsia="SimSun" w:cs="SimSun"/>
          <w:sz w:val="21"/>
          <w:szCs w:val="21"/>
        </w:rPr>
      </w:pPr>
      <w:r>
        <w:rPr>
          <w:rFonts w:ascii="SimSun" w:hAnsi="SimSun" w:eastAsia="SimSun" w:cs="SimSun"/>
          <w:sz w:val="21"/>
          <w:szCs w:val="21"/>
          <w:b/>
          <w:bCs/>
          <w:spacing w:val="5"/>
        </w:rPr>
        <w:t>董事会秘书、公司秘书:</w:t>
      </w:r>
      <w:r>
        <w:rPr>
          <w:rFonts w:ascii="SimSun" w:hAnsi="SimSun" w:eastAsia="SimSun" w:cs="SimSun"/>
          <w:sz w:val="21"/>
          <w:szCs w:val="21"/>
          <w:spacing w:val="5"/>
        </w:rPr>
        <w:t xml:space="preserve"> 周万阜(代)</w:t>
      </w:r>
    </w:p>
    <w:p>
      <w:pPr>
        <w:pStyle w:val="BodyText"/>
        <w:spacing w:line="265" w:lineRule="auto"/>
        <w:rPr/>
      </w:pPr>
      <w:r/>
    </w:p>
    <w:p>
      <w:pPr>
        <w:pStyle w:val="BodyText"/>
        <w:spacing w:line="266" w:lineRule="auto"/>
        <w:rPr/>
      </w:pPr>
      <w:r/>
    </w:p>
    <w:p>
      <w:pPr>
        <w:pStyle w:val="BodyText"/>
        <w:spacing w:line="266" w:lineRule="auto"/>
        <w:rPr/>
      </w:pPr>
      <w:r/>
    </w:p>
    <w:p>
      <w:pPr>
        <w:ind w:left="8"/>
        <w:spacing w:before="68" w:line="560" w:lineRule="exact"/>
        <w:rPr>
          <w:rFonts w:ascii="SimSun" w:hAnsi="SimSun" w:eastAsia="SimSun" w:cs="SimSun"/>
          <w:sz w:val="21"/>
          <w:szCs w:val="21"/>
        </w:rPr>
      </w:pPr>
      <w:r>
        <w:rPr>
          <w:rFonts w:ascii="SimSun" w:hAnsi="SimSun" w:eastAsia="SimSun" w:cs="SimSun"/>
          <w:sz w:val="21"/>
          <w:szCs w:val="21"/>
          <w:b/>
          <w:bCs/>
          <w:position w:val="27"/>
        </w:rPr>
        <w:t>注册地址:</w:t>
      </w:r>
      <w:r>
        <w:rPr>
          <w:rFonts w:ascii="SimSun" w:hAnsi="SimSun" w:eastAsia="SimSun" w:cs="SimSun"/>
          <w:sz w:val="21"/>
          <w:szCs w:val="21"/>
          <w:spacing w:val="67"/>
          <w:position w:val="27"/>
        </w:rPr>
        <w:t xml:space="preserve"> </w:t>
      </w:r>
      <w:r>
        <w:rPr>
          <w:rFonts w:ascii="SimSun" w:hAnsi="SimSun" w:eastAsia="SimSun" w:cs="SimSun"/>
          <w:sz w:val="21"/>
          <w:szCs w:val="21"/>
          <w:position w:val="27"/>
        </w:rPr>
        <w:t>中国(上海) 自由贸易试验区银城中路</w:t>
      </w:r>
      <w:r>
        <w:rPr>
          <w:rFonts w:ascii="SimSun" w:hAnsi="SimSun" w:eastAsia="SimSun" w:cs="SimSun"/>
          <w:sz w:val="21"/>
          <w:szCs w:val="21"/>
          <w:spacing w:val="-30"/>
          <w:position w:val="27"/>
        </w:rPr>
        <w:t xml:space="preserve"> </w:t>
      </w:r>
      <w:r>
        <w:rPr>
          <w:rFonts w:ascii="Times New Roman" w:hAnsi="Times New Roman" w:eastAsia="Times New Roman" w:cs="Times New Roman"/>
          <w:sz w:val="21"/>
          <w:szCs w:val="21"/>
          <w:position w:val="27"/>
        </w:rPr>
        <w:t>188</w:t>
      </w:r>
      <w:r>
        <w:rPr>
          <w:rFonts w:ascii="Times New Roman" w:hAnsi="Times New Roman" w:eastAsia="Times New Roman" w:cs="Times New Roman"/>
          <w:sz w:val="21"/>
          <w:szCs w:val="21"/>
          <w:spacing w:val="14"/>
          <w:position w:val="27"/>
        </w:rPr>
        <w:t xml:space="preserve"> </w:t>
      </w:r>
      <w:r>
        <w:rPr>
          <w:rFonts w:ascii="SimSun" w:hAnsi="SimSun" w:eastAsia="SimSun" w:cs="SimSun"/>
          <w:sz w:val="21"/>
          <w:szCs w:val="21"/>
          <w:position w:val="27"/>
        </w:rPr>
        <w:t>号</w:t>
      </w:r>
    </w:p>
    <w:p>
      <w:pPr>
        <w:ind w:left="9"/>
        <w:spacing w:line="221" w:lineRule="auto"/>
        <w:rPr>
          <w:rFonts w:ascii="SimSun" w:hAnsi="SimSun" w:eastAsia="SimSun" w:cs="SimSun"/>
          <w:sz w:val="21"/>
          <w:szCs w:val="21"/>
        </w:rPr>
      </w:pPr>
      <w:r>
        <w:rPr>
          <w:rFonts w:ascii="SimSun" w:hAnsi="SimSun" w:eastAsia="SimSun" w:cs="SimSun"/>
          <w:sz w:val="21"/>
          <w:szCs w:val="21"/>
          <w:b/>
          <w:bCs/>
          <w:spacing w:val="-5"/>
        </w:rPr>
        <w:t>联系及办公地址:</w:t>
      </w:r>
    </w:p>
    <w:p>
      <w:pPr>
        <w:pStyle w:val="BodyText"/>
        <w:rPr/>
      </w:pPr>
      <w:r/>
    </w:p>
    <w:p>
      <w:pPr>
        <w:ind w:left="8"/>
        <w:spacing w:before="69" w:line="221" w:lineRule="auto"/>
        <w:rPr>
          <w:rFonts w:ascii="SimSun" w:hAnsi="SimSun" w:eastAsia="SimSun" w:cs="SimSun"/>
          <w:sz w:val="21"/>
          <w:szCs w:val="21"/>
        </w:rPr>
      </w:pPr>
      <w:r>
        <w:rPr>
          <w:rFonts w:ascii="SimSun" w:hAnsi="SimSun" w:eastAsia="SimSun" w:cs="SimSun"/>
          <w:sz w:val="21"/>
          <w:szCs w:val="21"/>
          <w:spacing w:val="-3"/>
        </w:rPr>
        <w:t>上海市浦东新区银城中路</w:t>
      </w:r>
      <w:r>
        <w:rPr>
          <w:rFonts w:ascii="SimSun" w:hAnsi="SimSun" w:eastAsia="SimSun" w:cs="SimSun"/>
          <w:sz w:val="21"/>
          <w:szCs w:val="21"/>
          <w:spacing w:val="-18"/>
        </w:rPr>
        <w:t xml:space="preserve"> </w:t>
      </w:r>
      <w:r>
        <w:rPr>
          <w:rFonts w:ascii="Times New Roman" w:hAnsi="Times New Roman" w:eastAsia="Times New Roman" w:cs="Times New Roman"/>
          <w:sz w:val="21"/>
          <w:szCs w:val="21"/>
          <w:spacing w:val="-3"/>
        </w:rPr>
        <w:t>188</w:t>
      </w:r>
      <w:r>
        <w:rPr>
          <w:rFonts w:ascii="Times New Roman" w:hAnsi="Times New Roman" w:eastAsia="Times New Roman" w:cs="Times New Roman"/>
          <w:sz w:val="21"/>
          <w:szCs w:val="21"/>
          <w:spacing w:val="14"/>
          <w:w w:val="101"/>
        </w:rPr>
        <w:t xml:space="preserve"> </w:t>
      </w:r>
      <w:r>
        <w:rPr>
          <w:rFonts w:ascii="SimSun" w:hAnsi="SimSun" w:eastAsia="SimSun" w:cs="SimSun"/>
          <w:sz w:val="21"/>
          <w:szCs w:val="21"/>
          <w:spacing w:val="-3"/>
        </w:rPr>
        <w:t>号</w:t>
      </w:r>
    </w:p>
    <w:p>
      <w:pPr>
        <w:ind w:left="22"/>
        <w:spacing w:before="308" w:line="221" w:lineRule="auto"/>
        <w:rPr>
          <w:rFonts w:ascii="Times New Roman" w:hAnsi="Times New Roman" w:eastAsia="Times New Roman" w:cs="Times New Roman"/>
          <w:sz w:val="21"/>
          <w:szCs w:val="21"/>
        </w:rPr>
      </w:pPr>
      <w:r>
        <w:rPr>
          <w:rFonts w:ascii="SimSun" w:hAnsi="SimSun" w:eastAsia="SimSun" w:cs="SimSun"/>
          <w:sz w:val="21"/>
          <w:szCs w:val="21"/>
          <w:spacing w:val="-7"/>
        </w:rPr>
        <w:t>邮</w:t>
      </w:r>
      <w:r>
        <w:rPr>
          <w:rFonts w:ascii="SimSun" w:hAnsi="SimSun" w:eastAsia="SimSun" w:cs="SimSun"/>
          <w:sz w:val="21"/>
          <w:szCs w:val="21"/>
          <w:spacing w:val="4"/>
        </w:rPr>
        <w:t xml:space="preserve">    </w:t>
      </w:r>
      <w:r>
        <w:rPr>
          <w:rFonts w:ascii="SimSun" w:hAnsi="SimSun" w:eastAsia="SimSun" w:cs="SimSun"/>
          <w:sz w:val="21"/>
          <w:szCs w:val="21"/>
          <w:spacing w:val="-7"/>
        </w:rPr>
        <w:t>编:</w:t>
      </w:r>
      <w:r>
        <w:rPr>
          <w:rFonts w:ascii="SimSun" w:hAnsi="SimSun" w:eastAsia="SimSun" w:cs="SimSun"/>
          <w:sz w:val="21"/>
          <w:szCs w:val="21"/>
          <w:spacing w:val="25"/>
        </w:rPr>
        <w:t xml:space="preserve"> </w:t>
      </w:r>
      <w:r>
        <w:rPr>
          <w:rFonts w:ascii="Times New Roman" w:hAnsi="Times New Roman" w:eastAsia="Times New Roman" w:cs="Times New Roman"/>
          <w:sz w:val="21"/>
          <w:szCs w:val="21"/>
          <w:spacing w:val="-7"/>
        </w:rPr>
        <w:t>200120</w:t>
      </w:r>
    </w:p>
    <w:p>
      <w:pPr>
        <w:ind w:left="31"/>
        <w:spacing w:before="307" w:line="562" w:lineRule="exact"/>
        <w:rPr>
          <w:rFonts w:ascii="Times New Roman" w:hAnsi="Times New Roman" w:eastAsia="Times New Roman" w:cs="Times New Roman"/>
          <w:sz w:val="21"/>
          <w:szCs w:val="21"/>
        </w:rPr>
      </w:pPr>
      <w:r>
        <w:rPr>
          <w:rFonts w:ascii="SimSun" w:hAnsi="SimSun" w:eastAsia="SimSun" w:cs="SimSun"/>
          <w:sz w:val="21"/>
          <w:szCs w:val="21"/>
          <w:spacing w:val="-5"/>
          <w:position w:val="27"/>
        </w:rPr>
        <w:t>电</w:t>
      </w:r>
      <w:r>
        <w:rPr>
          <w:rFonts w:ascii="SimSun" w:hAnsi="SimSun" w:eastAsia="SimSun" w:cs="SimSun"/>
          <w:sz w:val="21"/>
          <w:szCs w:val="21"/>
          <w:spacing w:val="5"/>
          <w:position w:val="27"/>
        </w:rPr>
        <w:t xml:space="preserve">    </w:t>
      </w:r>
      <w:r>
        <w:rPr>
          <w:rFonts w:ascii="SimSun" w:hAnsi="SimSun" w:eastAsia="SimSun" w:cs="SimSun"/>
          <w:sz w:val="21"/>
          <w:szCs w:val="21"/>
          <w:spacing w:val="-5"/>
          <w:position w:val="27"/>
        </w:rPr>
        <w:t>话:</w:t>
      </w:r>
      <w:r>
        <w:rPr>
          <w:rFonts w:ascii="SimSun" w:hAnsi="SimSun" w:eastAsia="SimSun" w:cs="SimSun"/>
          <w:sz w:val="21"/>
          <w:szCs w:val="21"/>
          <w:spacing w:val="33"/>
          <w:position w:val="27"/>
        </w:rPr>
        <w:t xml:space="preserve"> </w:t>
      </w:r>
      <w:r>
        <w:rPr>
          <w:rFonts w:ascii="Times New Roman" w:hAnsi="Times New Roman" w:eastAsia="Times New Roman" w:cs="Times New Roman"/>
          <w:sz w:val="21"/>
          <w:szCs w:val="21"/>
          <w:spacing w:val="-5"/>
          <w:position w:val="27"/>
        </w:rPr>
        <w:t>86-21-58766688</w:t>
      </w:r>
    </w:p>
    <w:p>
      <w:pPr>
        <w:ind w:left="4"/>
        <w:spacing w:before="1" w:line="220" w:lineRule="auto"/>
        <w:rPr>
          <w:rFonts w:ascii="Times New Roman" w:hAnsi="Times New Roman" w:eastAsia="Times New Roman" w:cs="Times New Roman"/>
          <w:sz w:val="21"/>
          <w:szCs w:val="21"/>
        </w:rPr>
      </w:pPr>
      <w:r>
        <w:rPr>
          <w:rFonts w:ascii="SimSun" w:hAnsi="SimSun" w:eastAsia="SimSun" w:cs="SimSun"/>
          <w:sz w:val="21"/>
          <w:szCs w:val="21"/>
          <w:spacing w:val="-2"/>
        </w:rPr>
        <w:t>传    真:</w:t>
      </w:r>
      <w:r>
        <w:rPr>
          <w:rFonts w:ascii="SimSun" w:hAnsi="SimSun" w:eastAsia="SimSun" w:cs="SimSun"/>
          <w:sz w:val="21"/>
          <w:szCs w:val="21"/>
          <w:spacing w:val="37"/>
        </w:rPr>
        <w:t xml:space="preserve"> </w:t>
      </w:r>
      <w:r>
        <w:rPr>
          <w:rFonts w:ascii="Times New Roman" w:hAnsi="Times New Roman" w:eastAsia="Times New Roman" w:cs="Times New Roman"/>
          <w:sz w:val="21"/>
          <w:szCs w:val="21"/>
          <w:spacing w:val="-2"/>
        </w:rPr>
        <w:t>86-21-58798398</w:t>
      </w:r>
    </w:p>
    <w:p>
      <w:pPr>
        <w:ind w:left="31"/>
        <w:spacing w:before="277" w:line="277" w:lineRule="exact"/>
        <w:rPr>
          <w:rFonts w:ascii="Times New Roman" w:hAnsi="Times New Roman" w:eastAsia="Times New Roman" w:cs="Times New Roman"/>
          <w:sz w:val="21"/>
          <w:szCs w:val="21"/>
        </w:rPr>
      </w:pPr>
      <w:r>
        <w:rPr>
          <w:rFonts w:ascii="SimSun" w:hAnsi="SimSun" w:eastAsia="SimSun" w:cs="SimSun"/>
          <w:sz w:val="21"/>
          <w:szCs w:val="21"/>
          <w:spacing w:val="-3"/>
          <w:position w:val="2"/>
        </w:rPr>
        <w:t>电子信箱:</w:t>
      </w:r>
      <w:r>
        <w:rPr>
          <w:rFonts w:ascii="SimSun" w:hAnsi="SimSun" w:eastAsia="SimSun" w:cs="SimSun"/>
          <w:sz w:val="21"/>
          <w:szCs w:val="21"/>
          <w:spacing w:val="44"/>
          <w:position w:val="2"/>
        </w:rPr>
        <w:t xml:space="preserve"> </w:t>
      </w:r>
      <w:r>
        <w:rPr>
          <w:rFonts w:ascii="Times New Roman" w:hAnsi="Times New Roman" w:eastAsia="Times New Roman" w:cs="Times New Roman"/>
          <w:sz w:val="21"/>
          <w:szCs w:val="21"/>
          <w:spacing w:val="-3"/>
          <w:position w:val="2"/>
        </w:rPr>
        <w:t>investor@bankcomm.com</w:t>
      </w:r>
    </w:p>
    <w:p>
      <w:pPr>
        <w:ind w:left="11"/>
        <w:spacing w:before="282" w:line="593" w:lineRule="exact"/>
        <w:rPr>
          <w:rFonts w:ascii="Times New Roman" w:hAnsi="Times New Roman" w:eastAsia="Times New Roman" w:cs="Times New Roman"/>
          <w:sz w:val="21"/>
          <w:szCs w:val="21"/>
        </w:rPr>
      </w:pPr>
      <w:r>
        <w:rPr>
          <w:rFonts w:ascii="SimSun" w:hAnsi="SimSun" w:eastAsia="SimSun" w:cs="SimSun"/>
          <w:sz w:val="21"/>
          <w:szCs w:val="21"/>
          <w:spacing w:val="-2"/>
          <w:position w:val="26"/>
        </w:rPr>
        <w:t>官方网站: </w:t>
      </w:r>
      <w:r>
        <w:rPr>
          <w:rFonts w:ascii="Times New Roman" w:hAnsi="Times New Roman" w:eastAsia="Times New Roman" w:cs="Times New Roman"/>
          <w:sz w:val="21"/>
          <w:szCs w:val="21"/>
          <w:spacing w:val="-2"/>
          <w:position w:val="26"/>
        </w:rPr>
        <w:t>www.bankcomm.com</w:t>
      </w:r>
      <w:r>
        <w:rPr>
          <w:rFonts w:ascii="SimSun" w:hAnsi="SimSun" w:eastAsia="SimSun" w:cs="SimSun"/>
          <w:sz w:val="21"/>
          <w:szCs w:val="21"/>
          <w:spacing w:val="-2"/>
          <w:position w:val="26"/>
        </w:rPr>
        <w:t>,</w:t>
      </w:r>
      <w:r>
        <w:rPr>
          <w:rFonts w:ascii="SimSun" w:hAnsi="SimSun" w:eastAsia="SimSun" w:cs="SimSun"/>
          <w:sz w:val="21"/>
          <w:szCs w:val="21"/>
          <w:spacing w:val="34"/>
          <w:position w:val="26"/>
        </w:rPr>
        <w:t xml:space="preserve"> </w:t>
      </w:r>
      <w:r>
        <w:rPr>
          <w:rFonts w:ascii="Times New Roman" w:hAnsi="Times New Roman" w:eastAsia="Times New Roman" w:cs="Times New Roman"/>
          <w:sz w:val="21"/>
          <w:szCs w:val="21"/>
          <w:spacing w:val="-2"/>
          <w:position w:val="26"/>
        </w:rPr>
        <w:t>www.bankcomm.cn</w:t>
      </w:r>
    </w:p>
    <w:p>
      <w:pPr>
        <w:ind w:left="8"/>
        <w:spacing w:before="1" w:line="221" w:lineRule="auto"/>
        <w:rPr>
          <w:rFonts w:ascii="SimSun" w:hAnsi="SimSun" w:eastAsia="SimSun" w:cs="SimSun"/>
          <w:sz w:val="21"/>
          <w:szCs w:val="21"/>
        </w:rPr>
      </w:pPr>
      <w:r>
        <w:rPr>
          <w:rFonts w:ascii="SimSun" w:hAnsi="SimSun" w:eastAsia="SimSun" w:cs="SimSun"/>
          <w:sz w:val="21"/>
          <w:szCs w:val="21"/>
          <w:spacing w:val="-3"/>
        </w:rPr>
        <w:t>香港营业地点:</w:t>
      </w:r>
      <w:r>
        <w:rPr>
          <w:rFonts w:ascii="SimSun" w:hAnsi="SimSun" w:eastAsia="SimSun" w:cs="SimSun"/>
          <w:sz w:val="21"/>
          <w:szCs w:val="21"/>
          <w:spacing w:val="45"/>
        </w:rPr>
        <w:t xml:space="preserve"> </w:t>
      </w:r>
      <w:r>
        <w:rPr>
          <w:rFonts w:ascii="SimSun" w:hAnsi="SimSun" w:eastAsia="SimSun" w:cs="SimSun"/>
          <w:sz w:val="21"/>
          <w:szCs w:val="21"/>
          <w:spacing w:val="-3"/>
        </w:rPr>
        <w:t>香港中环毕打街</w:t>
      </w:r>
      <w:r>
        <w:rPr>
          <w:rFonts w:ascii="Times New Roman" w:hAnsi="Times New Roman" w:eastAsia="Times New Roman" w:cs="Times New Roman"/>
          <w:sz w:val="21"/>
          <w:szCs w:val="21"/>
          <w:spacing w:val="-3"/>
        </w:rPr>
        <w:t>20</w:t>
      </w:r>
      <w:r>
        <w:rPr>
          <w:rFonts w:ascii="SimSun" w:hAnsi="SimSun" w:eastAsia="SimSun" w:cs="SimSun"/>
          <w:sz w:val="21"/>
          <w:szCs w:val="21"/>
          <w:spacing w:val="-3"/>
        </w:rPr>
        <w:t>号</w:t>
      </w:r>
    </w:p>
    <w:p>
      <w:pPr>
        <w:pStyle w:val="BodyText"/>
        <w:spacing w:line="264" w:lineRule="auto"/>
        <w:rPr/>
      </w:pPr>
      <w:r/>
    </w:p>
    <w:p>
      <w:pPr>
        <w:pStyle w:val="BodyText"/>
        <w:spacing w:line="264" w:lineRule="auto"/>
        <w:rPr/>
      </w:pPr>
      <w:r/>
    </w:p>
    <w:p>
      <w:pPr>
        <w:pStyle w:val="BodyText"/>
        <w:spacing w:line="265" w:lineRule="auto"/>
        <w:rPr/>
      </w:pPr>
      <w:r/>
    </w:p>
    <w:p>
      <w:pPr>
        <w:ind w:left="8"/>
        <w:spacing w:before="69" w:line="221" w:lineRule="auto"/>
        <w:rPr>
          <w:rFonts w:ascii="SimSun" w:hAnsi="SimSun" w:eastAsia="SimSun" w:cs="SimSun"/>
          <w:sz w:val="21"/>
          <w:szCs w:val="21"/>
        </w:rPr>
      </w:pPr>
      <w:r>
        <w:rPr>
          <w:rFonts w:ascii="SimSun" w:hAnsi="SimSun" w:eastAsia="SimSun" w:cs="SimSun"/>
          <w:sz w:val="21"/>
          <w:szCs w:val="21"/>
          <w:b/>
          <w:bCs/>
          <w:spacing w:val="-3"/>
        </w:rPr>
        <w:t>信息披露载体和年报备置地点</w:t>
      </w:r>
    </w:p>
    <w:p>
      <w:pPr>
        <w:pStyle w:val="BodyText"/>
        <w:rPr/>
      </w:pPr>
      <w:r/>
    </w:p>
    <w:p>
      <w:pPr>
        <w:spacing w:before="69" w:line="1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A </w:t>
      </w:r>
      <w:r>
        <w:rPr>
          <w:rFonts w:ascii="SimSun" w:hAnsi="SimSun" w:eastAsia="SimSun" w:cs="SimSun"/>
          <w:sz w:val="21"/>
          <w:szCs w:val="21"/>
          <w:spacing w:val="-4"/>
        </w:rPr>
        <w:t>股:《中国证券报》《上海证券报》《证券时报》及上交所网站</w:t>
      </w:r>
      <w:hyperlink w:history="true" r:id="rId7">
        <w:r>
          <w:rPr>
            <w:rFonts w:ascii="Times New Roman" w:hAnsi="Times New Roman" w:eastAsia="Times New Roman" w:cs="Times New Roman"/>
            <w:sz w:val="21"/>
            <w:szCs w:val="21"/>
            <w:spacing w:val="-4"/>
          </w:rPr>
          <w:t>www.sse.com.cn</w:t>
        </w:r>
      </w:hyperlink>
    </w:p>
    <w:p>
      <w:pPr>
        <w:pStyle w:val="BodyText"/>
        <w:spacing w:line="246" w:lineRule="auto"/>
        <w:rPr/>
      </w:pPr>
      <w:r/>
    </w:p>
    <w:p>
      <w:pPr>
        <w:ind w:left="1"/>
        <w:spacing w:before="68" w:line="278"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9"/>
          <w:position w:val="1"/>
        </w:rPr>
        <w:t>H </w:t>
      </w:r>
      <w:r>
        <w:rPr>
          <w:rFonts w:ascii="SimSun" w:hAnsi="SimSun" w:eastAsia="SimSun" w:cs="SimSun"/>
          <w:sz w:val="21"/>
          <w:szCs w:val="21"/>
          <w:spacing w:val="19"/>
          <w:position w:val="1"/>
        </w:rPr>
        <w:t>股:香港联交所"披露易"网站</w:t>
      </w:r>
      <w:hyperlink w:history="true" r:id="rId8">
        <w:r>
          <w:rPr>
            <w:rFonts w:ascii="Times New Roman" w:hAnsi="Times New Roman" w:eastAsia="Times New Roman" w:cs="Times New Roman"/>
            <w:sz w:val="21"/>
            <w:szCs w:val="21"/>
            <w:position w:val="1"/>
          </w:rPr>
          <w:t>www</w:t>
        </w:r>
        <w:r>
          <w:rPr>
            <w:rFonts w:ascii="Times New Roman" w:hAnsi="Times New Roman" w:eastAsia="Times New Roman" w:cs="Times New Roman"/>
            <w:sz w:val="21"/>
            <w:szCs w:val="21"/>
            <w:spacing w:val="19"/>
            <w:position w:val="1"/>
          </w:rPr>
          <w:t>.</w:t>
        </w:r>
        <w:r>
          <w:rPr>
            <w:rFonts w:ascii="Times New Roman" w:hAnsi="Times New Roman" w:eastAsia="Times New Roman" w:cs="Times New Roman"/>
            <w:sz w:val="21"/>
            <w:szCs w:val="21"/>
            <w:position w:val="1"/>
          </w:rPr>
          <w:t>hkexnews</w:t>
        </w:r>
        <w:r>
          <w:rPr>
            <w:rFonts w:ascii="Times New Roman" w:hAnsi="Times New Roman" w:eastAsia="Times New Roman" w:cs="Times New Roman"/>
            <w:sz w:val="21"/>
            <w:szCs w:val="21"/>
            <w:spacing w:val="19"/>
            <w:position w:val="1"/>
          </w:rPr>
          <w:t>.</w:t>
        </w:r>
        <w:r>
          <w:rPr>
            <w:rFonts w:ascii="Times New Roman" w:hAnsi="Times New Roman" w:eastAsia="Times New Roman" w:cs="Times New Roman"/>
            <w:sz w:val="21"/>
            <w:szCs w:val="21"/>
            <w:position w:val="1"/>
          </w:rPr>
          <w:t>hk</w:t>
        </w:r>
      </w:hyperlink>
    </w:p>
    <w:p>
      <w:pPr>
        <w:pStyle w:val="BodyText"/>
        <w:spacing w:line="242" w:lineRule="auto"/>
        <w:rPr/>
      </w:pPr>
      <w:r/>
    </w:p>
    <w:p>
      <w:pPr>
        <w:ind w:left="7"/>
        <w:spacing w:before="69" w:line="221" w:lineRule="auto"/>
        <w:rPr>
          <w:rFonts w:ascii="SimSun" w:hAnsi="SimSun" w:eastAsia="SimSun" w:cs="SimSun"/>
          <w:sz w:val="21"/>
          <w:szCs w:val="21"/>
        </w:rPr>
      </w:pPr>
      <w:r>
        <w:rPr>
          <w:rFonts w:ascii="SimSun" w:hAnsi="SimSun" w:eastAsia="SimSun" w:cs="SimSun"/>
          <w:sz w:val="21"/>
          <w:szCs w:val="21"/>
          <w:spacing w:val="-2"/>
        </w:rPr>
        <w:t>年报备置地点:</w:t>
      </w:r>
      <w:r>
        <w:rPr>
          <w:rFonts w:ascii="SimSun" w:hAnsi="SimSun" w:eastAsia="SimSun" w:cs="SimSun"/>
          <w:sz w:val="21"/>
          <w:szCs w:val="21"/>
          <w:spacing w:val="39"/>
        </w:rPr>
        <w:t xml:space="preserve"> </w:t>
      </w:r>
      <w:r>
        <w:rPr>
          <w:rFonts w:ascii="SimSun" w:hAnsi="SimSun" w:eastAsia="SimSun" w:cs="SimSun"/>
          <w:sz w:val="21"/>
          <w:szCs w:val="21"/>
          <w:spacing w:val="-2"/>
        </w:rPr>
        <w:t>本行董事会办公室及主要营业场所</w:t>
      </w:r>
    </w:p>
    <w:p>
      <w:pPr>
        <w:spacing w:line="221" w:lineRule="auto"/>
        <w:sectPr>
          <w:footerReference w:type="default" r:id="rId6"/>
          <w:pgSz w:w="11907" w:h="16839"/>
          <w:pgMar w:top="1164" w:right="1785" w:bottom="1373" w:left="1554" w:header="0" w:footer="1211" w:gutter="0"/>
        </w:sectPr>
        <w:rPr>
          <w:rFonts w:ascii="SimSun" w:hAnsi="SimSun" w:eastAsia="SimSun" w:cs="SimSun"/>
          <w:sz w:val="21"/>
          <w:szCs w:val="21"/>
        </w:rPr>
      </w:pPr>
    </w:p>
    <w:p>
      <w:pPr>
        <w:ind w:left="6"/>
        <w:spacing w:before="41" w:line="221" w:lineRule="auto"/>
        <w:rPr>
          <w:rFonts w:ascii="SimSun" w:hAnsi="SimSun" w:eastAsia="SimSun" w:cs="SimSun"/>
          <w:sz w:val="21"/>
          <w:szCs w:val="21"/>
        </w:rPr>
      </w:pPr>
      <w:r>
        <w:rPr>
          <w:rFonts w:ascii="SimSun" w:hAnsi="SimSun" w:eastAsia="SimSun" w:cs="SimSun"/>
          <w:sz w:val="21"/>
          <w:szCs w:val="21"/>
          <w:b/>
          <w:bCs/>
          <w:spacing w:val="-3"/>
        </w:rPr>
        <w:t>股票简况</w:t>
      </w:r>
    </w:p>
    <w:p>
      <w:pPr>
        <w:spacing w:before="62"/>
        <w:rPr/>
      </w:pPr>
      <w:r/>
    </w:p>
    <w:tbl>
      <w:tblPr>
        <w:tblStyle w:val="TableNormal"/>
        <w:tblW w:w="8161"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749"/>
        <w:gridCol w:w="2653"/>
        <w:gridCol w:w="2120"/>
        <w:gridCol w:w="1639"/>
      </w:tblGrid>
      <w:tr>
        <w:trPr>
          <w:trHeight w:val="309" w:hRule="atLeast"/>
        </w:trPr>
        <w:tc>
          <w:tcPr>
            <w:tcW w:w="1749" w:type="dxa"/>
            <w:vAlign w:val="top"/>
          </w:tcPr>
          <w:p>
            <w:pPr>
              <w:pStyle w:val="TableText"/>
              <w:ind w:left="8"/>
              <w:spacing w:line="221" w:lineRule="auto"/>
              <w:rPr/>
            </w:pPr>
            <w:r>
              <w:rPr>
                <w:b/>
                <w:bCs/>
                <w:spacing w:val="-3"/>
              </w:rPr>
              <w:t>股票种类</w:t>
            </w:r>
          </w:p>
        </w:tc>
        <w:tc>
          <w:tcPr>
            <w:tcW w:w="2653" w:type="dxa"/>
            <w:vAlign w:val="top"/>
          </w:tcPr>
          <w:p>
            <w:pPr>
              <w:pStyle w:val="TableText"/>
              <w:ind w:left="698"/>
              <w:spacing w:line="221" w:lineRule="auto"/>
              <w:rPr/>
            </w:pPr>
            <w:r>
              <w:rPr>
                <w:b/>
                <w:bCs/>
                <w:spacing w:val="-3"/>
              </w:rPr>
              <w:t>股票上市交易所</w:t>
            </w:r>
          </w:p>
        </w:tc>
        <w:tc>
          <w:tcPr>
            <w:tcW w:w="2120" w:type="dxa"/>
            <w:vAlign w:val="top"/>
          </w:tcPr>
          <w:p>
            <w:pPr>
              <w:pStyle w:val="TableText"/>
              <w:ind w:left="484"/>
              <w:spacing w:line="220" w:lineRule="auto"/>
              <w:rPr/>
            </w:pPr>
            <w:r>
              <w:rPr>
                <w:b/>
                <w:bCs/>
                <w:spacing w:val="-3"/>
              </w:rPr>
              <w:t>股票简称</w:t>
            </w:r>
          </w:p>
        </w:tc>
        <w:tc>
          <w:tcPr>
            <w:tcW w:w="1639" w:type="dxa"/>
            <w:vAlign w:val="top"/>
          </w:tcPr>
          <w:p>
            <w:pPr>
              <w:pStyle w:val="TableText"/>
              <w:spacing w:line="221" w:lineRule="auto"/>
              <w:jc w:val="right"/>
              <w:rPr/>
            </w:pPr>
            <w:r>
              <w:rPr>
                <w:b/>
                <w:bCs/>
                <w:spacing w:val="-4"/>
              </w:rPr>
              <w:t>股票代码</w:t>
            </w:r>
          </w:p>
        </w:tc>
      </w:tr>
      <w:tr>
        <w:trPr>
          <w:trHeight w:val="407" w:hRule="atLeast"/>
        </w:trPr>
        <w:tc>
          <w:tcPr>
            <w:tcW w:w="1749" w:type="dxa"/>
            <w:vAlign w:val="top"/>
          </w:tcPr>
          <w:p>
            <w:pPr>
              <w:pStyle w:val="TableText"/>
              <w:spacing w:before="97" w:line="223" w:lineRule="auto"/>
              <w:rPr/>
            </w:pPr>
            <w:r>
              <w:rPr>
                <w:rFonts w:ascii="Times New Roman" w:hAnsi="Times New Roman" w:eastAsia="Times New Roman" w:cs="Times New Roman"/>
                <w:spacing w:val="-1"/>
              </w:rPr>
              <w:t>A</w:t>
            </w:r>
            <w:r>
              <w:rPr>
                <w:rFonts w:ascii="Times New Roman" w:hAnsi="Times New Roman" w:eastAsia="Times New Roman" w:cs="Times New Roman"/>
                <w:spacing w:val="9"/>
              </w:rPr>
              <w:t xml:space="preserve"> </w:t>
            </w:r>
            <w:r>
              <w:rPr>
                <w:spacing w:val="-1"/>
              </w:rPr>
              <w:t>股</w:t>
            </w:r>
          </w:p>
        </w:tc>
        <w:tc>
          <w:tcPr>
            <w:tcW w:w="2653" w:type="dxa"/>
            <w:vAlign w:val="top"/>
          </w:tcPr>
          <w:p>
            <w:pPr>
              <w:pStyle w:val="TableText"/>
              <w:ind w:left="698"/>
              <w:spacing w:before="96" w:line="222" w:lineRule="auto"/>
              <w:rPr/>
            </w:pPr>
            <w:r>
              <w:rPr>
                <w:spacing w:val="-2"/>
              </w:rPr>
              <w:t>上交所</w:t>
            </w:r>
          </w:p>
        </w:tc>
        <w:tc>
          <w:tcPr>
            <w:tcW w:w="2120" w:type="dxa"/>
            <w:vAlign w:val="top"/>
          </w:tcPr>
          <w:p>
            <w:pPr>
              <w:pStyle w:val="TableText"/>
              <w:ind w:left="486"/>
              <w:spacing w:before="96" w:line="222" w:lineRule="auto"/>
              <w:rPr/>
            </w:pPr>
            <w:r>
              <w:rPr>
                <w:spacing w:val="-3"/>
              </w:rPr>
              <w:t>交通银行</w:t>
            </w:r>
          </w:p>
        </w:tc>
        <w:tc>
          <w:tcPr>
            <w:tcW w:w="1639" w:type="dxa"/>
            <w:vAlign w:val="top"/>
          </w:tcPr>
          <w:p>
            <w:pPr>
              <w:ind w:left="801"/>
              <w:spacing w:before="135"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601328</w:t>
            </w:r>
          </w:p>
        </w:tc>
      </w:tr>
      <w:tr>
        <w:trPr>
          <w:trHeight w:val="410" w:hRule="atLeast"/>
        </w:trPr>
        <w:tc>
          <w:tcPr>
            <w:tcW w:w="1749" w:type="dxa"/>
            <w:vAlign w:val="top"/>
          </w:tcPr>
          <w:p>
            <w:pPr>
              <w:pStyle w:val="TableText"/>
              <w:ind w:left="1"/>
              <w:spacing w:before="98" w:line="223" w:lineRule="auto"/>
              <w:rPr/>
            </w:pPr>
            <w:r>
              <w:rPr>
                <w:rFonts w:ascii="Times New Roman" w:hAnsi="Times New Roman" w:eastAsia="Times New Roman" w:cs="Times New Roman"/>
                <w:spacing w:val="-2"/>
              </w:rPr>
              <w:t>H</w:t>
            </w:r>
            <w:r>
              <w:rPr>
                <w:rFonts w:ascii="Times New Roman" w:hAnsi="Times New Roman" w:eastAsia="Times New Roman" w:cs="Times New Roman"/>
                <w:spacing w:val="9"/>
              </w:rPr>
              <w:t xml:space="preserve"> </w:t>
            </w:r>
            <w:r>
              <w:rPr>
                <w:spacing w:val="-2"/>
              </w:rPr>
              <w:t>股</w:t>
            </w:r>
          </w:p>
        </w:tc>
        <w:tc>
          <w:tcPr>
            <w:tcW w:w="2653" w:type="dxa"/>
            <w:vAlign w:val="top"/>
          </w:tcPr>
          <w:p>
            <w:pPr>
              <w:pStyle w:val="TableText"/>
              <w:ind w:left="698"/>
              <w:spacing w:before="97" w:line="222" w:lineRule="auto"/>
              <w:rPr/>
            </w:pPr>
            <w:r>
              <w:rPr>
                <w:spacing w:val="-2"/>
              </w:rPr>
              <w:t>香港联交所</w:t>
            </w:r>
          </w:p>
        </w:tc>
        <w:tc>
          <w:tcPr>
            <w:tcW w:w="2120" w:type="dxa"/>
            <w:vAlign w:val="top"/>
          </w:tcPr>
          <w:p>
            <w:pPr>
              <w:pStyle w:val="TableText"/>
              <w:ind w:left="486"/>
              <w:spacing w:before="97" w:line="222" w:lineRule="auto"/>
              <w:rPr/>
            </w:pPr>
            <w:r>
              <w:rPr>
                <w:spacing w:val="-3"/>
              </w:rPr>
              <w:t>交通银行</w:t>
            </w:r>
          </w:p>
        </w:tc>
        <w:tc>
          <w:tcPr>
            <w:tcW w:w="1639" w:type="dxa"/>
            <w:vAlign w:val="top"/>
          </w:tcPr>
          <w:p>
            <w:pPr>
              <w:ind w:left="800"/>
              <w:spacing w:before="136"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03328</w:t>
            </w:r>
          </w:p>
        </w:tc>
      </w:tr>
      <w:tr>
        <w:trPr>
          <w:trHeight w:val="312" w:hRule="atLeast"/>
        </w:trPr>
        <w:tc>
          <w:tcPr>
            <w:tcW w:w="1749" w:type="dxa"/>
            <w:vAlign w:val="top"/>
          </w:tcPr>
          <w:p>
            <w:pPr>
              <w:pStyle w:val="TableText"/>
              <w:ind w:left="7"/>
              <w:spacing w:before="100" w:line="177" w:lineRule="auto"/>
              <w:rPr/>
            </w:pPr>
            <w:r>
              <w:rPr>
                <w:spacing w:val="-2"/>
              </w:rPr>
              <w:t>境内优先股</w:t>
            </w:r>
          </w:p>
        </w:tc>
        <w:tc>
          <w:tcPr>
            <w:tcW w:w="2653" w:type="dxa"/>
            <w:vAlign w:val="top"/>
          </w:tcPr>
          <w:p>
            <w:pPr>
              <w:pStyle w:val="TableText"/>
              <w:ind w:left="698"/>
              <w:spacing w:before="100" w:line="177" w:lineRule="auto"/>
              <w:rPr/>
            </w:pPr>
            <w:r>
              <w:rPr>
                <w:spacing w:val="-2"/>
              </w:rPr>
              <w:t>上交所</w:t>
            </w:r>
          </w:p>
        </w:tc>
        <w:tc>
          <w:tcPr>
            <w:tcW w:w="2120" w:type="dxa"/>
            <w:vAlign w:val="top"/>
          </w:tcPr>
          <w:p>
            <w:pPr>
              <w:pStyle w:val="TableText"/>
              <w:ind w:left="486"/>
              <w:spacing w:before="100" w:line="177" w:lineRule="auto"/>
              <w:rPr>
                <w:rFonts w:ascii="Times New Roman" w:hAnsi="Times New Roman" w:eastAsia="Times New Roman" w:cs="Times New Roman"/>
              </w:rPr>
            </w:pPr>
            <w:r>
              <w:rPr>
                <w:spacing w:val="-3"/>
              </w:rPr>
              <w:t>交行优</w:t>
            </w:r>
            <w:r>
              <w:rPr>
                <w:spacing w:val="-28"/>
              </w:rPr>
              <w:t xml:space="preserve"> </w:t>
            </w:r>
            <w:r>
              <w:rPr>
                <w:rFonts w:ascii="Times New Roman" w:hAnsi="Times New Roman" w:eastAsia="Times New Roman" w:cs="Times New Roman"/>
                <w:spacing w:val="-3"/>
              </w:rPr>
              <w:t>1</w:t>
            </w:r>
          </w:p>
        </w:tc>
        <w:tc>
          <w:tcPr>
            <w:tcW w:w="1639" w:type="dxa"/>
            <w:vAlign w:val="top"/>
          </w:tcPr>
          <w:p>
            <w:pPr>
              <w:ind w:left="801"/>
              <w:spacing w:before="139" w:line="16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360021</w:t>
            </w:r>
          </w:p>
        </w:tc>
      </w:tr>
    </w:tbl>
    <w:p>
      <w:pPr>
        <w:pStyle w:val="BodyText"/>
        <w:spacing w:line="342" w:lineRule="auto"/>
        <w:rPr/>
      </w:pPr>
      <w:r/>
    </w:p>
    <w:p>
      <w:pPr>
        <w:pStyle w:val="BodyText"/>
        <w:spacing w:line="342" w:lineRule="auto"/>
        <w:rPr/>
      </w:pPr>
      <w:r/>
    </w:p>
    <w:p>
      <w:pPr>
        <w:ind w:left="29"/>
        <w:spacing w:before="68" w:line="221" w:lineRule="auto"/>
        <w:rPr>
          <w:rFonts w:ascii="SimSun" w:hAnsi="SimSun" w:eastAsia="SimSun" w:cs="SimSun"/>
          <w:sz w:val="21"/>
          <w:szCs w:val="21"/>
        </w:rPr>
      </w:pPr>
      <w:r>
        <w:rPr>
          <w:rFonts w:ascii="SimSun" w:hAnsi="SimSun" w:eastAsia="SimSun" w:cs="SimSun"/>
          <w:sz w:val="21"/>
          <w:szCs w:val="21"/>
          <w:b/>
          <w:bCs/>
          <w:spacing w:val="2"/>
        </w:rPr>
        <w:t>国内审计师:</w:t>
      </w:r>
      <w:r>
        <w:rPr>
          <w:rFonts w:ascii="SimSun" w:hAnsi="SimSun" w:eastAsia="SimSun" w:cs="SimSun"/>
          <w:sz w:val="21"/>
          <w:szCs w:val="21"/>
          <w:spacing w:val="39"/>
        </w:rPr>
        <w:t xml:space="preserve"> </w:t>
      </w:r>
      <w:r>
        <w:rPr>
          <w:rFonts w:ascii="SimSun" w:hAnsi="SimSun" w:eastAsia="SimSun" w:cs="SimSun"/>
          <w:sz w:val="21"/>
          <w:szCs w:val="21"/>
          <w:spacing w:val="2"/>
        </w:rPr>
        <w:t>毕马威华振会计师事务所(特殊普通合伙)</w:t>
      </w:r>
    </w:p>
    <w:p>
      <w:pPr>
        <w:ind w:left="1288"/>
        <w:spacing w:before="308" w:line="560" w:lineRule="exact"/>
        <w:rPr>
          <w:rFonts w:ascii="SimSun" w:hAnsi="SimSun" w:eastAsia="SimSun" w:cs="SimSun"/>
          <w:sz w:val="21"/>
          <w:szCs w:val="21"/>
        </w:rPr>
      </w:pPr>
      <w:r>
        <w:rPr>
          <w:rFonts w:ascii="SimSun" w:hAnsi="SimSun" w:eastAsia="SimSun" w:cs="SimSun"/>
          <w:sz w:val="21"/>
          <w:szCs w:val="21"/>
          <w:spacing w:val="-3"/>
          <w:position w:val="27"/>
        </w:rPr>
        <w:t>中国北京市东城区东长安街</w:t>
      </w:r>
      <w:r>
        <w:rPr>
          <w:rFonts w:ascii="SimSun" w:hAnsi="SimSun" w:eastAsia="SimSun" w:cs="SimSun"/>
          <w:sz w:val="21"/>
          <w:szCs w:val="21"/>
          <w:spacing w:val="-19"/>
          <w:position w:val="27"/>
        </w:rPr>
        <w:t xml:space="preserve"> </w:t>
      </w:r>
      <w:r>
        <w:rPr>
          <w:rFonts w:ascii="Times New Roman" w:hAnsi="Times New Roman" w:eastAsia="Times New Roman" w:cs="Times New Roman"/>
          <w:sz w:val="21"/>
          <w:szCs w:val="21"/>
          <w:spacing w:val="-3"/>
          <w:position w:val="27"/>
        </w:rPr>
        <w:t>1</w:t>
      </w:r>
      <w:r>
        <w:rPr>
          <w:rFonts w:ascii="Times New Roman" w:hAnsi="Times New Roman" w:eastAsia="Times New Roman" w:cs="Times New Roman"/>
          <w:sz w:val="21"/>
          <w:szCs w:val="21"/>
          <w:spacing w:val="13"/>
          <w:w w:val="101"/>
          <w:position w:val="27"/>
        </w:rPr>
        <w:t xml:space="preserve"> </w:t>
      </w:r>
      <w:r>
        <w:rPr>
          <w:rFonts w:ascii="SimSun" w:hAnsi="SimSun" w:eastAsia="SimSun" w:cs="SimSun"/>
          <w:sz w:val="21"/>
          <w:szCs w:val="21"/>
          <w:spacing w:val="-3"/>
          <w:position w:val="27"/>
        </w:rPr>
        <w:t>号东方广场东</w:t>
      </w:r>
      <w:r>
        <w:rPr>
          <w:rFonts w:ascii="SimSun" w:hAnsi="SimSun" w:eastAsia="SimSun" w:cs="SimSun"/>
          <w:sz w:val="21"/>
          <w:szCs w:val="21"/>
          <w:spacing w:val="-48"/>
          <w:position w:val="27"/>
        </w:rPr>
        <w:t xml:space="preserve"> </w:t>
      </w:r>
      <w:r>
        <w:rPr>
          <w:rFonts w:ascii="Times New Roman" w:hAnsi="Times New Roman" w:eastAsia="Times New Roman" w:cs="Times New Roman"/>
          <w:sz w:val="21"/>
          <w:szCs w:val="21"/>
          <w:spacing w:val="-3"/>
          <w:position w:val="27"/>
        </w:rPr>
        <w:t>2 </w:t>
      </w:r>
      <w:r>
        <w:rPr>
          <w:rFonts w:ascii="SimSun" w:hAnsi="SimSun" w:eastAsia="SimSun" w:cs="SimSun"/>
          <w:sz w:val="21"/>
          <w:szCs w:val="21"/>
          <w:spacing w:val="-3"/>
          <w:position w:val="27"/>
        </w:rPr>
        <w:t>座办公楼</w:t>
      </w:r>
      <w:r>
        <w:rPr>
          <w:rFonts w:ascii="SimSun" w:hAnsi="SimSun" w:eastAsia="SimSun" w:cs="SimSun"/>
          <w:sz w:val="21"/>
          <w:szCs w:val="21"/>
          <w:spacing w:val="-39"/>
          <w:position w:val="27"/>
        </w:rPr>
        <w:t xml:space="preserve"> </w:t>
      </w:r>
      <w:r>
        <w:rPr>
          <w:rFonts w:ascii="Times New Roman" w:hAnsi="Times New Roman" w:eastAsia="Times New Roman" w:cs="Times New Roman"/>
          <w:sz w:val="21"/>
          <w:szCs w:val="21"/>
          <w:spacing w:val="-3"/>
          <w:position w:val="27"/>
        </w:rPr>
        <w:t>8 </w:t>
      </w:r>
      <w:r>
        <w:rPr>
          <w:rFonts w:ascii="SimSun" w:hAnsi="SimSun" w:eastAsia="SimSun" w:cs="SimSun"/>
          <w:sz w:val="21"/>
          <w:szCs w:val="21"/>
          <w:spacing w:val="-3"/>
          <w:position w:val="27"/>
        </w:rPr>
        <w:t>层</w:t>
      </w:r>
    </w:p>
    <w:p>
      <w:pPr>
        <w:ind w:left="1268"/>
        <w:spacing w:line="220" w:lineRule="auto"/>
        <w:rPr>
          <w:rFonts w:ascii="SimSun" w:hAnsi="SimSun" w:eastAsia="SimSun" w:cs="SimSun"/>
          <w:sz w:val="21"/>
          <w:szCs w:val="21"/>
        </w:rPr>
      </w:pPr>
      <w:r>
        <w:rPr>
          <w:rFonts w:ascii="SimSun" w:hAnsi="SimSun" w:eastAsia="SimSun" w:cs="SimSun"/>
          <w:sz w:val="21"/>
          <w:szCs w:val="21"/>
          <w:spacing w:val="-4"/>
        </w:rPr>
        <w:t>签字会计师:</w:t>
      </w:r>
      <w:r>
        <w:rPr>
          <w:rFonts w:ascii="SimSun" w:hAnsi="SimSun" w:eastAsia="SimSun" w:cs="SimSun"/>
          <w:sz w:val="21"/>
          <w:szCs w:val="21"/>
          <w:spacing w:val="41"/>
        </w:rPr>
        <w:t xml:space="preserve"> </w:t>
      </w:r>
      <w:r>
        <w:rPr>
          <w:rFonts w:ascii="SimSun" w:hAnsi="SimSun" w:eastAsia="SimSun" w:cs="SimSun"/>
          <w:sz w:val="21"/>
          <w:szCs w:val="21"/>
          <w:spacing w:val="-4"/>
        </w:rPr>
        <w:t>石海云、李砾</w:t>
      </w:r>
    </w:p>
    <w:p>
      <w:pPr>
        <w:pStyle w:val="BodyText"/>
        <w:rPr/>
      </w:pPr>
      <w:r/>
    </w:p>
    <w:p>
      <w:pPr>
        <w:ind w:left="29"/>
        <w:spacing w:before="69" w:line="221" w:lineRule="auto"/>
        <w:rPr>
          <w:rFonts w:ascii="SimSun" w:hAnsi="SimSun" w:eastAsia="SimSun" w:cs="SimSun"/>
          <w:sz w:val="21"/>
          <w:szCs w:val="21"/>
        </w:rPr>
      </w:pPr>
      <w:r>
        <w:rPr>
          <w:rFonts w:ascii="SimSun" w:hAnsi="SimSun" w:eastAsia="SimSun" w:cs="SimSun"/>
          <w:sz w:val="21"/>
          <w:szCs w:val="21"/>
          <w:b/>
          <w:bCs/>
          <w:spacing w:val="-5"/>
        </w:rPr>
        <w:t>国际审计师:</w:t>
      </w:r>
      <w:r>
        <w:rPr>
          <w:rFonts w:ascii="SimSun" w:hAnsi="SimSun" w:eastAsia="SimSun" w:cs="SimSun"/>
          <w:sz w:val="21"/>
          <w:szCs w:val="21"/>
          <w:spacing w:val="41"/>
        </w:rPr>
        <w:t xml:space="preserve"> </w:t>
      </w:r>
      <w:r>
        <w:rPr>
          <w:rFonts w:ascii="SimSun" w:hAnsi="SimSun" w:eastAsia="SimSun" w:cs="SimSun"/>
          <w:sz w:val="21"/>
          <w:szCs w:val="21"/>
          <w:spacing w:val="-5"/>
        </w:rPr>
        <w:t>毕马威会计师事务所</w:t>
      </w:r>
    </w:p>
    <w:p>
      <w:pPr>
        <w:ind w:left="1288"/>
        <w:spacing w:before="308" w:line="560" w:lineRule="exact"/>
        <w:rPr>
          <w:rFonts w:ascii="SimSun" w:hAnsi="SimSun" w:eastAsia="SimSun" w:cs="SimSun"/>
          <w:sz w:val="21"/>
          <w:szCs w:val="21"/>
        </w:rPr>
      </w:pPr>
      <w:r>
        <w:rPr>
          <w:rFonts w:ascii="SimSun" w:hAnsi="SimSun" w:eastAsia="SimSun" w:cs="SimSun"/>
          <w:sz w:val="21"/>
          <w:szCs w:val="21"/>
          <w:spacing w:val="-4"/>
          <w:position w:val="27"/>
        </w:rPr>
        <w:t>中国香港中环遮打道</w:t>
      </w:r>
      <w:r>
        <w:rPr>
          <w:rFonts w:ascii="SimSun" w:hAnsi="SimSun" w:eastAsia="SimSun" w:cs="SimSun"/>
          <w:sz w:val="21"/>
          <w:szCs w:val="21"/>
          <w:spacing w:val="-24"/>
          <w:position w:val="27"/>
        </w:rPr>
        <w:t xml:space="preserve"> </w:t>
      </w:r>
      <w:r>
        <w:rPr>
          <w:rFonts w:ascii="Times New Roman" w:hAnsi="Times New Roman" w:eastAsia="Times New Roman" w:cs="Times New Roman"/>
          <w:sz w:val="21"/>
          <w:szCs w:val="21"/>
          <w:spacing w:val="-4"/>
          <w:position w:val="27"/>
        </w:rPr>
        <w:t>10</w:t>
      </w:r>
      <w:r>
        <w:rPr>
          <w:rFonts w:ascii="Times New Roman" w:hAnsi="Times New Roman" w:eastAsia="Times New Roman" w:cs="Times New Roman"/>
          <w:sz w:val="21"/>
          <w:szCs w:val="21"/>
          <w:spacing w:val="13"/>
          <w:w w:val="101"/>
          <w:position w:val="27"/>
        </w:rPr>
        <w:t xml:space="preserve"> </w:t>
      </w:r>
      <w:r>
        <w:rPr>
          <w:rFonts w:ascii="SimSun" w:hAnsi="SimSun" w:eastAsia="SimSun" w:cs="SimSun"/>
          <w:sz w:val="21"/>
          <w:szCs w:val="21"/>
          <w:spacing w:val="-4"/>
          <w:position w:val="27"/>
        </w:rPr>
        <w:t>号太子大厦</w:t>
      </w:r>
      <w:r>
        <w:rPr>
          <w:rFonts w:ascii="SimSun" w:hAnsi="SimSun" w:eastAsia="SimSun" w:cs="SimSun"/>
          <w:sz w:val="21"/>
          <w:szCs w:val="21"/>
          <w:spacing w:val="-42"/>
          <w:position w:val="27"/>
        </w:rPr>
        <w:t xml:space="preserve"> </w:t>
      </w:r>
      <w:r>
        <w:rPr>
          <w:rFonts w:ascii="Times New Roman" w:hAnsi="Times New Roman" w:eastAsia="Times New Roman" w:cs="Times New Roman"/>
          <w:sz w:val="21"/>
          <w:szCs w:val="21"/>
          <w:spacing w:val="-4"/>
          <w:position w:val="27"/>
        </w:rPr>
        <w:t>8 </w:t>
      </w:r>
      <w:r>
        <w:rPr>
          <w:rFonts w:ascii="SimSun" w:hAnsi="SimSun" w:eastAsia="SimSun" w:cs="SimSun"/>
          <w:sz w:val="21"/>
          <w:szCs w:val="21"/>
          <w:spacing w:val="-4"/>
          <w:position w:val="27"/>
        </w:rPr>
        <w:t>楼</w:t>
      </w:r>
    </w:p>
    <w:p>
      <w:pPr>
        <w:ind w:left="1268"/>
        <w:spacing w:line="220" w:lineRule="auto"/>
        <w:rPr>
          <w:rFonts w:ascii="SimSun" w:hAnsi="SimSun" w:eastAsia="SimSun" w:cs="SimSun"/>
          <w:sz w:val="21"/>
          <w:szCs w:val="21"/>
        </w:rPr>
      </w:pPr>
      <w:r>
        <w:rPr>
          <w:rFonts w:ascii="SimSun" w:hAnsi="SimSun" w:eastAsia="SimSun" w:cs="SimSun"/>
          <w:sz w:val="21"/>
          <w:szCs w:val="21"/>
          <w:spacing w:val="-6"/>
        </w:rPr>
        <w:t>签字会计师:</w:t>
      </w:r>
      <w:r>
        <w:rPr>
          <w:rFonts w:ascii="SimSun" w:hAnsi="SimSun" w:eastAsia="SimSun" w:cs="SimSun"/>
          <w:sz w:val="21"/>
          <w:szCs w:val="21"/>
          <w:spacing w:val="47"/>
        </w:rPr>
        <w:t xml:space="preserve"> </w:t>
      </w:r>
      <w:r>
        <w:rPr>
          <w:rFonts w:ascii="SimSun" w:hAnsi="SimSun" w:eastAsia="SimSun" w:cs="SimSun"/>
          <w:sz w:val="21"/>
          <w:szCs w:val="21"/>
          <w:spacing w:val="-6"/>
        </w:rPr>
        <w:t>陈少东</w:t>
      </w:r>
    </w:p>
    <w:p>
      <w:pPr>
        <w:pStyle w:val="BodyText"/>
        <w:spacing w:line="265" w:lineRule="auto"/>
        <w:rPr/>
      </w:pPr>
      <w:r/>
    </w:p>
    <w:p>
      <w:pPr>
        <w:pStyle w:val="BodyText"/>
        <w:spacing w:line="265" w:lineRule="auto"/>
        <w:rPr/>
      </w:pPr>
      <w:r/>
    </w:p>
    <w:p>
      <w:pPr>
        <w:pStyle w:val="BodyText"/>
        <w:spacing w:line="266" w:lineRule="auto"/>
        <w:rPr/>
      </w:pPr>
      <w:r/>
    </w:p>
    <w:p>
      <w:pPr>
        <w:ind w:left="28"/>
        <w:spacing w:before="69" w:line="560" w:lineRule="exact"/>
        <w:rPr>
          <w:rFonts w:ascii="SimSun" w:hAnsi="SimSun" w:eastAsia="SimSun" w:cs="SimSun"/>
          <w:sz w:val="21"/>
          <w:szCs w:val="21"/>
        </w:rPr>
      </w:pPr>
      <w:r>
        <w:rPr>
          <w:rFonts w:ascii="SimSun" w:hAnsi="SimSun" w:eastAsia="SimSun" w:cs="SimSun"/>
          <w:sz w:val="21"/>
          <w:szCs w:val="21"/>
          <w:b/>
          <w:bCs/>
          <w:spacing w:val="-4"/>
          <w:position w:val="27"/>
        </w:rPr>
        <w:t>中国法律顾问:</w:t>
      </w:r>
      <w:r>
        <w:rPr>
          <w:rFonts w:ascii="SimSun" w:hAnsi="SimSun" w:eastAsia="SimSun" w:cs="SimSun"/>
          <w:sz w:val="21"/>
          <w:szCs w:val="21"/>
          <w:spacing w:val="37"/>
          <w:position w:val="27"/>
        </w:rPr>
        <w:t xml:space="preserve"> </w:t>
      </w:r>
      <w:r>
        <w:rPr>
          <w:rFonts w:ascii="SimSun" w:hAnsi="SimSun" w:eastAsia="SimSun" w:cs="SimSun"/>
          <w:sz w:val="21"/>
          <w:szCs w:val="21"/>
          <w:spacing w:val="-4"/>
          <w:position w:val="27"/>
        </w:rPr>
        <w:t>上海市锦天城律师事务所</w:t>
      </w:r>
    </w:p>
    <w:p>
      <w:pPr>
        <w:ind w:left="10"/>
        <w:spacing w:line="221" w:lineRule="auto"/>
        <w:rPr>
          <w:rFonts w:ascii="SimSun" w:hAnsi="SimSun" w:eastAsia="SimSun" w:cs="SimSun"/>
          <w:sz w:val="21"/>
          <w:szCs w:val="21"/>
        </w:rPr>
      </w:pPr>
      <w:r>
        <w:rPr>
          <w:rFonts w:ascii="SimSun" w:hAnsi="SimSun" w:eastAsia="SimSun" w:cs="SimSun"/>
          <w:sz w:val="21"/>
          <w:szCs w:val="21"/>
          <w:b/>
          <w:bCs/>
          <w:spacing w:val="-4"/>
        </w:rPr>
        <w:t>香港法律顾问:</w:t>
      </w:r>
      <w:r>
        <w:rPr>
          <w:rFonts w:ascii="SimSun" w:hAnsi="SimSun" w:eastAsia="SimSun" w:cs="SimSun"/>
          <w:sz w:val="21"/>
          <w:szCs w:val="21"/>
          <w:spacing w:val="39"/>
        </w:rPr>
        <w:t xml:space="preserve"> </w:t>
      </w:r>
      <w:r>
        <w:rPr>
          <w:rFonts w:ascii="SimSun" w:hAnsi="SimSun" w:eastAsia="SimSun" w:cs="SimSun"/>
          <w:sz w:val="21"/>
          <w:szCs w:val="21"/>
          <w:spacing w:val="-4"/>
        </w:rPr>
        <w:t>欧华律师事务所</w:t>
      </w:r>
    </w:p>
    <w:p>
      <w:pPr>
        <w:pStyle w:val="BodyText"/>
        <w:spacing w:line="265" w:lineRule="auto"/>
        <w:rPr/>
      </w:pPr>
      <w:r/>
    </w:p>
    <w:p>
      <w:pPr>
        <w:pStyle w:val="BodyText"/>
        <w:spacing w:line="265" w:lineRule="auto"/>
        <w:rPr/>
      </w:pPr>
      <w:r/>
    </w:p>
    <w:p>
      <w:pPr>
        <w:pStyle w:val="BodyText"/>
        <w:spacing w:line="266" w:lineRule="auto"/>
        <w:rPr/>
      </w:pPr>
      <w:r/>
    </w:p>
    <w:p>
      <w:pPr>
        <w:ind w:left="8"/>
        <w:spacing w:before="69" w:line="221" w:lineRule="auto"/>
        <w:rPr>
          <w:rFonts w:ascii="SimSun" w:hAnsi="SimSun" w:eastAsia="SimSun" w:cs="SimSun"/>
          <w:sz w:val="21"/>
          <w:szCs w:val="21"/>
        </w:rPr>
      </w:pPr>
      <w:r>
        <w:rPr>
          <w:rFonts w:ascii="SimSun" w:hAnsi="SimSun" w:eastAsia="SimSun" w:cs="SimSun"/>
          <w:sz w:val="21"/>
          <w:szCs w:val="21"/>
          <w:b/>
          <w:bCs/>
          <w:spacing w:val="-3"/>
        </w:rPr>
        <w:t>股份过户登记处</w:t>
      </w:r>
    </w:p>
    <w:p>
      <w:pPr>
        <w:spacing w:before="307" w:line="562" w:lineRule="exact"/>
        <w:rPr>
          <w:rFonts w:ascii="SimSun" w:hAnsi="SimSun" w:eastAsia="SimSun" w:cs="SimSun"/>
          <w:sz w:val="21"/>
          <w:szCs w:val="21"/>
        </w:rPr>
      </w:pPr>
      <w:r>
        <w:rPr>
          <w:rFonts w:ascii="Times New Roman" w:hAnsi="Times New Roman" w:eastAsia="Times New Roman" w:cs="Times New Roman"/>
          <w:sz w:val="21"/>
          <w:szCs w:val="21"/>
          <w:spacing w:val="4"/>
          <w:position w:val="27"/>
        </w:rPr>
        <w:t>A</w:t>
      </w:r>
      <w:r>
        <w:rPr>
          <w:rFonts w:ascii="SimSun" w:hAnsi="SimSun" w:eastAsia="SimSun" w:cs="SimSun"/>
          <w:sz w:val="21"/>
          <w:szCs w:val="21"/>
          <w:spacing w:val="4"/>
          <w:position w:val="27"/>
        </w:rPr>
        <w:t>股:中国证券登记结算有限责任公司上海分公司</w:t>
      </w:r>
    </w:p>
    <w:p>
      <w:pPr>
        <w:ind w:left="8"/>
        <w:spacing w:line="221" w:lineRule="auto"/>
        <w:rPr>
          <w:rFonts w:ascii="SimSun" w:hAnsi="SimSun" w:eastAsia="SimSun" w:cs="SimSun"/>
          <w:sz w:val="21"/>
          <w:szCs w:val="21"/>
        </w:rPr>
      </w:pPr>
      <w:r>
        <w:rPr>
          <w:rFonts w:ascii="SimSun" w:hAnsi="SimSun" w:eastAsia="SimSun" w:cs="SimSun"/>
          <w:sz w:val="21"/>
          <w:szCs w:val="21"/>
          <w:spacing w:val="-1"/>
        </w:rPr>
        <w:t>上海市浦东新区杨高南路</w:t>
      </w:r>
      <w:r>
        <w:rPr>
          <w:rFonts w:ascii="Times New Roman" w:hAnsi="Times New Roman" w:eastAsia="Times New Roman" w:cs="Times New Roman"/>
          <w:sz w:val="21"/>
          <w:szCs w:val="21"/>
          <w:spacing w:val="-1"/>
        </w:rPr>
        <w:t>188</w:t>
      </w:r>
      <w:r>
        <w:rPr>
          <w:rFonts w:ascii="SimSun" w:hAnsi="SimSun" w:eastAsia="SimSun" w:cs="SimSun"/>
          <w:sz w:val="21"/>
          <w:szCs w:val="21"/>
          <w:spacing w:val="-1"/>
        </w:rPr>
        <w:t>号</w:t>
      </w:r>
    </w:p>
    <w:p>
      <w:pPr>
        <w:ind w:left="1"/>
        <w:spacing w:before="308" w:line="222" w:lineRule="auto"/>
        <w:rPr>
          <w:rFonts w:ascii="SimSun" w:hAnsi="SimSun" w:eastAsia="SimSun" w:cs="SimSun"/>
          <w:sz w:val="21"/>
          <w:szCs w:val="21"/>
        </w:rPr>
      </w:pPr>
      <w:r>
        <w:rPr>
          <w:rFonts w:ascii="Times New Roman" w:hAnsi="Times New Roman" w:eastAsia="Times New Roman" w:cs="Times New Roman"/>
          <w:sz w:val="21"/>
          <w:szCs w:val="21"/>
          <w:spacing w:val="7"/>
        </w:rPr>
        <w:t>H</w:t>
      </w:r>
      <w:r>
        <w:rPr>
          <w:rFonts w:ascii="SimSun" w:hAnsi="SimSun" w:eastAsia="SimSun" w:cs="SimSun"/>
          <w:sz w:val="21"/>
          <w:szCs w:val="21"/>
          <w:spacing w:val="7"/>
        </w:rPr>
        <w:t>股:香港中央证券登记有限公司</w:t>
      </w:r>
    </w:p>
    <w:p>
      <w:pPr>
        <w:ind w:left="8"/>
        <w:spacing w:before="307" w:line="221" w:lineRule="auto"/>
        <w:rPr>
          <w:rFonts w:ascii="SimSun" w:hAnsi="SimSun" w:eastAsia="SimSun" w:cs="SimSun"/>
          <w:sz w:val="21"/>
          <w:szCs w:val="21"/>
        </w:rPr>
      </w:pPr>
      <w:r>
        <w:rPr>
          <w:rFonts w:ascii="SimSun" w:hAnsi="SimSun" w:eastAsia="SimSun" w:cs="SimSun"/>
          <w:sz w:val="21"/>
          <w:szCs w:val="21"/>
        </w:rPr>
        <w:t>香港皇后大道东</w:t>
      </w:r>
      <w:r>
        <w:rPr>
          <w:rFonts w:ascii="Times New Roman" w:hAnsi="Times New Roman" w:eastAsia="Times New Roman" w:cs="Times New Roman"/>
          <w:sz w:val="21"/>
          <w:szCs w:val="21"/>
        </w:rPr>
        <w:t>183</w:t>
      </w:r>
      <w:r>
        <w:rPr>
          <w:rFonts w:ascii="SimSun" w:hAnsi="SimSun" w:eastAsia="SimSun" w:cs="SimSun"/>
          <w:sz w:val="21"/>
          <w:szCs w:val="21"/>
        </w:rPr>
        <w:t>号合和中心</w:t>
      </w:r>
      <w:r>
        <w:rPr>
          <w:rFonts w:ascii="Times New Roman" w:hAnsi="Times New Roman" w:eastAsia="Times New Roman" w:cs="Times New Roman"/>
          <w:sz w:val="21"/>
          <w:szCs w:val="21"/>
        </w:rPr>
        <w:t>17</w:t>
      </w:r>
      <w:r>
        <w:rPr>
          <w:rFonts w:ascii="SimSun" w:hAnsi="SimSun" w:eastAsia="SimSun" w:cs="SimSun"/>
          <w:sz w:val="21"/>
          <w:szCs w:val="21"/>
        </w:rPr>
        <w:t>楼</w:t>
      </w:r>
      <w:r>
        <w:rPr>
          <w:rFonts w:ascii="Times New Roman" w:hAnsi="Times New Roman" w:eastAsia="Times New Roman" w:cs="Times New Roman"/>
          <w:sz w:val="21"/>
          <w:szCs w:val="21"/>
        </w:rPr>
        <w:t>17</w:t>
      </w:r>
      <w:r>
        <w:rPr>
          <w:rFonts w:ascii="Times New Roman" w:hAnsi="Times New Roman" w:eastAsia="Times New Roman" w:cs="Times New Roman"/>
          <w:sz w:val="21"/>
          <w:szCs w:val="21"/>
          <w:spacing w:val="-1"/>
        </w:rPr>
        <w:t>12</w:t>
      </w:r>
      <w:r>
        <w:rPr>
          <w:rFonts w:ascii="SimSun" w:hAnsi="SimSun" w:eastAsia="SimSun" w:cs="SimSun"/>
          <w:sz w:val="21"/>
          <w:szCs w:val="21"/>
          <w:spacing w:val="-1"/>
        </w:rPr>
        <w:t>至</w:t>
      </w:r>
      <w:r>
        <w:rPr>
          <w:rFonts w:ascii="Times New Roman" w:hAnsi="Times New Roman" w:eastAsia="Times New Roman" w:cs="Times New Roman"/>
          <w:sz w:val="21"/>
          <w:szCs w:val="21"/>
          <w:spacing w:val="-1"/>
        </w:rPr>
        <w:t>1716</w:t>
      </w:r>
      <w:r>
        <w:rPr>
          <w:rFonts w:ascii="SimSun" w:hAnsi="SimSun" w:eastAsia="SimSun" w:cs="SimSun"/>
          <w:sz w:val="21"/>
          <w:szCs w:val="21"/>
          <w:spacing w:val="-1"/>
        </w:rPr>
        <w:t>室</w:t>
      </w:r>
    </w:p>
    <w:p>
      <w:pPr>
        <w:pStyle w:val="BodyText"/>
        <w:spacing w:line="265" w:lineRule="auto"/>
        <w:rPr/>
      </w:pPr>
      <w:r/>
    </w:p>
    <w:p>
      <w:pPr>
        <w:pStyle w:val="BodyText"/>
        <w:spacing w:line="265" w:lineRule="auto"/>
        <w:rPr/>
      </w:pPr>
      <w:r/>
    </w:p>
    <w:p>
      <w:pPr>
        <w:pStyle w:val="BodyText"/>
        <w:spacing w:line="265" w:lineRule="auto"/>
        <w:rPr/>
      </w:pPr>
      <w:r/>
    </w:p>
    <w:p>
      <w:pPr>
        <w:ind w:left="9"/>
        <w:spacing w:before="69" w:line="222" w:lineRule="auto"/>
        <w:rPr>
          <w:rFonts w:ascii="SimSun" w:hAnsi="SimSun" w:eastAsia="SimSun" w:cs="SimSun"/>
          <w:sz w:val="21"/>
          <w:szCs w:val="21"/>
        </w:rPr>
      </w:pPr>
      <w:r>
        <w:rPr>
          <w:rFonts w:ascii="SimSun" w:hAnsi="SimSun" w:eastAsia="SimSun" w:cs="SimSun"/>
          <w:sz w:val="21"/>
          <w:szCs w:val="21"/>
          <w:b/>
          <w:bCs/>
          <w:spacing w:val="-4"/>
        </w:rPr>
        <w:t>其他资料</w:t>
      </w:r>
    </w:p>
    <w:p>
      <w:pPr>
        <w:ind w:left="11"/>
        <w:spacing w:before="307" w:line="221" w:lineRule="auto"/>
        <w:rPr>
          <w:rFonts w:ascii="Times New Roman" w:hAnsi="Times New Roman" w:eastAsia="Times New Roman" w:cs="Times New Roman"/>
          <w:sz w:val="21"/>
          <w:szCs w:val="21"/>
        </w:rPr>
      </w:pPr>
      <w:r>
        <w:rPr>
          <w:rFonts w:ascii="SimSun" w:hAnsi="SimSun" w:eastAsia="SimSun" w:cs="SimSun"/>
          <w:sz w:val="21"/>
          <w:szCs w:val="21"/>
          <w:spacing w:val="-2"/>
        </w:rPr>
        <w:t>统一社会信用代码:</w:t>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2"/>
        </w:rPr>
        <w:t>9131000010000595XD</w:t>
      </w:r>
    </w:p>
    <w:p>
      <w:pPr>
        <w:spacing w:line="221" w:lineRule="auto"/>
        <w:sectPr>
          <w:footerReference w:type="default" r:id="rId9"/>
          <w:pgSz w:w="11907" w:h="16839"/>
          <w:pgMar w:top="1196" w:right="1785" w:bottom="1375" w:left="1554" w:header="0" w:footer="1211" w:gutter="0"/>
        </w:sectPr>
        <w:rPr>
          <w:rFonts w:ascii="Times New Roman" w:hAnsi="Times New Roman" w:eastAsia="Times New Roman" w:cs="Times New Roman"/>
          <w:sz w:val="21"/>
          <w:szCs w:val="21"/>
        </w:rPr>
      </w:pPr>
    </w:p>
    <w:p>
      <w:pPr>
        <w:ind w:left="496"/>
        <w:spacing w:before="41" w:line="221" w:lineRule="auto"/>
        <w:outlineLvl w:val="0"/>
        <w:rPr>
          <w:rFonts w:ascii="SimSun" w:hAnsi="SimSun" w:eastAsia="SimSun" w:cs="SimSun"/>
          <w:sz w:val="21"/>
          <w:szCs w:val="21"/>
        </w:rPr>
      </w:pPr>
      <w:r>
        <w:rPr>
          <w:rFonts w:ascii="SimSun" w:hAnsi="SimSun" w:eastAsia="SimSun" w:cs="SimSun"/>
          <w:sz w:val="21"/>
          <w:szCs w:val="21"/>
          <w:b/>
          <w:bCs/>
          <w:spacing w:val="-3"/>
        </w:rPr>
        <w:t>二、公司简介及主要业务</w:t>
      </w:r>
    </w:p>
    <w:p>
      <w:pPr>
        <w:pStyle w:val="BodyText"/>
        <w:rPr/>
      </w:pPr>
      <w:r/>
    </w:p>
    <w:p>
      <w:pPr>
        <w:ind w:left="69" w:right="57" w:firstLine="422"/>
        <w:spacing w:before="68" w:line="284" w:lineRule="auto"/>
        <w:jc w:val="both"/>
        <w:rPr>
          <w:rFonts w:ascii="SimSun" w:hAnsi="SimSun" w:eastAsia="SimSun" w:cs="SimSun"/>
          <w:sz w:val="21"/>
          <w:szCs w:val="21"/>
        </w:rPr>
      </w:pPr>
      <w:r>
        <w:rPr>
          <w:rFonts w:ascii="SimSun" w:hAnsi="SimSun" w:eastAsia="SimSun" w:cs="SimSun"/>
          <w:sz w:val="21"/>
          <w:szCs w:val="21"/>
          <w:spacing w:val="-3"/>
        </w:rPr>
        <w:t>本行始建于</w:t>
      </w:r>
      <w:r>
        <w:rPr>
          <w:rFonts w:ascii="SimSun" w:hAnsi="SimSun" w:eastAsia="SimSun" w:cs="SimSun"/>
          <w:sz w:val="21"/>
          <w:szCs w:val="21"/>
          <w:spacing w:val="-23"/>
        </w:rPr>
        <w:t xml:space="preserve"> </w:t>
      </w:r>
      <w:r>
        <w:rPr>
          <w:rFonts w:ascii="Times New Roman" w:hAnsi="Times New Roman" w:eastAsia="Times New Roman" w:cs="Times New Roman"/>
          <w:sz w:val="21"/>
          <w:szCs w:val="21"/>
          <w:spacing w:val="-3"/>
        </w:rPr>
        <w:t>1908 </w:t>
      </w:r>
      <w:r>
        <w:rPr>
          <w:rFonts w:ascii="SimSun" w:hAnsi="SimSun" w:eastAsia="SimSun" w:cs="SimSun"/>
          <w:sz w:val="21"/>
          <w:szCs w:val="21"/>
          <w:spacing w:val="-3"/>
        </w:rPr>
        <w:t>年,</w:t>
      </w:r>
      <w:r>
        <w:rPr>
          <w:rFonts w:ascii="SimSun" w:hAnsi="SimSun" w:eastAsia="SimSun" w:cs="SimSun"/>
          <w:sz w:val="21"/>
          <w:szCs w:val="21"/>
          <w:spacing w:val="32"/>
        </w:rPr>
        <w:t xml:space="preserve"> </w:t>
      </w:r>
      <w:r>
        <w:rPr>
          <w:rFonts w:ascii="SimSun" w:hAnsi="SimSun" w:eastAsia="SimSun" w:cs="SimSun"/>
          <w:sz w:val="21"/>
          <w:szCs w:val="21"/>
          <w:spacing w:val="-3"/>
        </w:rPr>
        <w:t>是中国历史最悠久的银行之一。</w:t>
      </w:r>
      <w:r>
        <w:rPr>
          <w:rFonts w:ascii="Times New Roman" w:hAnsi="Times New Roman" w:eastAsia="Times New Roman" w:cs="Times New Roman"/>
          <w:sz w:val="21"/>
          <w:szCs w:val="21"/>
          <w:spacing w:val="-3"/>
        </w:rPr>
        <w:t>1987 </w:t>
      </w:r>
      <w:r>
        <w:rPr>
          <w:rFonts w:ascii="SimSun" w:hAnsi="SimSun" w:eastAsia="SimSun" w:cs="SimSun"/>
          <w:sz w:val="21"/>
          <w:szCs w:val="21"/>
          <w:spacing w:val="-3"/>
        </w:rPr>
        <w:t>年</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4"/>
        </w:rPr>
        <w:t>4</w:t>
      </w:r>
      <w:r>
        <w:rPr>
          <w:rFonts w:ascii="Times New Roman" w:hAnsi="Times New Roman" w:eastAsia="Times New Roman" w:cs="Times New Roman"/>
          <w:sz w:val="21"/>
          <w:szCs w:val="21"/>
          <w:spacing w:val="16"/>
          <w:w w:val="101"/>
        </w:rPr>
        <w:t xml:space="preserve"> </w:t>
      </w:r>
      <w:r>
        <w:rPr>
          <w:rFonts w:ascii="SimSun" w:hAnsi="SimSun" w:eastAsia="SimSun" w:cs="SimSun"/>
          <w:sz w:val="21"/>
          <w:szCs w:val="21"/>
          <w:spacing w:val="-4"/>
        </w:rPr>
        <w:t>月</w:t>
      </w:r>
      <w:r>
        <w:rPr>
          <w:rFonts w:ascii="SimSun" w:hAnsi="SimSun" w:eastAsia="SimSun" w:cs="SimSun"/>
          <w:sz w:val="21"/>
          <w:szCs w:val="21"/>
          <w:spacing w:val="-23"/>
        </w:rPr>
        <w:t xml:space="preserve"> </w:t>
      </w:r>
      <w:r>
        <w:rPr>
          <w:rFonts w:ascii="Times New Roman" w:hAnsi="Times New Roman" w:eastAsia="Times New Roman" w:cs="Times New Roman"/>
          <w:sz w:val="21"/>
          <w:szCs w:val="21"/>
          <w:spacing w:val="-4"/>
        </w:rPr>
        <w:t>1  </w:t>
      </w:r>
      <w:r>
        <w:rPr>
          <w:rFonts w:ascii="SimSun" w:hAnsi="SimSun" w:eastAsia="SimSun" w:cs="SimSun"/>
          <w:sz w:val="21"/>
          <w:szCs w:val="21"/>
          <w:spacing w:val="-4"/>
        </w:rPr>
        <w:t>日,</w:t>
      </w:r>
      <w:r>
        <w:rPr>
          <w:rFonts w:ascii="SimSun" w:hAnsi="SimSun" w:eastAsia="SimSun" w:cs="SimSun"/>
          <w:sz w:val="21"/>
          <w:szCs w:val="21"/>
          <w:spacing w:val="30"/>
        </w:rPr>
        <w:t xml:space="preserve"> </w:t>
      </w:r>
      <w:r>
        <w:rPr>
          <w:rFonts w:ascii="SimSun" w:hAnsi="SimSun" w:eastAsia="SimSun" w:cs="SimSun"/>
          <w:sz w:val="21"/>
          <w:szCs w:val="21"/>
          <w:spacing w:val="-4"/>
        </w:rPr>
        <w:t>本行重新组建后正式对外营</w:t>
      </w:r>
      <w:r>
        <w:rPr>
          <w:rFonts w:ascii="SimSun" w:hAnsi="SimSun" w:eastAsia="SimSun" w:cs="SimSun"/>
          <w:sz w:val="21"/>
          <w:szCs w:val="21"/>
        </w:rPr>
        <w:t xml:space="preserve"> </w:t>
      </w:r>
      <w:r>
        <w:rPr>
          <w:rFonts w:ascii="SimSun" w:hAnsi="SimSun" w:eastAsia="SimSun" w:cs="SimSun"/>
          <w:sz w:val="21"/>
          <w:szCs w:val="21"/>
          <w:spacing w:val="-2"/>
        </w:rPr>
        <w:t>业, 成为中国第一家全国性的国有股份制商业银行, 总部设在上海。</w:t>
      </w:r>
      <w:r>
        <w:rPr>
          <w:rFonts w:ascii="Times New Roman" w:hAnsi="Times New Roman" w:eastAsia="Times New Roman" w:cs="Times New Roman"/>
          <w:sz w:val="21"/>
          <w:szCs w:val="21"/>
          <w:spacing w:val="-2"/>
        </w:rPr>
        <w:t>2005 </w:t>
      </w:r>
      <w:r>
        <w:rPr>
          <w:rFonts w:ascii="SimSun" w:hAnsi="SimSun" w:eastAsia="SimSun" w:cs="SimSun"/>
          <w:sz w:val="21"/>
          <w:szCs w:val="21"/>
          <w:spacing w:val="-2"/>
        </w:rPr>
        <w:t>年</w:t>
      </w:r>
      <w:r>
        <w:rPr>
          <w:rFonts w:ascii="SimSun" w:hAnsi="SimSun" w:eastAsia="SimSun" w:cs="SimSun"/>
          <w:sz w:val="21"/>
          <w:szCs w:val="21"/>
          <w:spacing w:val="-40"/>
        </w:rPr>
        <w:t xml:space="preserve"> </w:t>
      </w:r>
      <w:r>
        <w:rPr>
          <w:rFonts w:ascii="Times New Roman" w:hAnsi="Times New Roman" w:eastAsia="Times New Roman" w:cs="Times New Roman"/>
          <w:sz w:val="21"/>
          <w:szCs w:val="21"/>
          <w:spacing w:val="-2"/>
        </w:rPr>
        <w:t>6</w:t>
      </w:r>
      <w:r>
        <w:rPr>
          <w:rFonts w:ascii="Times New Roman" w:hAnsi="Times New Roman" w:eastAsia="Times New Roman" w:cs="Times New Roman"/>
          <w:sz w:val="21"/>
          <w:szCs w:val="21"/>
          <w:spacing w:val="13"/>
          <w:w w:val="101"/>
        </w:rPr>
        <w:t xml:space="preserve"> </w:t>
      </w:r>
      <w:r>
        <w:rPr>
          <w:rFonts w:ascii="SimSun" w:hAnsi="SimSun" w:eastAsia="SimSun" w:cs="SimSun"/>
          <w:sz w:val="21"/>
          <w:szCs w:val="21"/>
          <w:spacing w:val="-2"/>
        </w:rPr>
        <w:t>月本行在香港联交所挂牌上</w:t>
      </w:r>
      <w:r>
        <w:rPr>
          <w:rFonts w:ascii="SimSun" w:hAnsi="SimSun" w:eastAsia="SimSun" w:cs="SimSun"/>
          <w:sz w:val="21"/>
          <w:szCs w:val="21"/>
        </w:rPr>
        <w:t xml:space="preserve"> </w:t>
      </w:r>
      <w:r>
        <w:rPr>
          <w:rFonts w:ascii="SimSun" w:hAnsi="SimSun" w:eastAsia="SimSun" w:cs="SimSun"/>
          <w:sz w:val="21"/>
          <w:szCs w:val="21"/>
          <w:spacing w:val="2"/>
        </w:rPr>
        <w:t>市,</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2"/>
        </w:rPr>
        <w:t>2007 </w:t>
      </w:r>
      <w:r>
        <w:rPr>
          <w:rFonts w:ascii="SimSun" w:hAnsi="SimSun" w:eastAsia="SimSun" w:cs="SimSun"/>
          <w:sz w:val="21"/>
          <w:szCs w:val="21"/>
          <w:spacing w:val="2"/>
        </w:rPr>
        <w:t>年</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2"/>
        </w:rPr>
        <w:t>5 </w:t>
      </w:r>
      <w:r>
        <w:rPr>
          <w:rFonts w:ascii="SimSun" w:hAnsi="SimSun" w:eastAsia="SimSun" w:cs="SimSun"/>
          <w:sz w:val="21"/>
          <w:szCs w:val="21"/>
          <w:spacing w:val="2"/>
        </w:rPr>
        <w:t>月在上交所挂牌上市。</w:t>
      </w:r>
      <w:r>
        <w:rPr>
          <w:rFonts w:ascii="SimSun" w:hAnsi="SimSun" w:eastAsia="SimSun" w:cs="SimSun"/>
          <w:sz w:val="21"/>
          <w:szCs w:val="21"/>
          <w:spacing w:val="-35"/>
        </w:rPr>
        <w:t xml:space="preserve"> </w:t>
      </w:r>
      <w:r>
        <w:rPr>
          <w:rFonts w:ascii="Times New Roman" w:hAnsi="Times New Roman" w:eastAsia="Times New Roman" w:cs="Times New Roman"/>
          <w:sz w:val="21"/>
          <w:szCs w:val="21"/>
          <w:spacing w:val="2"/>
        </w:rPr>
        <w:t>2022 </w:t>
      </w:r>
      <w:r>
        <w:rPr>
          <w:rFonts w:ascii="SimSun" w:hAnsi="SimSun" w:eastAsia="SimSun" w:cs="SimSun"/>
          <w:sz w:val="21"/>
          <w:szCs w:val="21"/>
          <w:spacing w:val="2"/>
        </w:rPr>
        <w:t>年,按一级资本排名,</w:t>
      </w:r>
      <w:r>
        <w:rPr>
          <w:rFonts w:ascii="SimSun" w:hAnsi="SimSun" w:eastAsia="SimSun" w:cs="SimSun"/>
          <w:sz w:val="21"/>
          <w:szCs w:val="21"/>
          <w:spacing w:val="1"/>
        </w:rPr>
        <w:t>本行居全球银行第十位。</w:t>
      </w:r>
    </w:p>
    <w:p>
      <w:pPr>
        <w:ind w:left="69" w:right="58" w:firstLine="422"/>
        <w:spacing w:before="308" w:line="298" w:lineRule="auto"/>
        <w:rPr>
          <w:rFonts w:ascii="SimSun" w:hAnsi="SimSun" w:eastAsia="SimSun" w:cs="SimSun"/>
          <w:sz w:val="21"/>
          <w:szCs w:val="21"/>
        </w:rPr>
      </w:pPr>
      <w:r>
        <w:rPr>
          <w:rFonts w:ascii="SimSun" w:hAnsi="SimSun" w:eastAsia="SimSun" w:cs="SimSun"/>
          <w:sz w:val="21"/>
          <w:szCs w:val="21"/>
          <w:spacing w:val="2"/>
        </w:rPr>
        <w:t>本行战略目标是"建设具有特色优势的世界一流银行集团"。"十四五"时期, 本行坚定推进"一四五" </w:t>
      </w:r>
      <w:r>
        <w:rPr>
          <w:rFonts w:ascii="SimSun" w:hAnsi="SimSun" w:eastAsia="SimSun" w:cs="SimSun"/>
          <w:sz w:val="21"/>
          <w:szCs w:val="21"/>
          <w:spacing w:val="-3"/>
        </w:rPr>
        <w:t>战略,</w:t>
      </w:r>
      <w:r>
        <w:rPr>
          <w:rFonts w:ascii="SimSun" w:hAnsi="SimSun" w:eastAsia="SimSun" w:cs="SimSun"/>
          <w:sz w:val="21"/>
          <w:szCs w:val="21"/>
          <w:spacing w:val="54"/>
        </w:rPr>
        <w:t xml:space="preserve"> </w:t>
      </w:r>
      <w:r>
        <w:rPr>
          <w:rFonts w:ascii="SimSun" w:hAnsi="SimSun" w:eastAsia="SimSun" w:cs="SimSun"/>
          <w:sz w:val="21"/>
          <w:szCs w:val="21"/>
          <w:spacing w:val="-3"/>
        </w:rPr>
        <w:t>即以战略目标为引领,</w:t>
      </w:r>
      <w:r>
        <w:rPr>
          <w:rFonts w:ascii="SimSun" w:hAnsi="SimSun" w:eastAsia="SimSun" w:cs="SimSun"/>
          <w:sz w:val="21"/>
          <w:szCs w:val="21"/>
          <w:spacing w:val="30"/>
        </w:rPr>
        <w:t xml:space="preserve"> </w:t>
      </w:r>
      <w:r>
        <w:rPr>
          <w:rFonts w:ascii="SimSun" w:hAnsi="SimSun" w:eastAsia="SimSun" w:cs="SimSun"/>
          <w:sz w:val="21"/>
          <w:szCs w:val="21"/>
          <w:spacing w:val="-3"/>
        </w:rPr>
        <w:t>打造普惠金融、贸易金融、科技金融、财富金融四大业务特色,</w:t>
      </w:r>
      <w:r>
        <w:rPr>
          <w:rFonts w:ascii="SimSun" w:hAnsi="SimSun" w:eastAsia="SimSun" w:cs="SimSun"/>
          <w:sz w:val="21"/>
          <w:szCs w:val="21"/>
          <w:spacing w:val="29"/>
        </w:rPr>
        <w:t xml:space="preserve"> </w:t>
      </w:r>
      <w:r>
        <w:rPr>
          <w:rFonts w:ascii="SimSun" w:hAnsi="SimSun" w:eastAsia="SimSun" w:cs="SimSun"/>
          <w:sz w:val="21"/>
          <w:szCs w:val="21"/>
          <w:spacing w:val="-3"/>
        </w:rPr>
        <w:t>并把绿色作</w:t>
      </w:r>
      <w:r>
        <w:rPr>
          <w:rFonts w:ascii="SimSun" w:hAnsi="SimSun" w:eastAsia="SimSun" w:cs="SimSun"/>
          <w:sz w:val="21"/>
          <w:szCs w:val="21"/>
        </w:rPr>
        <w:t xml:space="preserve"> </w:t>
      </w:r>
      <w:r>
        <w:rPr>
          <w:rFonts w:ascii="SimSun" w:hAnsi="SimSun" w:eastAsia="SimSun" w:cs="SimSun"/>
          <w:sz w:val="21"/>
          <w:szCs w:val="21"/>
          <w:spacing w:val="-5"/>
        </w:rPr>
        <w:t>为全集团业务经营发展的底色, 提升客户经营、科技引领、风险管理、协同作战、资源配置五大专业能力。</w:t>
      </w:r>
      <w:r>
        <w:rPr>
          <w:rFonts w:ascii="SimSun" w:hAnsi="SimSun" w:eastAsia="SimSun" w:cs="SimSun"/>
          <w:sz w:val="21"/>
          <w:szCs w:val="21"/>
          <w:spacing w:val="2"/>
        </w:rPr>
        <w:t xml:space="preserve"> </w:t>
      </w:r>
      <w:r>
        <w:rPr>
          <w:rFonts w:ascii="SimSun" w:hAnsi="SimSun" w:eastAsia="SimSun" w:cs="SimSun"/>
          <w:sz w:val="21"/>
          <w:szCs w:val="21"/>
          <w:spacing w:val="2"/>
        </w:rPr>
        <w:t>在战略实施中,</w:t>
      </w:r>
      <w:r>
        <w:rPr>
          <w:rFonts w:ascii="SimSun" w:hAnsi="SimSun" w:eastAsia="SimSun" w:cs="SimSun"/>
          <w:sz w:val="21"/>
          <w:szCs w:val="21"/>
          <w:spacing w:val="32"/>
        </w:rPr>
        <w:t xml:space="preserve"> </w:t>
      </w:r>
      <w:r>
        <w:rPr>
          <w:rFonts w:ascii="SimSun" w:hAnsi="SimSun" w:eastAsia="SimSun" w:cs="SimSun"/>
          <w:sz w:val="21"/>
          <w:szCs w:val="21"/>
          <w:spacing w:val="2"/>
        </w:rPr>
        <w:t>聚焦"上海主场"</w:t>
      </w:r>
      <w:r>
        <w:rPr>
          <w:rFonts w:ascii="SimSun" w:hAnsi="SimSun" w:eastAsia="SimSun" w:cs="SimSun"/>
          <w:sz w:val="21"/>
          <w:szCs w:val="21"/>
          <w:spacing w:val="-26"/>
        </w:rPr>
        <w:t xml:space="preserve"> </w:t>
      </w:r>
      <w:r>
        <w:rPr>
          <w:rFonts w:ascii="SimSun" w:hAnsi="SimSun" w:eastAsia="SimSun" w:cs="SimSun"/>
          <w:sz w:val="21"/>
          <w:szCs w:val="21"/>
          <w:spacing w:val="2"/>
        </w:rPr>
        <w:t>建设、数字化转型两大重点领</w:t>
      </w:r>
      <w:r>
        <w:rPr>
          <w:rFonts w:ascii="SimSun" w:hAnsi="SimSun" w:eastAsia="SimSun" w:cs="SimSun"/>
          <w:sz w:val="21"/>
          <w:szCs w:val="21"/>
          <w:spacing w:val="1"/>
        </w:rPr>
        <w:t>域率先实现创新突破, 示范引领全行高质</w:t>
      </w:r>
      <w:r>
        <w:rPr>
          <w:rFonts w:ascii="SimSun" w:hAnsi="SimSun" w:eastAsia="SimSun" w:cs="SimSun"/>
          <w:sz w:val="21"/>
          <w:szCs w:val="21"/>
        </w:rPr>
        <w:t xml:space="preserve"> </w:t>
      </w:r>
      <w:r>
        <w:rPr>
          <w:rFonts w:ascii="SimSun" w:hAnsi="SimSun" w:eastAsia="SimSun" w:cs="SimSun"/>
          <w:sz w:val="21"/>
          <w:szCs w:val="21"/>
          <w:spacing w:val="-1"/>
        </w:rPr>
        <w:t>量发展。</w:t>
      </w:r>
    </w:p>
    <w:p>
      <w:pPr>
        <w:ind w:left="491"/>
        <w:spacing w:before="308" w:line="218" w:lineRule="auto"/>
        <w:rPr>
          <w:rFonts w:ascii="SimSun" w:hAnsi="SimSun" w:eastAsia="SimSun" w:cs="SimSun"/>
          <w:sz w:val="21"/>
          <w:szCs w:val="21"/>
        </w:rPr>
      </w:pPr>
      <w:r>
        <w:rPr>
          <w:rFonts w:ascii="SimSun" w:hAnsi="SimSun" w:eastAsia="SimSun" w:cs="SimSun"/>
          <w:sz w:val="21"/>
          <w:szCs w:val="21"/>
          <w:spacing w:val="3"/>
        </w:rPr>
        <w:t>本行以"创造共同价值"</w:t>
      </w:r>
      <w:r>
        <w:rPr>
          <w:rFonts w:ascii="SimSun" w:hAnsi="SimSun" w:eastAsia="SimSun" w:cs="SimSun"/>
          <w:sz w:val="21"/>
          <w:szCs w:val="21"/>
          <w:spacing w:val="-10"/>
        </w:rPr>
        <w:t xml:space="preserve"> </w:t>
      </w:r>
      <w:r>
        <w:rPr>
          <w:rFonts w:ascii="SimSun" w:hAnsi="SimSun" w:eastAsia="SimSun" w:cs="SimSun"/>
          <w:sz w:val="21"/>
          <w:szCs w:val="21"/>
          <w:spacing w:val="3"/>
        </w:rPr>
        <w:t>为使命,致力于实现客户、</w:t>
      </w:r>
      <w:r>
        <w:rPr>
          <w:rFonts w:ascii="SimSun" w:hAnsi="SimSun" w:eastAsia="SimSun" w:cs="SimSun"/>
          <w:sz w:val="21"/>
          <w:szCs w:val="21"/>
          <w:spacing w:val="-28"/>
        </w:rPr>
        <w:t xml:space="preserve"> </w:t>
      </w:r>
      <w:r>
        <w:rPr>
          <w:rFonts w:ascii="SimSun" w:hAnsi="SimSun" w:eastAsia="SimSun" w:cs="SimSun"/>
          <w:sz w:val="21"/>
          <w:szCs w:val="21"/>
          <w:spacing w:val="3"/>
        </w:rPr>
        <w:t>股东、员工、社会的价值增长与和谐发展。</w:t>
      </w:r>
    </w:p>
    <w:p>
      <w:pPr>
        <w:pStyle w:val="BodyText"/>
        <w:spacing w:line="243" w:lineRule="auto"/>
        <w:rPr/>
      </w:pPr>
      <w:r/>
    </w:p>
    <w:p>
      <w:pPr>
        <w:ind w:left="71" w:right="57" w:firstLine="421"/>
        <w:spacing w:before="68" w:line="292" w:lineRule="auto"/>
        <w:rPr>
          <w:rFonts w:ascii="SimSun" w:hAnsi="SimSun" w:eastAsia="SimSun" w:cs="SimSun"/>
          <w:sz w:val="21"/>
          <w:szCs w:val="21"/>
        </w:rPr>
      </w:pPr>
      <w:r>
        <w:rPr>
          <w:rFonts w:ascii="SimSun" w:hAnsi="SimSun" w:eastAsia="SimSun" w:cs="SimSun"/>
          <w:sz w:val="21"/>
          <w:szCs w:val="21"/>
          <w:spacing w:val="-2"/>
        </w:rPr>
        <w:t>经银保监会批准,</w:t>
      </w:r>
      <w:r>
        <w:rPr>
          <w:rFonts w:ascii="SimSun" w:hAnsi="SimSun" w:eastAsia="SimSun" w:cs="SimSun"/>
          <w:sz w:val="21"/>
          <w:szCs w:val="21"/>
          <w:spacing w:val="25"/>
        </w:rPr>
        <w:t xml:space="preserve"> </w:t>
      </w:r>
      <w:r>
        <w:rPr>
          <w:rFonts w:ascii="SimSun" w:hAnsi="SimSun" w:eastAsia="SimSun" w:cs="SimSun"/>
          <w:sz w:val="21"/>
          <w:szCs w:val="21"/>
          <w:spacing w:val="-2"/>
        </w:rPr>
        <w:t>本行通过手机银行、网上银行等线上服务渠道,</w:t>
      </w:r>
      <w:r>
        <w:rPr>
          <w:rFonts w:ascii="SimSun" w:hAnsi="SimSun" w:eastAsia="SimSun" w:cs="SimSun"/>
          <w:sz w:val="21"/>
          <w:szCs w:val="21"/>
          <w:spacing w:val="50"/>
        </w:rPr>
        <w:t xml:space="preserve"> </w:t>
      </w:r>
      <w:r>
        <w:rPr>
          <w:rFonts w:ascii="SimSun" w:hAnsi="SimSun" w:eastAsia="SimSun" w:cs="SimSun"/>
          <w:sz w:val="21"/>
          <w:szCs w:val="21"/>
          <w:spacing w:val="-2"/>
        </w:rPr>
        <w:t>以及</w:t>
      </w:r>
      <w:r>
        <w:rPr>
          <w:rFonts w:ascii="SimSun" w:hAnsi="SimSun" w:eastAsia="SimSun" w:cs="SimSun"/>
          <w:sz w:val="21"/>
          <w:szCs w:val="21"/>
          <w:spacing w:val="-3"/>
        </w:rPr>
        <w:t>境内</w:t>
      </w:r>
      <w:r>
        <w:rPr>
          <w:rFonts w:ascii="SimSun" w:hAnsi="SimSun" w:eastAsia="SimSun" w:cs="SimSun"/>
          <w:sz w:val="21"/>
          <w:szCs w:val="21"/>
          <w:spacing w:val="-51"/>
        </w:rPr>
        <w:t xml:space="preserve"> </w:t>
      </w:r>
      <w:r>
        <w:rPr>
          <w:rFonts w:ascii="Times New Roman" w:hAnsi="Times New Roman" w:eastAsia="Times New Roman" w:cs="Times New Roman"/>
          <w:sz w:val="21"/>
          <w:szCs w:val="21"/>
          <w:spacing w:val="-3"/>
        </w:rPr>
        <w:t>2,800 </w:t>
      </w:r>
      <w:r>
        <w:rPr>
          <w:rFonts w:ascii="SimSun" w:hAnsi="SimSun" w:eastAsia="SimSun" w:cs="SimSun"/>
          <w:sz w:val="21"/>
          <w:szCs w:val="21"/>
          <w:spacing w:val="-3"/>
        </w:rPr>
        <w:t>余家网点、境外</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23</w:t>
      </w:r>
      <w:r>
        <w:rPr>
          <w:rFonts w:ascii="Times New Roman" w:hAnsi="Times New Roman" w:eastAsia="Times New Roman" w:cs="Times New Roman"/>
          <w:sz w:val="21"/>
          <w:szCs w:val="21"/>
        </w:rPr>
        <w:t xml:space="preserve"> </w:t>
      </w:r>
      <w:r>
        <w:rPr>
          <w:rFonts w:ascii="SimSun" w:hAnsi="SimSun" w:eastAsia="SimSun" w:cs="SimSun"/>
          <w:sz w:val="21"/>
          <w:szCs w:val="21"/>
        </w:rPr>
        <w:t>家分(子) 行及代表处,</w:t>
      </w:r>
      <w:r>
        <w:rPr>
          <w:rFonts w:ascii="SimSun" w:hAnsi="SimSun" w:eastAsia="SimSun" w:cs="SimSun"/>
          <w:sz w:val="21"/>
          <w:szCs w:val="21"/>
          <w:spacing w:val="32"/>
        </w:rPr>
        <w:t xml:space="preserve"> </w:t>
      </w:r>
      <w:r>
        <w:rPr>
          <w:rFonts w:ascii="SimSun" w:hAnsi="SimSun" w:eastAsia="SimSun" w:cs="SimSun"/>
          <w:sz w:val="21"/>
          <w:szCs w:val="21"/>
        </w:rPr>
        <w:t>为</w:t>
      </w:r>
      <w:r>
        <w:rPr>
          <w:rFonts w:ascii="SimSun" w:hAnsi="SimSun" w:eastAsia="SimSun" w:cs="SimSun"/>
          <w:sz w:val="21"/>
          <w:szCs w:val="21"/>
          <w:spacing w:val="-41"/>
        </w:rPr>
        <w:t xml:space="preserve"> </w:t>
      </w:r>
      <w:r>
        <w:rPr>
          <w:rFonts w:ascii="Times New Roman" w:hAnsi="Times New Roman" w:eastAsia="Times New Roman" w:cs="Times New Roman"/>
          <w:sz w:val="21"/>
          <w:szCs w:val="21"/>
        </w:rPr>
        <w:t>246</w:t>
      </w:r>
      <w:r>
        <w:rPr>
          <w:rFonts w:ascii="Times New Roman" w:hAnsi="Times New Roman" w:eastAsia="Times New Roman" w:cs="Times New Roman"/>
          <w:sz w:val="21"/>
          <w:szCs w:val="21"/>
          <w:spacing w:val="19"/>
          <w:w w:val="101"/>
        </w:rPr>
        <w:t xml:space="preserve"> </w:t>
      </w:r>
      <w:r>
        <w:rPr>
          <w:rFonts w:ascii="SimSun" w:hAnsi="SimSun" w:eastAsia="SimSun" w:cs="SimSun"/>
          <w:sz w:val="21"/>
          <w:szCs w:val="21"/>
        </w:rPr>
        <w:t>万公司客户和</w:t>
      </w:r>
      <w:r>
        <w:rPr>
          <w:rFonts w:ascii="SimSun" w:hAnsi="SimSun" w:eastAsia="SimSun" w:cs="SimSun"/>
          <w:sz w:val="21"/>
          <w:szCs w:val="21"/>
          <w:spacing w:val="-21"/>
        </w:rPr>
        <w:t xml:space="preserve"> </w:t>
      </w:r>
      <w:r>
        <w:rPr>
          <w:rFonts w:ascii="Times New Roman" w:hAnsi="Times New Roman" w:eastAsia="Times New Roman" w:cs="Times New Roman"/>
          <w:sz w:val="21"/>
          <w:szCs w:val="21"/>
        </w:rPr>
        <w:t>1.9</w:t>
      </w:r>
      <w:r>
        <w:rPr>
          <w:rFonts w:ascii="Times New Roman" w:hAnsi="Times New Roman" w:eastAsia="Times New Roman" w:cs="Times New Roman"/>
          <w:sz w:val="21"/>
          <w:szCs w:val="21"/>
          <w:spacing w:val="14"/>
          <w:w w:val="101"/>
        </w:rPr>
        <w:t xml:space="preserve"> </w:t>
      </w:r>
      <w:r>
        <w:rPr>
          <w:rFonts w:ascii="SimSun" w:hAnsi="SimSun" w:eastAsia="SimSun" w:cs="SimSun"/>
          <w:sz w:val="21"/>
          <w:szCs w:val="21"/>
        </w:rPr>
        <w:t>亿零售客户提供综合金融服务,</w:t>
      </w:r>
      <w:r>
        <w:rPr>
          <w:rFonts w:ascii="SimSun" w:hAnsi="SimSun" w:eastAsia="SimSun" w:cs="SimSun"/>
          <w:sz w:val="21"/>
          <w:szCs w:val="21"/>
          <w:spacing w:val="29"/>
        </w:rPr>
        <w:t xml:space="preserve"> </w:t>
      </w:r>
      <w:r>
        <w:rPr>
          <w:rFonts w:ascii="SimSun" w:hAnsi="SimSun" w:eastAsia="SimSun" w:cs="SimSun"/>
          <w:sz w:val="21"/>
          <w:szCs w:val="21"/>
        </w:rPr>
        <w:t>包括存贷</w:t>
      </w:r>
      <w:r>
        <w:rPr>
          <w:rFonts w:ascii="SimSun" w:hAnsi="SimSun" w:eastAsia="SimSun" w:cs="SimSun"/>
          <w:sz w:val="21"/>
          <w:szCs w:val="21"/>
          <w:spacing w:val="-1"/>
        </w:rPr>
        <w:t>款、产业链金</w:t>
      </w:r>
      <w:r>
        <w:rPr>
          <w:rFonts w:ascii="SimSun" w:hAnsi="SimSun" w:eastAsia="SimSun" w:cs="SimSun"/>
          <w:sz w:val="21"/>
          <w:szCs w:val="21"/>
        </w:rPr>
        <w:t xml:space="preserve"> </w:t>
      </w:r>
      <w:r>
        <w:rPr>
          <w:rFonts w:ascii="SimSun" w:hAnsi="SimSun" w:eastAsia="SimSun" w:cs="SimSun"/>
          <w:sz w:val="21"/>
          <w:szCs w:val="21"/>
          <w:spacing w:val="-6"/>
        </w:rPr>
        <w:t>融、现金管理、国际结算与贸易融资、投资银行、资产托管、财富管理、银行卡、私人银行、资金业务等。</w:t>
      </w:r>
      <w:r>
        <w:rPr>
          <w:rFonts w:ascii="SimSun" w:hAnsi="SimSun" w:eastAsia="SimSun" w:cs="SimSun"/>
          <w:sz w:val="21"/>
          <w:szCs w:val="21"/>
          <w:spacing w:val="11"/>
        </w:rPr>
        <w:t xml:space="preserve"> </w:t>
      </w:r>
      <w:r>
        <w:rPr>
          <w:rFonts w:ascii="SimSun" w:hAnsi="SimSun" w:eastAsia="SimSun" w:cs="SimSun"/>
          <w:sz w:val="21"/>
          <w:szCs w:val="21"/>
          <w:spacing w:val="-5"/>
        </w:rPr>
        <w:t>本集团通过全资或控股子公司, 涉足金融租赁、基金、理财、信托、保险、境外证券和债转股等业务领域。</w:t>
      </w:r>
    </w:p>
    <w:p>
      <w:pPr>
        <w:pStyle w:val="BodyText"/>
        <w:rPr/>
      </w:pPr>
      <w:r/>
    </w:p>
    <w:p>
      <w:pPr>
        <w:ind w:left="72" w:right="57" w:firstLine="419"/>
        <w:spacing w:before="69" w:line="284" w:lineRule="auto"/>
        <w:jc w:val="both"/>
        <w:rPr>
          <w:rFonts w:ascii="SimSun" w:hAnsi="SimSun" w:eastAsia="SimSun" w:cs="SimSun"/>
          <w:sz w:val="21"/>
          <w:szCs w:val="21"/>
        </w:rPr>
      </w:pPr>
      <w:r>
        <w:rPr>
          <w:rFonts w:ascii="SimSun" w:hAnsi="SimSun" w:eastAsia="SimSun" w:cs="SimSun"/>
          <w:sz w:val="21"/>
          <w:szCs w:val="21"/>
          <w:spacing w:val="7"/>
        </w:rPr>
        <w:t>本行作为一家历史悠久的国有大型银行集团,</w:t>
      </w:r>
      <w:r>
        <w:rPr>
          <w:rFonts w:ascii="SimSun" w:hAnsi="SimSun" w:eastAsia="SimSun" w:cs="SimSun"/>
          <w:sz w:val="21"/>
          <w:szCs w:val="21"/>
          <w:spacing w:val="45"/>
        </w:rPr>
        <w:t xml:space="preserve"> </w:t>
      </w:r>
      <w:r>
        <w:rPr>
          <w:rFonts w:ascii="SimSun" w:hAnsi="SimSun" w:eastAsia="SimSun" w:cs="SimSun"/>
          <w:sz w:val="21"/>
          <w:szCs w:val="21"/>
          <w:spacing w:val="7"/>
        </w:rPr>
        <w:t>将始终心怀"国之大者",</w:t>
      </w:r>
      <w:r>
        <w:rPr>
          <w:rFonts w:ascii="SimSun" w:hAnsi="SimSun" w:eastAsia="SimSun" w:cs="SimSun"/>
          <w:sz w:val="21"/>
          <w:szCs w:val="21"/>
          <w:spacing w:val="35"/>
        </w:rPr>
        <w:t xml:space="preserve"> </w:t>
      </w:r>
      <w:r>
        <w:rPr>
          <w:rFonts w:ascii="SimSun" w:hAnsi="SimSun" w:eastAsia="SimSun" w:cs="SimSun"/>
          <w:sz w:val="21"/>
          <w:szCs w:val="21"/>
          <w:spacing w:val="7"/>
        </w:rPr>
        <w:t>保持战略定力,践行"金融</w:t>
      </w:r>
      <w:r>
        <w:rPr>
          <w:rFonts w:ascii="SimSun" w:hAnsi="SimSun" w:eastAsia="SimSun" w:cs="SimSun"/>
          <w:sz w:val="21"/>
          <w:szCs w:val="21"/>
        </w:rPr>
        <w:t xml:space="preserve"> </w:t>
      </w:r>
      <w:r>
        <w:rPr>
          <w:rFonts w:ascii="SimSun" w:hAnsi="SimSun" w:eastAsia="SimSun" w:cs="SimSun"/>
          <w:sz w:val="21"/>
          <w:szCs w:val="21"/>
          <w:spacing w:val="-2"/>
        </w:rPr>
        <w:t>为民"</w:t>
      </w:r>
      <w:r>
        <w:rPr>
          <w:rFonts w:ascii="SimSun" w:hAnsi="SimSun" w:eastAsia="SimSun" w:cs="SimSun"/>
          <w:sz w:val="21"/>
          <w:szCs w:val="21"/>
          <w:spacing w:val="-29"/>
        </w:rPr>
        <w:t xml:space="preserve"> </w:t>
      </w:r>
      <w:r>
        <w:rPr>
          <w:rFonts w:ascii="SimSun" w:hAnsi="SimSun" w:eastAsia="SimSun" w:cs="SimSun"/>
          <w:sz w:val="21"/>
          <w:szCs w:val="21"/>
          <w:spacing w:val="-2"/>
        </w:rPr>
        <w:t>理念,</w:t>
      </w:r>
      <w:r>
        <w:rPr>
          <w:rFonts w:ascii="SimSun" w:hAnsi="SimSun" w:eastAsia="SimSun" w:cs="SimSun"/>
          <w:sz w:val="21"/>
          <w:szCs w:val="21"/>
          <w:spacing w:val="31"/>
        </w:rPr>
        <w:t xml:space="preserve"> </w:t>
      </w:r>
      <w:r>
        <w:rPr>
          <w:rFonts w:ascii="SimSun" w:hAnsi="SimSun" w:eastAsia="SimSun" w:cs="SimSun"/>
          <w:sz w:val="21"/>
          <w:szCs w:val="21"/>
          <w:spacing w:val="-2"/>
        </w:rPr>
        <w:t>强化全面风险管控,</w:t>
      </w:r>
      <w:r>
        <w:rPr>
          <w:rFonts w:ascii="SimSun" w:hAnsi="SimSun" w:eastAsia="SimSun" w:cs="SimSun"/>
          <w:sz w:val="21"/>
          <w:szCs w:val="21"/>
          <w:spacing w:val="27"/>
        </w:rPr>
        <w:t xml:space="preserve"> </w:t>
      </w:r>
      <w:r>
        <w:rPr>
          <w:rFonts w:ascii="SimSun" w:hAnsi="SimSun" w:eastAsia="SimSun" w:cs="SimSun"/>
          <w:sz w:val="21"/>
          <w:szCs w:val="21"/>
          <w:spacing w:val="-2"/>
        </w:rPr>
        <w:t>努力为广大客户提供优质服</w:t>
      </w:r>
      <w:r>
        <w:rPr>
          <w:rFonts w:ascii="SimSun" w:hAnsi="SimSun" w:eastAsia="SimSun" w:cs="SimSun"/>
          <w:sz w:val="21"/>
          <w:szCs w:val="21"/>
          <w:spacing w:val="-3"/>
        </w:rPr>
        <w:t>务,</w:t>
      </w:r>
      <w:r>
        <w:rPr>
          <w:rFonts w:ascii="SimSun" w:hAnsi="SimSun" w:eastAsia="SimSun" w:cs="SimSun"/>
          <w:sz w:val="21"/>
          <w:szCs w:val="21"/>
          <w:spacing w:val="27"/>
        </w:rPr>
        <w:t xml:space="preserve"> </w:t>
      </w:r>
      <w:r>
        <w:rPr>
          <w:rFonts w:ascii="SimSun" w:hAnsi="SimSun" w:eastAsia="SimSun" w:cs="SimSun"/>
          <w:sz w:val="21"/>
          <w:szCs w:val="21"/>
          <w:spacing w:val="-3"/>
        </w:rPr>
        <w:t>为股东创造更多价值,</w:t>
      </w:r>
      <w:r>
        <w:rPr>
          <w:rFonts w:ascii="SimSun" w:hAnsi="SimSun" w:eastAsia="SimSun" w:cs="SimSun"/>
          <w:sz w:val="21"/>
          <w:szCs w:val="21"/>
          <w:spacing w:val="29"/>
        </w:rPr>
        <w:t xml:space="preserve"> </w:t>
      </w:r>
      <w:r>
        <w:rPr>
          <w:rFonts w:ascii="SimSun" w:hAnsi="SimSun" w:eastAsia="SimSun" w:cs="SimSun"/>
          <w:sz w:val="21"/>
          <w:szCs w:val="21"/>
          <w:spacing w:val="-3"/>
        </w:rPr>
        <w:t>为员工营造幸福</w:t>
      </w:r>
      <w:r>
        <w:rPr>
          <w:rFonts w:ascii="SimSun" w:hAnsi="SimSun" w:eastAsia="SimSun" w:cs="SimSun"/>
          <w:sz w:val="21"/>
          <w:szCs w:val="21"/>
        </w:rPr>
        <w:t xml:space="preserve"> </w:t>
      </w:r>
      <w:r>
        <w:rPr>
          <w:rFonts w:ascii="SimSun" w:hAnsi="SimSun" w:eastAsia="SimSun" w:cs="SimSun"/>
          <w:sz w:val="21"/>
          <w:szCs w:val="21"/>
          <w:spacing w:val="-2"/>
        </w:rPr>
        <w:t>家园,</w:t>
      </w:r>
      <w:r>
        <w:rPr>
          <w:rFonts w:ascii="SimSun" w:hAnsi="SimSun" w:eastAsia="SimSun" w:cs="SimSun"/>
          <w:sz w:val="21"/>
          <w:szCs w:val="21"/>
          <w:spacing w:val="40"/>
        </w:rPr>
        <w:t xml:space="preserve"> </w:t>
      </w:r>
      <w:r>
        <w:rPr>
          <w:rFonts w:ascii="SimSun" w:hAnsi="SimSun" w:eastAsia="SimSun" w:cs="SimSun"/>
          <w:sz w:val="21"/>
          <w:szCs w:val="21"/>
          <w:spacing w:val="-2"/>
        </w:rPr>
        <w:t>为社会做出更大贡献!</w:t>
      </w:r>
    </w:p>
    <w:p>
      <w:pPr>
        <w:pStyle w:val="BodyText"/>
        <w:spacing w:line="241" w:lineRule="auto"/>
        <w:rPr/>
      </w:pPr>
      <w:r/>
    </w:p>
    <w:p>
      <w:pPr>
        <w:ind w:left="489"/>
        <w:spacing w:before="69" w:line="218" w:lineRule="auto"/>
        <w:rPr>
          <w:rFonts w:ascii="SimSun" w:hAnsi="SimSun" w:eastAsia="SimSun" w:cs="SimSun"/>
          <w:sz w:val="21"/>
          <w:szCs w:val="21"/>
        </w:rPr>
      </w:pPr>
      <w:r>
        <w:rPr>
          <w:rFonts w:ascii="SimSun" w:hAnsi="SimSun" w:eastAsia="SimSun" w:cs="SimSun"/>
          <w:sz w:val="21"/>
          <w:szCs w:val="21"/>
          <w:spacing w:val="-1"/>
        </w:rPr>
        <w:t>报告期内,</w:t>
      </w:r>
      <w:r>
        <w:rPr>
          <w:rFonts w:ascii="SimSun" w:hAnsi="SimSun" w:eastAsia="SimSun" w:cs="SimSun"/>
          <w:sz w:val="21"/>
          <w:szCs w:val="21"/>
          <w:spacing w:val="30"/>
        </w:rPr>
        <w:t xml:space="preserve"> </w:t>
      </w:r>
      <w:r>
        <w:rPr>
          <w:rFonts w:ascii="SimSun" w:hAnsi="SimSun" w:eastAsia="SimSun" w:cs="SimSun"/>
          <w:sz w:val="21"/>
          <w:szCs w:val="21"/>
          <w:spacing w:val="-1"/>
        </w:rPr>
        <w:t>本集团经营模式、主要业务和主要业绩驱动</w:t>
      </w:r>
      <w:r>
        <w:rPr>
          <w:rFonts w:ascii="SimSun" w:hAnsi="SimSun" w:eastAsia="SimSun" w:cs="SimSun"/>
          <w:sz w:val="21"/>
          <w:szCs w:val="21"/>
          <w:spacing w:val="-2"/>
        </w:rPr>
        <w:t>因素均未发生重大变化。</w:t>
      </w:r>
    </w:p>
    <w:p>
      <w:pPr>
        <w:pStyle w:val="BodyText"/>
        <w:spacing w:line="242" w:lineRule="auto"/>
        <w:rPr/>
      </w:pPr>
      <w:r/>
    </w:p>
    <w:p>
      <w:pPr>
        <w:ind w:left="491"/>
        <w:spacing w:before="69" w:line="221" w:lineRule="auto"/>
        <w:outlineLvl w:val="0"/>
        <w:rPr>
          <w:rFonts w:ascii="SimSun" w:hAnsi="SimSun" w:eastAsia="SimSun" w:cs="SimSun"/>
          <w:sz w:val="21"/>
          <w:szCs w:val="21"/>
        </w:rPr>
      </w:pPr>
      <w:r>
        <w:rPr>
          <w:rFonts w:ascii="SimSun" w:hAnsi="SimSun" w:eastAsia="SimSun" w:cs="SimSun"/>
          <w:sz w:val="21"/>
          <w:szCs w:val="21"/>
          <w:b/>
          <w:bCs/>
          <w:spacing w:val="-3"/>
        </w:rPr>
        <w:t>三、荣誉和奖项</w:t>
      </w:r>
    </w:p>
    <w:p>
      <w:pPr>
        <w:spacing w:line="202" w:lineRule="exact"/>
        <w:rPr/>
      </w:pPr>
      <w:r/>
    </w:p>
    <w:tbl>
      <w:tblPr>
        <w:tblStyle w:val="TableNormal"/>
        <w:tblW w:w="976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701"/>
        <w:gridCol w:w="2852"/>
        <w:gridCol w:w="1601"/>
        <w:gridCol w:w="1606"/>
      </w:tblGrid>
      <w:tr>
        <w:trPr>
          <w:trHeight w:val="424" w:hRule="atLeast"/>
        </w:trPr>
        <w:tc>
          <w:tcPr>
            <w:shd w:val="clear" w:fill="DBE5F1"/>
            <w:tcW w:w="3701" w:type="dxa"/>
            <w:vAlign w:val="top"/>
            <w:tcBorders>
              <w:right w:val="nil"/>
            </w:tcBorders>
          </w:tcPr>
          <w:p>
            <w:pPr>
              <w:pStyle w:val="TableText"/>
              <w:ind w:left="68"/>
              <w:spacing w:before="120" w:line="222" w:lineRule="auto"/>
              <w:rPr/>
            </w:pPr>
            <w:r>
              <w:rPr>
                <w:b/>
                <w:bCs/>
                <w:spacing w:val="-4"/>
              </w:rPr>
              <w:t>综合排名</w:t>
            </w:r>
          </w:p>
        </w:tc>
        <w:tc>
          <w:tcPr>
            <w:shd w:val="clear" w:fill="DBE5F1"/>
            <w:tcW w:w="2852" w:type="dxa"/>
            <w:vAlign w:val="top"/>
            <w:tcBorders>
              <w:left w:val="nil"/>
            </w:tcBorders>
          </w:tcPr>
          <w:p>
            <w:pPr>
              <w:ind w:firstLine="2794"/>
              <w:spacing w:before="21" w:line="393" w:lineRule="exact"/>
              <w:rPr/>
            </w:pPr>
            <w:r>
              <w:rPr>
                <w:position w:val="-7"/>
              </w:rPr>
              <w:pict>
                <v:shape id="_x0000_s2" style="mso-position-vertical-relative:line;mso-position-horizontal-relative:char;width:2.65pt;height:19.7pt;" fillcolor="#DBE5F1" filled="true" stroked="false" coordsize="53,394" coordorigin="0,0" path="m0,393l52,393l52,0l0,0l0,393xe"/>
              </w:pict>
            </w:r>
          </w:p>
        </w:tc>
        <w:tc>
          <w:tcPr>
            <w:shd w:val="clear" w:fill="DBE5F1"/>
            <w:tcW w:w="1601" w:type="dxa"/>
            <w:vAlign w:val="top"/>
            <w:tcBorders>
              <w:right w:val="nil"/>
            </w:tcBorders>
          </w:tcPr>
          <w:p>
            <w:pPr>
              <w:ind w:firstLine="2"/>
              <w:spacing w:before="4" w:line="410" w:lineRule="exact"/>
              <w:rPr/>
            </w:pPr>
            <w:r>
              <w:rPr>
                <w:position w:val="-9"/>
              </w:rPr>
              <w:pict>
                <v:shape id="_x0000_s4" style="mso-position-vertical-relative:line;mso-position-horizontal-relative:char;width:2.65pt;height:21.4pt;" fillcolor="#DBE5F1" filled="true" stroked="false" coordsize="53,427" coordorigin="0,0" path="m0,427l52,427l52,0l0,0l0,427xe"/>
              </w:pict>
            </w:r>
          </w:p>
        </w:tc>
        <w:tc>
          <w:tcPr>
            <w:shd w:val="clear" w:fill="DBE5F1"/>
            <w:tcW w:w="1606" w:type="dxa"/>
            <w:vAlign w:val="top"/>
            <w:tcBorders>
              <w:left w:val="nil"/>
            </w:tcBorders>
          </w:tcPr>
          <w:p>
            <w:pPr>
              <w:ind w:firstLine="1546"/>
              <w:spacing w:before="4" w:line="410" w:lineRule="exact"/>
              <w:rPr/>
            </w:pPr>
            <w:r>
              <w:rPr>
                <w:position w:val="-9"/>
              </w:rPr>
              <w:pict>
                <v:shape id="_x0000_s6" style="mso-position-vertical-relative:line;mso-position-horizontal-relative:char;width:2.65pt;height:21.4pt;" fillcolor="#DBE5F1" filled="true" stroked="false" coordsize="53,427" coordorigin="0,0" path="m0,427l52,427l52,0l0,0l0,427xe"/>
              </w:pict>
            </w:r>
          </w:p>
        </w:tc>
      </w:tr>
      <w:tr>
        <w:trPr>
          <w:trHeight w:val="399" w:hRule="atLeast"/>
        </w:trPr>
        <w:tc>
          <w:tcPr>
            <w:tcW w:w="6553" w:type="dxa"/>
            <w:vAlign w:val="top"/>
            <w:gridSpan w:val="2"/>
          </w:tcPr>
          <w:p>
            <w:pPr>
              <w:pStyle w:val="TableText"/>
              <w:ind w:left="61"/>
              <w:spacing w:before="112" w:line="221" w:lineRule="auto"/>
              <w:rPr/>
            </w:pPr>
            <w:r>
              <w:rPr>
                <w:rFonts w:ascii="Times New Roman" w:hAnsi="Times New Roman" w:eastAsia="Times New Roman" w:cs="Times New Roman"/>
                <w:spacing w:val="-3"/>
              </w:rPr>
              <w:t>2022 </w:t>
            </w:r>
            <w:r>
              <w:rPr>
                <w:spacing w:val="-3"/>
              </w:rPr>
              <w:t>年度全球银行</w:t>
            </w:r>
            <w:r>
              <w:rPr>
                <w:spacing w:val="-18"/>
              </w:rPr>
              <w:t xml:space="preserve"> </w:t>
            </w:r>
            <w:r>
              <w:rPr>
                <w:rFonts w:ascii="Times New Roman" w:hAnsi="Times New Roman" w:eastAsia="Times New Roman" w:cs="Times New Roman"/>
                <w:spacing w:val="-3"/>
              </w:rPr>
              <w:t>1000 </w:t>
            </w:r>
            <w:r>
              <w:rPr>
                <w:spacing w:val="-3"/>
              </w:rPr>
              <w:t>强第</w:t>
            </w:r>
            <w:r>
              <w:rPr>
                <w:spacing w:val="-27"/>
              </w:rPr>
              <w:t xml:space="preserve"> </w:t>
            </w:r>
            <w:r>
              <w:rPr>
                <w:rFonts w:ascii="Times New Roman" w:hAnsi="Times New Roman" w:eastAsia="Times New Roman" w:cs="Times New Roman"/>
                <w:spacing w:val="-3"/>
              </w:rPr>
              <w:t>10</w:t>
            </w:r>
            <w:r>
              <w:rPr>
                <w:rFonts w:ascii="Times New Roman" w:hAnsi="Times New Roman" w:eastAsia="Times New Roman" w:cs="Times New Roman"/>
                <w:spacing w:val="9"/>
              </w:rPr>
              <w:t xml:space="preserve"> </w:t>
            </w:r>
            <w:r>
              <w:rPr>
                <w:spacing w:val="-3"/>
              </w:rPr>
              <w:t>位</w:t>
            </w:r>
          </w:p>
        </w:tc>
        <w:tc>
          <w:tcPr>
            <w:tcW w:w="3207" w:type="dxa"/>
            <w:vAlign w:val="top"/>
            <w:gridSpan w:val="2"/>
          </w:tcPr>
          <w:p>
            <w:pPr>
              <w:pStyle w:val="TableText"/>
              <w:ind w:left="1329"/>
              <w:spacing w:before="111" w:line="222" w:lineRule="auto"/>
              <w:rPr/>
            </w:pPr>
            <w:r>
              <w:rPr>
                <w:spacing w:val="-1"/>
              </w:rPr>
              <w:t>英国《</w:t>
            </w:r>
            <w:r>
              <w:rPr>
                <w:rFonts w:ascii="Times New Roman" w:hAnsi="Times New Roman" w:eastAsia="Times New Roman" w:cs="Times New Roman"/>
                <w:spacing w:val="-1"/>
              </w:rPr>
              <w:t>The Banker</w:t>
            </w:r>
            <w:r>
              <w:rPr>
                <w:spacing w:val="-1"/>
              </w:rPr>
              <w:t>》</w:t>
            </w:r>
          </w:p>
        </w:tc>
      </w:tr>
      <w:tr>
        <w:trPr>
          <w:trHeight w:val="401" w:hRule="atLeast"/>
        </w:trPr>
        <w:tc>
          <w:tcPr>
            <w:tcW w:w="6553" w:type="dxa"/>
            <w:vAlign w:val="top"/>
            <w:gridSpan w:val="2"/>
          </w:tcPr>
          <w:p>
            <w:pPr>
              <w:pStyle w:val="TableText"/>
              <w:ind w:left="61"/>
              <w:spacing w:before="111" w:line="221" w:lineRule="auto"/>
              <w:rPr/>
            </w:pPr>
            <w:r>
              <w:rPr>
                <w:rFonts w:ascii="Times New Roman" w:hAnsi="Times New Roman" w:eastAsia="Times New Roman" w:cs="Times New Roman"/>
                <w:spacing w:val="-3"/>
              </w:rPr>
              <w:t>2022 </w:t>
            </w:r>
            <w:r>
              <w:rPr>
                <w:spacing w:val="-3"/>
              </w:rPr>
              <w:t>年度世界</w:t>
            </w:r>
            <w:r>
              <w:rPr>
                <w:spacing w:val="-26"/>
              </w:rPr>
              <w:t xml:space="preserve"> </w:t>
            </w:r>
            <w:r>
              <w:rPr>
                <w:rFonts w:ascii="Times New Roman" w:hAnsi="Times New Roman" w:eastAsia="Times New Roman" w:cs="Times New Roman"/>
                <w:spacing w:val="-3"/>
              </w:rPr>
              <w:t>500 </w:t>
            </w:r>
            <w:r>
              <w:rPr>
                <w:spacing w:val="-3"/>
              </w:rPr>
              <w:t>强第</w:t>
            </w:r>
            <w:r>
              <w:rPr>
                <w:spacing w:val="-28"/>
              </w:rPr>
              <w:t xml:space="preserve"> </w:t>
            </w:r>
            <w:r>
              <w:rPr>
                <w:rFonts w:ascii="Times New Roman" w:hAnsi="Times New Roman" w:eastAsia="Times New Roman" w:cs="Times New Roman"/>
                <w:spacing w:val="-3"/>
              </w:rPr>
              <w:t>155</w:t>
            </w:r>
            <w:r>
              <w:rPr>
                <w:rFonts w:ascii="Times New Roman" w:hAnsi="Times New Roman" w:eastAsia="Times New Roman" w:cs="Times New Roman"/>
                <w:spacing w:val="9"/>
              </w:rPr>
              <w:t xml:space="preserve"> </w:t>
            </w:r>
            <w:r>
              <w:rPr>
                <w:spacing w:val="-3"/>
              </w:rPr>
              <w:t>位</w:t>
            </w:r>
          </w:p>
        </w:tc>
        <w:tc>
          <w:tcPr>
            <w:tcW w:w="3207" w:type="dxa"/>
            <w:vAlign w:val="top"/>
            <w:gridSpan w:val="2"/>
          </w:tcPr>
          <w:p>
            <w:pPr>
              <w:pStyle w:val="TableText"/>
              <w:ind w:left="1664"/>
              <w:spacing w:before="111" w:line="222" w:lineRule="auto"/>
              <w:rPr/>
            </w:pPr>
            <w:r>
              <w:rPr>
                <w:spacing w:val="-1"/>
              </w:rPr>
              <w:t>美国《</w:t>
            </w:r>
            <w:r>
              <w:rPr>
                <w:rFonts w:ascii="Times New Roman" w:hAnsi="Times New Roman" w:eastAsia="Times New Roman" w:cs="Times New Roman"/>
                <w:spacing w:val="-1"/>
              </w:rPr>
              <w:t>Fortune</w:t>
            </w:r>
            <w:r>
              <w:rPr>
                <w:spacing w:val="-1"/>
              </w:rPr>
              <w:t>》</w:t>
            </w:r>
          </w:p>
        </w:tc>
      </w:tr>
      <w:tr>
        <w:trPr>
          <w:trHeight w:val="430" w:hRule="atLeast"/>
        </w:trPr>
        <w:tc>
          <w:tcPr>
            <w:shd w:val="clear" w:fill="DBE5F1"/>
            <w:tcW w:w="3701" w:type="dxa"/>
            <w:vAlign w:val="top"/>
            <w:tcBorders>
              <w:right w:val="nil"/>
            </w:tcBorders>
          </w:tcPr>
          <w:p>
            <w:pPr>
              <w:pStyle w:val="TableText"/>
              <w:ind w:left="82"/>
              <w:spacing w:before="125" w:line="221" w:lineRule="auto"/>
              <w:rPr/>
            </w:pPr>
            <w:r>
              <w:rPr>
                <w:b/>
                <w:bCs/>
                <w:spacing w:val="-6"/>
              </w:rPr>
              <w:t>品牌与业务</w:t>
            </w:r>
          </w:p>
        </w:tc>
        <w:tc>
          <w:tcPr>
            <w:shd w:val="clear" w:fill="DBE5F1"/>
            <w:tcW w:w="2852" w:type="dxa"/>
            <w:vAlign w:val="top"/>
            <w:tcBorders>
              <w:left w:val="nil"/>
            </w:tcBorders>
          </w:tcPr>
          <w:p>
            <w:pPr>
              <w:ind w:firstLine="2794"/>
              <w:spacing w:before="25" w:line="395" w:lineRule="exact"/>
              <w:rPr/>
            </w:pPr>
            <w:r>
              <w:rPr>
                <w:position w:val="-8"/>
              </w:rPr>
              <w:pict>
                <v:shape id="_x0000_s8" style="mso-position-vertical-relative:line;mso-position-horizontal-relative:char;width:2.65pt;height:19.8pt;" fillcolor="#DBE5F1" filled="true" stroked="false" coordsize="53,395" coordorigin="0,0" path="m0,395l52,395l52,0l0,0l0,395xe"/>
              </w:pict>
            </w:r>
          </w:p>
        </w:tc>
        <w:tc>
          <w:tcPr>
            <w:shd w:val="clear" w:fill="DBE5F1"/>
            <w:tcW w:w="1601" w:type="dxa"/>
            <w:vAlign w:val="top"/>
            <w:tcBorders>
              <w:right w:val="nil"/>
            </w:tcBorders>
          </w:tcPr>
          <w:p>
            <w:pPr>
              <w:ind w:firstLine="2"/>
              <w:spacing w:before="11" w:line="409" w:lineRule="exact"/>
              <w:rPr/>
            </w:pPr>
            <w:r>
              <w:rPr>
                <w:position w:val="-9"/>
              </w:rPr>
              <w:pict>
                <v:shape id="_x0000_s10" style="mso-position-vertical-relative:line;mso-position-horizontal-relative:char;width:2.65pt;height:21.25pt;" fillcolor="#DBE5F1" filled="true" stroked="false" coordsize="53,425" coordorigin="0,0" path="m0,424l52,424l52,0l0,0l0,424xe"/>
              </w:pict>
            </w:r>
          </w:p>
        </w:tc>
        <w:tc>
          <w:tcPr>
            <w:shd w:val="clear" w:fill="DBE5F1"/>
            <w:tcW w:w="1606" w:type="dxa"/>
            <w:vAlign w:val="top"/>
            <w:tcBorders>
              <w:left w:val="nil"/>
            </w:tcBorders>
          </w:tcPr>
          <w:p>
            <w:pPr>
              <w:ind w:firstLine="1546"/>
              <w:spacing w:before="11" w:line="409" w:lineRule="exact"/>
              <w:rPr/>
            </w:pPr>
            <w:r>
              <w:rPr>
                <w:position w:val="-9"/>
              </w:rPr>
              <w:pict>
                <v:shape id="_x0000_s12" style="mso-position-vertical-relative:line;mso-position-horizontal-relative:char;width:2.65pt;height:21.25pt;" fillcolor="#DBE5F1" filled="true" stroked="false" coordsize="53,425" coordorigin="0,0" path="m0,424l52,424l52,0l0,0l0,424xe"/>
              </w:pict>
            </w:r>
          </w:p>
        </w:tc>
      </w:tr>
      <w:tr>
        <w:trPr>
          <w:trHeight w:val="402" w:hRule="atLeast"/>
        </w:trPr>
        <w:tc>
          <w:tcPr>
            <w:tcW w:w="6553" w:type="dxa"/>
            <w:vAlign w:val="top"/>
            <w:gridSpan w:val="2"/>
          </w:tcPr>
          <w:p>
            <w:pPr>
              <w:pStyle w:val="TableText"/>
              <w:ind w:left="85"/>
              <w:spacing w:before="110" w:line="221" w:lineRule="auto"/>
              <w:rPr/>
            </w:pPr>
            <w:r>
              <w:rPr>
                <w:spacing w:val="-3"/>
              </w:rPr>
              <w:t>中国最佳现金管理银行</w:t>
            </w:r>
          </w:p>
        </w:tc>
        <w:tc>
          <w:tcPr>
            <w:tcW w:w="3207" w:type="dxa"/>
            <w:vAlign w:val="top"/>
            <w:gridSpan w:val="2"/>
          </w:tcPr>
          <w:p>
            <w:pPr>
              <w:pStyle w:val="TableText"/>
              <w:ind w:left="2316"/>
              <w:spacing w:before="110" w:line="223" w:lineRule="auto"/>
              <w:rPr/>
            </w:pPr>
            <w:r>
              <w:rPr>
                <w:spacing w:val="-5"/>
              </w:rPr>
              <w:t>《财资》</w:t>
            </w:r>
          </w:p>
        </w:tc>
      </w:tr>
      <w:tr>
        <w:trPr>
          <w:trHeight w:val="399" w:hRule="atLeast"/>
        </w:trPr>
        <w:tc>
          <w:tcPr>
            <w:tcW w:w="6553" w:type="dxa"/>
            <w:vAlign w:val="top"/>
            <w:gridSpan w:val="2"/>
          </w:tcPr>
          <w:p>
            <w:pPr>
              <w:pStyle w:val="TableText"/>
              <w:ind w:left="66"/>
              <w:spacing w:before="108" w:line="221" w:lineRule="auto"/>
              <w:rPr/>
            </w:pPr>
            <w:r>
              <w:rPr>
                <w:spacing w:val="-1"/>
              </w:rPr>
              <w:t>十佳交易银行创新奖</w:t>
            </w:r>
          </w:p>
        </w:tc>
        <w:tc>
          <w:tcPr>
            <w:tcW w:w="3207" w:type="dxa"/>
            <w:vAlign w:val="top"/>
            <w:gridSpan w:val="2"/>
          </w:tcPr>
          <w:p>
            <w:pPr>
              <w:pStyle w:val="TableText"/>
              <w:ind w:left="2105"/>
              <w:spacing w:before="109" w:line="222" w:lineRule="auto"/>
              <w:rPr/>
            </w:pPr>
            <w:r>
              <w:rPr>
                <w:spacing w:val="-3"/>
              </w:rPr>
              <w:t>《银行家》</w:t>
            </w:r>
          </w:p>
        </w:tc>
      </w:tr>
      <w:tr>
        <w:trPr>
          <w:trHeight w:val="399" w:hRule="atLeast"/>
        </w:trPr>
        <w:tc>
          <w:tcPr>
            <w:tcW w:w="6553" w:type="dxa"/>
            <w:vAlign w:val="top"/>
            <w:gridSpan w:val="2"/>
          </w:tcPr>
          <w:p>
            <w:pPr>
              <w:pStyle w:val="TableText"/>
              <w:ind w:left="67"/>
              <w:spacing w:before="107" w:line="221" w:lineRule="auto"/>
              <w:rPr/>
            </w:pPr>
            <w:r>
              <w:rPr>
                <w:spacing w:val="-1"/>
              </w:rPr>
              <w:t>金融科技发展一等奖</w:t>
            </w:r>
          </w:p>
        </w:tc>
        <w:tc>
          <w:tcPr>
            <w:tcW w:w="3207" w:type="dxa"/>
            <w:vAlign w:val="top"/>
            <w:gridSpan w:val="2"/>
          </w:tcPr>
          <w:p>
            <w:pPr>
              <w:pStyle w:val="TableText"/>
              <w:ind w:left="2317"/>
              <w:spacing w:before="108" w:line="222" w:lineRule="auto"/>
              <w:rPr/>
            </w:pPr>
            <w:r>
              <w:rPr>
                <w:spacing w:val="-2"/>
              </w:rPr>
              <w:t>人民银行</w:t>
            </w:r>
          </w:p>
        </w:tc>
      </w:tr>
      <w:tr>
        <w:trPr>
          <w:trHeight w:val="401" w:hRule="atLeast"/>
        </w:trPr>
        <w:tc>
          <w:tcPr>
            <w:tcW w:w="6553" w:type="dxa"/>
            <w:vAlign w:val="top"/>
            <w:gridSpan w:val="2"/>
          </w:tcPr>
          <w:p>
            <w:pPr>
              <w:pStyle w:val="TableText"/>
              <w:ind w:left="65"/>
              <w:spacing w:before="107" w:line="222" w:lineRule="auto"/>
              <w:rPr/>
            </w:pPr>
            <w:r>
              <w:rPr>
                <w:spacing w:val="-1"/>
              </w:rPr>
              <w:t>创新成果奖</w:t>
            </w:r>
          </w:p>
        </w:tc>
        <w:tc>
          <w:tcPr>
            <w:tcW w:w="3207" w:type="dxa"/>
            <w:vAlign w:val="top"/>
            <w:gridSpan w:val="2"/>
          </w:tcPr>
          <w:p>
            <w:pPr>
              <w:pStyle w:val="TableText"/>
              <w:ind w:left="1686"/>
              <w:spacing w:before="107" w:line="221" w:lineRule="auto"/>
              <w:rPr/>
            </w:pPr>
            <w:r>
              <w:rPr>
                <w:spacing w:val="-2"/>
              </w:rPr>
              <w:t>工业和信息化部</w:t>
            </w:r>
          </w:p>
        </w:tc>
      </w:tr>
      <w:tr>
        <w:trPr>
          <w:trHeight w:val="399" w:hRule="atLeast"/>
        </w:trPr>
        <w:tc>
          <w:tcPr>
            <w:tcW w:w="6553" w:type="dxa"/>
            <w:vAlign w:val="top"/>
            <w:gridSpan w:val="2"/>
          </w:tcPr>
          <w:p>
            <w:pPr>
              <w:pStyle w:val="TableText"/>
              <w:ind w:left="67"/>
              <w:spacing w:before="107" w:line="221" w:lineRule="auto"/>
              <w:rPr/>
            </w:pPr>
            <w:r>
              <w:rPr>
                <w:spacing w:val="-1"/>
              </w:rPr>
              <w:t>数字先锋企业奖</w:t>
            </w:r>
          </w:p>
        </w:tc>
        <w:tc>
          <w:tcPr>
            <w:tcW w:w="3207" w:type="dxa"/>
            <w:vAlign w:val="top"/>
            <w:gridSpan w:val="2"/>
          </w:tcPr>
          <w:p>
            <w:pPr>
              <w:pStyle w:val="TableText"/>
              <w:ind w:left="2734"/>
              <w:spacing w:before="107" w:line="222" w:lineRule="auto"/>
              <w:rPr/>
            </w:pPr>
            <w:r>
              <w:rPr>
                <w:spacing w:val="-2"/>
              </w:rPr>
              <w:t>腾讯</w:t>
            </w:r>
          </w:p>
        </w:tc>
      </w:tr>
      <w:tr>
        <w:trPr>
          <w:trHeight w:val="432" w:hRule="atLeast"/>
        </w:trPr>
        <w:tc>
          <w:tcPr>
            <w:tcW w:w="6553" w:type="dxa"/>
            <w:vAlign w:val="top"/>
            <w:gridSpan w:val="2"/>
          </w:tcPr>
          <w:p>
            <w:pPr>
              <w:pStyle w:val="TableText"/>
              <w:ind w:left="85"/>
              <w:spacing w:before="115" w:line="221" w:lineRule="auto"/>
              <w:rPr/>
            </w:pPr>
            <w:r>
              <w:rPr>
                <w:spacing w:val="-3"/>
              </w:rPr>
              <w:t>中国最佳养老金托管银行</w:t>
            </w:r>
          </w:p>
        </w:tc>
        <w:tc>
          <w:tcPr>
            <w:tcW w:w="3207" w:type="dxa"/>
            <w:vAlign w:val="top"/>
            <w:gridSpan w:val="2"/>
          </w:tcPr>
          <w:p>
            <w:pPr>
              <w:pStyle w:val="TableText"/>
              <w:ind w:left="2316"/>
              <w:spacing w:before="115" w:line="223" w:lineRule="auto"/>
              <w:rPr/>
            </w:pPr>
            <w:r>
              <w:rPr>
                <w:spacing w:val="-5"/>
              </w:rPr>
              <w:t>《财资》</w:t>
            </w:r>
          </w:p>
        </w:tc>
      </w:tr>
      <w:tr>
        <w:trPr>
          <w:trHeight w:val="735" w:hRule="atLeast"/>
        </w:trPr>
        <w:tc>
          <w:tcPr>
            <w:tcW w:w="6553" w:type="dxa"/>
            <w:vAlign w:val="top"/>
            <w:gridSpan w:val="2"/>
          </w:tcPr>
          <w:p>
            <w:pPr>
              <w:pStyle w:val="TableText"/>
              <w:ind w:left="65"/>
              <w:spacing w:before="106" w:line="336" w:lineRule="exact"/>
              <w:rPr/>
            </w:pPr>
            <w:r>
              <w:rPr>
                <w:spacing w:val="10"/>
                <w:position w:val="9"/>
              </w:rPr>
              <w:t>第十七届人民企业社会责任奖--年度企业奖</w:t>
            </w:r>
          </w:p>
          <w:p>
            <w:pPr>
              <w:pStyle w:val="TableText"/>
              <w:ind w:left="65"/>
              <w:spacing w:line="221" w:lineRule="auto"/>
              <w:rPr/>
            </w:pPr>
            <w:r>
              <w:rPr>
                <w:spacing w:val="12"/>
              </w:rPr>
              <w:t>第十九届人民匠心奖--匠心服务奖</w:t>
            </w:r>
          </w:p>
        </w:tc>
        <w:tc>
          <w:tcPr>
            <w:tcW w:w="3207" w:type="dxa"/>
            <w:vAlign w:val="top"/>
            <w:gridSpan w:val="2"/>
          </w:tcPr>
          <w:p>
            <w:pPr>
              <w:pStyle w:val="TableText"/>
              <w:ind w:left="2525"/>
              <w:spacing w:before="273" w:line="223" w:lineRule="auto"/>
              <w:rPr/>
            </w:pPr>
            <w:r>
              <w:rPr>
                <w:spacing w:val="-2"/>
              </w:rPr>
              <w:t>人民网</w:t>
            </w:r>
          </w:p>
        </w:tc>
      </w:tr>
      <w:tr>
        <w:trPr>
          <w:trHeight w:val="401" w:hRule="atLeast"/>
        </w:trPr>
        <w:tc>
          <w:tcPr>
            <w:tcW w:w="6553" w:type="dxa"/>
            <w:vAlign w:val="top"/>
            <w:gridSpan w:val="2"/>
          </w:tcPr>
          <w:p>
            <w:pPr>
              <w:pStyle w:val="TableText"/>
              <w:ind w:left="60"/>
              <w:spacing w:before="105" w:line="222" w:lineRule="auto"/>
              <w:rPr/>
            </w:pPr>
            <w:r>
              <w:rPr>
                <w:rFonts w:ascii="Times New Roman" w:hAnsi="Times New Roman" w:eastAsia="Times New Roman" w:cs="Times New Roman"/>
                <w:spacing w:val="-1"/>
              </w:rPr>
              <w:t>MSCI ESG </w:t>
            </w:r>
            <w:r>
              <w:rPr>
                <w:spacing w:val="-1"/>
              </w:rPr>
              <w:t>评级</w:t>
            </w:r>
            <w:r>
              <w:rPr>
                <w:spacing w:val="-43"/>
              </w:rPr>
              <w:t xml:space="preserve"> </w:t>
            </w:r>
            <w:r>
              <w:rPr>
                <w:rFonts w:ascii="Times New Roman" w:hAnsi="Times New Roman" w:eastAsia="Times New Roman" w:cs="Times New Roman"/>
                <w:spacing w:val="-1"/>
              </w:rPr>
              <w:t>A</w:t>
            </w:r>
            <w:r>
              <w:rPr>
                <w:rFonts w:ascii="Times New Roman" w:hAnsi="Times New Roman" w:eastAsia="Times New Roman" w:cs="Times New Roman"/>
                <w:spacing w:val="13"/>
              </w:rPr>
              <w:t xml:space="preserve"> </w:t>
            </w:r>
            <w:r>
              <w:rPr>
                <w:spacing w:val="-1"/>
              </w:rPr>
              <w:t>级</w:t>
            </w:r>
          </w:p>
        </w:tc>
        <w:tc>
          <w:tcPr>
            <w:tcW w:w="3207" w:type="dxa"/>
            <w:vAlign w:val="top"/>
            <w:gridSpan w:val="2"/>
          </w:tcPr>
          <w:p>
            <w:pPr>
              <w:pStyle w:val="TableText"/>
              <w:ind w:left="2335"/>
              <w:spacing w:before="106" w:line="221" w:lineRule="auto"/>
              <w:rPr/>
            </w:pPr>
            <w:r>
              <w:rPr>
                <w:spacing w:val="-7"/>
              </w:rPr>
              <w:t>明晟公司</w:t>
            </w:r>
          </w:p>
        </w:tc>
      </w:tr>
      <w:tr>
        <w:trPr>
          <w:trHeight w:val="435" w:hRule="atLeast"/>
        </w:trPr>
        <w:tc>
          <w:tcPr>
            <w:shd w:val="clear" w:fill="DBE5F1"/>
            <w:tcW w:w="3701" w:type="dxa"/>
            <w:vAlign w:val="top"/>
            <w:tcBorders>
              <w:right w:val="nil"/>
            </w:tcBorders>
          </w:tcPr>
          <w:p>
            <w:pPr>
              <w:pStyle w:val="TableText"/>
              <w:ind w:left="67"/>
              <w:spacing w:before="119" w:line="222" w:lineRule="auto"/>
              <w:rPr/>
            </w:pPr>
            <w:r>
              <w:rPr>
                <w:b/>
                <w:bCs/>
                <w:spacing w:val="-3"/>
              </w:rPr>
              <w:t>主要子公司</w:t>
            </w:r>
          </w:p>
        </w:tc>
        <w:tc>
          <w:tcPr>
            <w:shd w:val="clear" w:fill="DBE5F1"/>
            <w:tcW w:w="2852" w:type="dxa"/>
            <w:vAlign w:val="top"/>
            <w:tcBorders>
              <w:left w:val="nil"/>
            </w:tcBorders>
          </w:tcPr>
          <w:p>
            <w:pPr>
              <w:ind w:firstLine="2794"/>
              <w:spacing w:before="20" w:line="396" w:lineRule="exact"/>
              <w:rPr/>
            </w:pPr>
            <w:r>
              <w:rPr>
                <w:position w:val="-7"/>
              </w:rPr>
              <w:pict>
                <v:shape id="_x0000_s14" style="mso-position-vertical-relative:line;mso-position-horizontal-relative:char;width:2.65pt;height:19.85pt;" fillcolor="#DBE5F1" filled="true" stroked="false" coordsize="53,397" coordorigin="0,0" path="m0,396l52,396l52,0l0,0l0,396xe"/>
              </w:pict>
            </w:r>
          </w:p>
        </w:tc>
        <w:tc>
          <w:tcPr>
            <w:shd w:val="clear" w:fill="DBE5F1"/>
            <w:tcW w:w="1601" w:type="dxa"/>
            <w:vAlign w:val="top"/>
            <w:tcBorders>
              <w:right w:val="nil"/>
            </w:tcBorders>
          </w:tcPr>
          <w:p>
            <w:pPr>
              <w:ind w:firstLine="2"/>
              <w:spacing w:before="5" w:line="420" w:lineRule="exact"/>
              <w:rPr/>
            </w:pPr>
            <w:r>
              <w:rPr>
                <w:position w:val="-8"/>
              </w:rPr>
              <w:pict>
                <v:shape id="_x0000_s16" style="mso-position-vertical-relative:line;mso-position-horizontal-relative:char;width:2.65pt;height:21.25pt;" fillcolor="#DBE5F1" filled="true" stroked="false" coordsize="53,425" coordorigin="0,0" path="m0,424l52,424l52,0l0,0l0,424xe"/>
              </w:pict>
            </w:r>
          </w:p>
        </w:tc>
        <w:tc>
          <w:tcPr>
            <w:shd w:val="clear" w:fill="DBE5F1"/>
            <w:tcW w:w="1606" w:type="dxa"/>
            <w:vAlign w:val="top"/>
            <w:tcBorders>
              <w:left w:val="nil"/>
            </w:tcBorders>
          </w:tcPr>
          <w:p>
            <w:pPr>
              <w:ind w:firstLine="1546"/>
              <w:spacing w:before="5" w:line="420" w:lineRule="exact"/>
              <w:rPr/>
            </w:pPr>
            <w:r>
              <w:rPr>
                <w:position w:val="-8"/>
              </w:rPr>
              <w:pict>
                <v:shape id="_x0000_s18" style="mso-position-vertical-relative:line;mso-position-horizontal-relative:char;width:2.65pt;height:21.25pt;" fillcolor="#DBE5F1" filled="true" stroked="false" coordsize="53,425" coordorigin="0,0" path="m0,424l52,424l52,0l0,0l0,424xe"/>
              </w:pict>
            </w:r>
          </w:p>
        </w:tc>
      </w:tr>
    </w:tbl>
    <w:p>
      <w:pPr>
        <w:pStyle w:val="BodyText"/>
        <w:spacing w:line="152" w:lineRule="exact"/>
        <w:rPr>
          <w:sz w:val="13"/>
        </w:rPr>
      </w:pPr>
      <w:r/>
    </w:p>
    <w:p>
      <w:pPr>
        <w:spacing w:line="152" w:lineRule="exact"/>
        <w:sectPr>
          <w:footerReference w:type="default" r:id="rId10"/>
          <w:pgSz w:w="11907" w:h="16839"/>
          <w:pgMar w:top="1196" w:right="1070" w:bottom="1373" w:left="1070" w:header="0" w:footer="1211" w:gutter="0"/>
        </w:sectPr>
        <w:rPr>
          <w:sz w:val="13"/>
          <w:szCs w:val="13"/>
        </w:rPr>
      </w:pPr>
    </w:p>
    <w:tbl>
      <w:tblPr>
        <w:tblStyle w:val="TableNormal"/>
        <w:tblW w:w="976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552"/>
        <w:gridCol w:w="3208"/>
      </w:tblGrid>
      <w:tr>
        <w:trPr>
          <w:trHeight w:val="436" w:hRule="atLeast"/>
        </w:trPr>
        <w:tc>
          <w:tcPr>
            <w:tcW w:w="6552" w:type="dxa"/>
            <w:vAlign w:val="top"/>
          </w:tcPr>
          <w:p>
            <w:pPr>
              <w:pStyle w:val="TableText"/>
              <w:ind w:left="69"/>
              <w:spacing w:before="121" w:line="221" w:lineRule="auto"/>
              <w:rPr/>
            </w:pPr>
            <w:r>
              <w:rPr>
                <w:b/>
                <w:bCs/>
                <w:spacing w:val="-3"/>
              </w:rPr>
              <w:t>交银金融租赁有限责任公司</w:t>
            </w:r>
          </w:p>
        </w:tc>
        <w:tc>
          <w:tcPr>
            <w:tcW w:w="3208" w:type="dxa"/>
            <w:vAlign w:val="top"/>
          </w:tcPr>
          <w:p>
            <w:pPr>
              <w:rPr>
                <w:rFonts w:ascii="Arial"/>
                <w:sz w:val="21"/>
              </w:rPr>
            </w:pPr>
            <w:r/>
          </w:p>
        </w:tc>
      </w:tr>
      <w:tr>
        <w:trPr>
          <w:trHeight w:val="432" w:hRule="atLeast"/>
        </w:trPr>
        <w:tc>
          <w:tcPr>
            <w:tcW w:w="6552" w:type="dxa"/>
            <w:vAlign w:val="top"/>
          </w:tcPr>
          <w:p>
            <w:pPr>
              <w:pStyle w:val="TableText"/>
              <w:ind w:left="487"/>
              <w:spacing w:before="109" w:line="220" w:lineRule="auto"/>
              <w:rPr/>
            </w:pPr>
            <w:r>
              <w:rPr>
                <w:spacing w:val="-1"/>
              </w:rPr>
              <w:t>上海市银行业机构综合评价</w:t>
            </w:r>
            <w:r>
              <w:rPr>
                <w:spacing w:val="-43"/>
              </w:rPr>
              <w:t xml:space="preserve"> </w:t>
            </w:r>
            <w:r>
              <w:rPr>
                <w:rFonts w:ascii="Times New Roman" w:hAnsi="Times New Roman" w:eastAsia="Times New Roman" w:cs="Times New Roman"/>
                <w:spacing w:val="-1"/>
              </w:rPr>
              <w:t>A </w:t>
            </w:r>
            <w:r>
              <w:rPr>
                <w:spacing w:val="-1"/>
              </w:rPr>
              <w:t>类机构</w:t>
            </w:r>
          </w:p>
        </w:tc>
        <w:tc>
          <w:tcPr>
            <w:tcW w:w="3208" w:type="dxa"/>
            <w:vAlign w:val="top"/>
          </w:tcPr>
          <w:p>
            <w:pPr>
              <w:pStyle w:val="TableText"/>
              <w:ind w:left="1478"/>
              <w:spacing w:before="110" w:line="221" w:lineRule="auto"/>
              <w:rPr/>
            </w:pPr>
            <w:r>
              <w:rPr>
                <w:spacing w:val="-1"/>
              </w:rPr>
              <w:t>人民银行上海总部</w:t>
            </w:r>
          </w:p>
        </w:tc>
      </w:tr>
      <w:tr>
        <w:trPr>
          <w:trHeight w:val="398" w:hRule="atLeast"/>
        </w:trPr>
        <w:tc>
          <w:tcPr>
            <w:tcW w:w="6552" w:type="dxa"/>
            <w:vAlign w:val="top"/>
          </w:tcPr>
          <w:p>
            <w:pPr>
              <w:pStyle w:val="TableText"/>
              <w:ind w:left="486"/>
              <w:spacing w:before="99" w:line="221" w:lineRule="auto"/>
              <w:rPr/>
            </w:pPr>
            <w:r>
              <w:rPr>
                <w:spacing w:val="-1"/>
              </w:rPr>
              <w:t>年度最佳金融租赁公司</w:t>
            </w:r>
          </w:p>
        </w:tc>
        <w:tc>
          <w:tcPr>
            <w:tcW w:w="3208" w:type="dxa"/>
            <w:vAlign w:val="top"/>
          </w:tcPr>
          <w:p>
            <w:pPr>
              <w:pStyle w:val="TableText"/>
              <w:ind w:left="1265"/>
              <w:spacing w:before="100" w:line="221" w:lineRule="auto"/>
              <w:rPr/>
            </w:pPr>
            <w:r>
              <w:rPr>
                <w:spacing w:val="-1"/>
              </w:rPr>
              <w:t>全球租赁竞争力论坛</w:t>
            </w:r>
          </w:p>
        </w:tc>
      </w:tr>
      <w:tr>
        <w:trPr>
          <w:trHeight w:val="400" w:hRule="atLeast"/>
        </w:trPr>
        <w:tc>
          <w:tcPr>
            <w:tcW w:w="6552" w:type="dxa"/>
            <w:vAlign w:val="top"/>
          </w:tcPr>
          <w:p>
            <w:pPr>
              <w:pStyle w:val="TableText"/>
              <w:ind w:left="505"/>
              <w:spacing w:before="100" w:line="222" w:lineRule="auto"/>
              <w:rPr/>
            </w:pPr>
            <w:r>
              <w:rPr>
                <w:spacing w:val="-3"/>
              </w:rPr>
              <w:t>中国融资租赁卓越成就奖</w:t>
            </w:r>
          </w:p>
        </w:tc>
        <w:tc>
          <w:tcPr>
            <w:tcW w:w="3208" w:type="dxa"/>
            <w:vAlign w:val="top"/>
          </w:tcPr>
          <w:p>
            <w:pPr>
              <w:pStyle w:val="TableText"/>
              <w:ind w:left="1496"/>
              <w:spacing w:before="100" w:line="222" w:lineRule="auto"/>
              <w:rPr/>
            </w:pPr>
            <w:r>
              <w:rPr>
                <w:spacing w:val="-4"/>
              </w:rPr>
              <w:t>中国国际金融论坛</w:t>
            </w:r>
          </w:p>
        </w:tc>
      </w:tr>
      <w:tr>
        <w:trPr>
          <w:trHeight w:val="429" w:hRule="atLeast"/>
        </w:trPr>
        <w:tc>
          <w:tcPr>
            <w:tcW w:w="6552" w:type="dxa"/>
            <w:vAlign w:val="top"/>
          </w:tcPr>
          <w:p>
            <w:pPr>
              <w:pStyle w:val="TableText"/>
              <w:ind w:left="69"/>
              <w:spacing w:before="115" w:line="221" w:lineRule="auto"/>
              <w:rPr/>
            </w:pPr>
            <w:r>
              <w:rPr>
                <w:b/>
                <w:bCs/>
                <w:spacing w:val="-3"/>
              </w:rPr>
              <w:t>交银施罗德基金管理有限公司</w:t>
            </w:r>
          </w:p>
        </w:tc>
        <w:tc>
          <w:tcPr>
            <w:tcW w:w="3208" w:type="dxa"/>
            <w:vAlign w:val="top"/>
          </w:tcPr>
          <w:p>
            <w:pPr>
              <w:rPr>
                <w:rFonts w:ascii="Arial"/>
                <w:sz w:val="21"/>
              </w:rPr>
            </w:pPr>
            <w:r/>
          </w:p>
        </w:tc>
      </w:tr>
      <w:tr>
        <w:trPr>
          <w:trHeight w:val="400" w:hRule="atLeast"/>
        </w:trPr>
        <w:tc>
          <w:tcPr>
            <w:tcW w:w="6552" w:type="dxa"/>
            <w:vAlign w:val="top"/>
          </w:tcPr>
          <w:p>
            <w:pPr>
              <w:pStyle w:val="TableText"/>
              <w:ind w:left="487"/>
              <w:spacing w:before="101" w:line="221" w:lineRule="auto"/>
              <w:rPr/>
            </w:pPr>
            <w:r>
              <w:rPr>
                <w:spacing w:val="-1"/>
              </w:rPr>
              <w:t>金牛基金管理公司</w:t>
            </w:r>
          </w:p>
        </w:tc>
        <w:tc>
          <w:tcPr>
            <w:tcW w:w="3208" w:type="dxa"/>
            <w:vAlign w:val="top"/>
          </w:tcPr>
          <w:p>
            <w:pPr>
              <w:pStyle w:val="TableText"/>
              <w:ind w:left="1686"/>
              <w:spacing w:before="101" w:line="221" w:lineRule="auto"/>
              <w:rPr/>
            </w:pPr>
            <w:r>
              <w:rPr>
                <w:spacing w:val="-2"/>
              </w:rPr>
              <w:t>《中国证券报》</w:t>
            </w:r>
          </w:p>
        </w:tc>
      </w:tr>
      <w:tr>
        <w:trPr>
          <w:trHeight w:val="398" w:hRule="atLeast"/>
        </w:trPr>
        <w:tc>
          <w:tcPr>
            <w:tcW w:w="6552" w:type="dxa"/>
            <w:vAlign w:val="top"/>
          </w:tcPr>
          <w:p>
            <w:pPr>
              <w:pStyle w:val="TableText"/>
              <w:ind w:left="487"/>
              <w:spacing w:before="101" w:line="222" w:lineRule="auto"/>
              <w:rPr/>
            </w:pPr>
            <w:r>
              <w:rPr>
                <w:spacing w:val="-4"/>
              </w:rPr>
              <w:t>金基金</w:t>
            </w:r>
            <w:r>
              <w:rPr>
                <w:spacing w:val="-46"/>
              </w:rPr>
              <w:t xml:space="preserve"> </w:t>
            </w:r>
            <w:r>
              <w:rPr>
                <w:rFonts w:ascii="Times New Roman" w:hAnsi="Times New Roman" w:eastAsia="Times New Roman" w:cs="Times New Roman"/>
                <w:spacing w:val="-4"/>
              </w:rPr>
              <w:t>TOP</w:t>
            </w:r>
            <w:r>
              <w:rPr>
                <w:rFonts w:ascii="Times New Roman" w:hAnsi="Times New Roman" w:eastAsia="Times New Roman" w:cs="Times New Roman"/>
                <w:spacing w:val="18"/>
              </w:rPr>
              <w:t xml:space="preserve"> </w:t>
            </w:r>
            <w:r>
              <w:rPr>
                <w:spacing w:val="-4"/>
              </w:rPr>
              <w:t>公司奖</w:t>
            </w:r>
          </w:p>
        </w:tc>
        <w:tc>
          <w:tcPr>
            <w:tcW w:w="3208" w:type="dxa"/>
            <w:vAlign w:val="top"/>
          </w:tcPr>
          <w:p>
            <w:pPr>
              <w:pStyle w:val="TableText"/>
              <w:ind w:left="1686"/>
              <w:spacing w:before="102" w:line="221" w:lineRule="auto"/>
              <w:rPr/>
            </w:pPr>
            <w:r>
              <w:rPr>
                <w:spacing w:val="-2"/>
              </w:rPr>
              <w:t>《上海证券报》</w:t>
            </w:r>
          </w:p>
        </w:tc>
      </w:tr>
      <w:tr>
        <w:trPr>
          <w:trHeight w:val="398" w:hRule="atLeast"/>
        </w:trPr>
        <w:tc>
          <w:tcPr>
            <w:tcW w:w="6552" w:type="dxa"/>
            <w:vAlign w:val="top"/>
          </w:tcPr>
          <w:p>
            <w:pPr>
              <w:pStyle w:val="TableText"/>
              <w:ind w:left="486"/>
              <w:spacing w:before="102" w:line="221" w:lineRule="auto"/>
              <w:rPr/>
            </w:pPr>
            <w:r>
              <w:rPr>
                <w:spacing w:val="-1"/>
              </w:rPr>
              <w:t>十大明星基金公司奖</w:t>
            </w:r>
          </w:p>
        </w:tc>
        <w:tc>
          <w:tcPr>
            <w:tcW w:w="3208" w:type="dxa"/>
            <w:vAlign w:val="top"/>
          </w:tcPr>
          <w:p>
            <w:pPr>
              <w:pStyle w:val="TableText"/>
              <w:ind w:left="1897"/>
              <w:spacing w:before="102" w:line="221" w:lineRule="auto"/>
              <w:rPr/>
            </w:pPr>
            <w:r>
              <w:rPr>
                <w:spacing w:val="-2"/>
              </w:rPr>
              <w:t>《证券时报》</w:t>
            </w:r>
          </w:p>
        </w:tc>
      </w:tr>
      <w:tr>
        <w:trPr>
          <w:trHeight w:val="432" w:hRule="atLeast"/>
        </w:trPr>
        <w:tc>
          <w:tcPr>
            <w:tcW w:w="6552" w:type="dxa"/>
            <w:vAlign w:val="top"/>
            <w:tcBorders>
              <w:bottom w:val="single" w:color="000000" w:sz="4" w:space="0"/>
            </w:tcBorders>
          </w:tcPr>
          <w:p>
            <w:pPr>
              <w:pStyle w:val="TableText"/>
              <w:ind w:left="69"/>
              <w:spacing w:before="119" w:line="221" w:lineRule="auto"/>
              <w:rPr/>
            </w:pPr>
            <w:r>
              <w:rPr>
                <w:b/>
                <w:bCs/>
                <w:spacing w:val="-3"/>
              </w:rPr>
              <w:t>交银理财有限责任公司</w:t>
            </w:r>
          </w:p>
        </w:tc>
        <w:tc>
          <w:tcPr>
            <w:tcW w:w="3208" w:type="dxa"/>
            <w:vAlign w:val="top"/>
            <w:tcBorders>
              <w:bottom w:val="single" w:color="000000" w:sz="4" w:space="0"/>
            </w:tcBorders>
          </w:tcPr>
          <w:p>
            <w:pPr>
              <w:rPr>
                <w:rFonts w:ascii="Arial"/>
                <w:sz w:val="21"/>
              </w:rPr>
            </w:pPr>
            <w:r/>
          </w:p>
        </w:tc>
      </w:tr>
      <w:tr>
        <w:trPr>
          <w:trHeight w:val="393" w:hRule="atLeast"/>
        </w:trPr>
        <w:tc>
          <w:tcPr>
            <w:tcW w:w="6552" w:type="dxa"/>
            <w:vAlign w:val="top"/>
            <w:tcBorders>
              <w:top w:val="single" w:color="000000" w:sz="4" w:space="0"/>
            </w:tcBorders>
          </w:tcPr>
          <w:p>
            <w:pPr>
              <w:pStyle w:val="TableText"/>
              <w:ind w:left="487"/>
              <w:spacing w:before="97" w:line="221" w:lineRule="auto"/>
              <w:rPr/>
            </w:pPr>
            <w:r>
              <w:rPr>
                <w:spacing w:val="-1"/>
              </w:rPr>
              <w:t>金贝奖·</w:t>
            </w:r>
            <w:r>
              <w:rPr>
                <w:rFonts w:ascii="Times New Roman" w:hAnsi="Times New Roman" w:eastAsia="Times New Roman" w:cs="Times New Roman"/>
                <w:spacing w:val="-1"/>
              </w:rPr>
              <w:t>2022 </w:t>
            </w:r>
            <w:r>
              <w:rPr>
                <w:spacing w:val="-1"/>
              </w:rPr>
              <w:t>年卓越理财公司</w:t>
            </w:r>
          </w:p>
        </w:tc>
        <w:tc>
          <w:tcPr>
            <w:tcW w:w="3208" w:type="dxa"/>
            <w:vAlign w:val="top"/>
            <w:tcBorders>
              <w:top w:val="single" w:color="000000" w:sz="4" w:space="0"/>
            </w:tcBorders>
          </w:tcPr>
          <w:p>
            <w:pPr>
              <w:pStyle w:val="TableText"/>
              <w:ind w:left="1215"/>
              <w:spacing w:before="97" w:line="221" w:lineRule="auto"/>
              <w:rPr/>
            </w:pPr>
            <w:r>
              <w:rPr>
                <w:spacing w:val="-1"/>
              </w:rPr>
              <w:t>《</w:t>
            </w:r>
            <w:r>
              <w:rPr>
                <w:rFonts w:ascii="Times New Roman" w:hAnsi="Times New Roman" w:eastAsia="Times New Roman" w:cs="Times New Roman"/>
                <w:spacing w:val="-1"/>
              </w:rPr>
              <w:t>21 </w:t>
            </w:r>
            <w:r>
              <w:rPr>
                <w:spacing w:val="-1"/>
              </w:rPr>
              <w:t>世纪经济报道》</w:t>
            </w:r>
          </w:p>
        </w:tc>
      </w:tr>
      <w:tr>
        <w:trPr>
          <w:trHeight w:val="400" w:hRule="atLeast"/>
        </w:trPr>
        <w:tc>
          <w:tcPr>
            <w:tcW w:w="6552" w:type="dxa"/>
            <w:vAlign w:val="top"/>
          </w:tcPr>
          <w:p>
            <w:pPr>
              <w:pStyle w:val="TableText"/>
              <w:ind w:left="487"/>
              <w:spacing w:before="103" w:line="221" w:lineRule="auto"/>
              <w:rPr/>
            </w:pPr>
            <w:r>
              <w:rPr>
                <w:spacing w:val="-1"/>
              </w:rPr>
              <w:t>金牛奖·银行理财产品金牛奖</w:t>
            </w:r>
          </w:p>
        </w:tc>
        <w:tc>
          <w:tcPr>
            <w:tcW w:w="3208" w:type="dxa"/>
            <w:vAlign w:val="top"/>
          </w:tcPr>
          <w:p>
            <w:pPr>
              <w:pStyle w:val="TableText"/>
              <w:ind w:left="1686"/>
              <w:spacing w:before="103" w:line="221" w:lineRule="auto"/>
              <w:rPr/>
            </w:pPr>
            <w:r>
              <w:rPr>
                <w:spacing w:val="-2"/>
              </w:rPr>
              <w:t>《中国证券报》</w:t>
            </w:r>
          </w:p>
        </w:tc>
      </w:tr>
      <w:tr>
        <w:trPr>
          <w:trHeight w:val="398" w:hRule="atLeast"/>
        </w:trPr>
        <w:tc>
          <w:tcPr>
            <w:tcW w:w="6552" w:type="dxa"/>
            <w:vAlign w:val="top"/>
          </w:tcPr>
          <w:p>
            <w:pPr>
              <w:pStyle w:val="TableText"/>
              <w:ind w:left="69"/>
              <w:spacing w:before="103" w:line="221" w:lineRule="auto"/>
              <w:rPr/>
            </w:pPr>
            <w:r>
              <w:rPr>
                <w:b/>
                <w:bCs/>
                <w:spacing w:val="-3"/>
              </w:rPr>
              <w:t>交银国际信托有限公司</w:t>
            </w:r>
          </w:p>
        </w:tc>
        <w:tc>
          <w:tcPr>
            <w:tcW w:w="3208" w:type="dxa"/>
            <w:vAlign w:val="top"/>
          </w:tcPr>
          <w:p>
            <w:pPr>
              <w:rPr>
                <w:rFonts w:ascii="Arial"/>
                <w:sz w:val="21"/>
              </w:rPr>
            </w:pPr>
            <w:r/>
          </w:p>
        </w:tc>
      </w:tr>
      <w:tr>
        <w:trPr>
          <w:trHeight w:val="398" w:hRule="atLeast"/>
        </w:trPr>
        <w:tc>
          <w:tcPr>
            <w:tcW w:w="6552" w:type="dxa"/>
            <w:vAlign w:val="top"/>
          </w:tcPr>
          <w:p>
            <w:pPr>
              <w:pStyle w:val="TableText"/>
              <w:ind w:left="485"/>
              <w:spacing w:before="103" w:line="221" w:lineRule="auto"/>
              <w:rPr/>
            </w:pPr>
            <w:r>
              <w:rPr>
                <w:spacing w:val="-1"/>
              </w:rPr>
              <w:t>诚信托·卓越公司奖</w:t>
            </w:r>
          </w:p>
        </w:tc>
        <w:tc>
          <w:tcPr>
            <w:tcW w:w="3208" w:type="dxa"/>
            <w:vAlign w:val="top"/>
          </w:tcPr>
          <w:p>
            <w:pPr>
              <w:pStyle w:val="TableText"/>
              <w:ind w:left="1686"/>
              <w:spacing w:before="103" w:line="221" w:lineRule="auto"/>
              <w:rPr/>
            </w:pPr>
            <w:r>
              <w:rPr>
                <w:spacing w:val="-2"/>
              </w:rPr>
              <w:t>《上海证券报》</w:t>
            </w:r>
          </w:p>
        </w:tc>
      </w:tr>
      <w:tr>
        <w:trPr>
          <w:trHeight w:val="400" w:hRule="atLeast"/>
        </w:trPr>
        <w:tc>
          <w:tcPr>
            <w:tcW w:w="6552" w:type="dxa"/>
            <w:vAlign w:val="top"/>
          </w:tcPr>
          <w:p>
            <w:pPr>
              <w:pStyle w:val="TableText"/>
              <w:ind w:left="486"/>
              <w:spacing w:before="104" w:line="221" w:lineRule="auto"/>
              <w:rPr/>
            </w:pPr>
            <w:r>
              <w:rPr>
                <w:spacing w:val="-1"/>
              </w:rPr>
              <w:t>年度优秀风控信托公司</w:t>
            </w:r>
          </w:p>
        </w:tc>
        <w:tc>
          <w:tcPr>
            <w:tcW w:w="3208" w:type="dxa"/>
            <w:vAlign w:val="top"/>
          </w:tcPr>
          <w:p>
            <w:pPr>
              <w:pStyle w:val="TableText"/>
              <w:ind w:left="1897"/>
              <w:spacing w:before="104" w:line="221" w:lineRule="auto"/>
              <w:rPr/>
            </w:pPr>
            <w:r>
              <w:rPr>
                <w:spacing w:val="-2"/>
              </w:rPr>
              <w:t>《证券时报》</w:t>
            </w:r>
          </w:p>
        </w:tc>
      </w:tr>
      <w:tr>
        <w:trPr>
          <w:trHeight w:val="398" w:hRule="atLeast"/>
        </w:trPr>
        <w:tc>
          <w:tcPr>
            <w:tcW w:w="6552" w:type="dxa"/>
            <w:vAlign w:val="top"/>
          </w:tcPr>
          <w:p>
            <w:pPr>
              <w:pStyle w:val="TableText"/>
              <w:ind w:left="69"/>
              <w:spacing w:before="104" w:line="222" w:lineRule="auto"/>
              <w:rPr/>
            </w:pPr>
            <w:r>
              <w:rPr>
                <w:b/>
                <w:bCs/>
                <w:spacing w:val="-3"/>
              </w:rPr>
              <w:t>交银人寿保险有限公司</w:t>
            </w:r>
          </w:p>
        </w:tc>
        <w:tc>
          <w:tcPr>
            <w:tcW w:w="3208" w:type="dxa"/>
            <w:vAlign w:val="top"/>
          </w:tcPr>
          <w:p>
            <w:pPr>
              <w:rPr>
                <w:rFonts w:ascii="Arial"/>
                <w:sz w:val="21"/>
              </w:rPr>
            </w:pPr>
            <w:r/>
          </w:p>
        </w:tc>
      </w:tr>
      <w:tr>
        <w:trPr>
          <w:trHeight w:val="398" w:hRule="atLeast"/>
        </w:trPr>
        <w:tc>
          <w:tcPr>
            <w:tcW w:w="6552" w:type="dxa"/>
            <w:vAlign w:val="top"/>
          </w:tcPr>
          <w:p>
            <w:pPr>
              <w:pStyle w:val="TableText"/>
              <w:ind w:left="486"/>
              <w:spacing w:before="104" w:line="221" w:lineRule="auto"/>
              <w:rPr/>
            </w:pPr>
            <w:r>
              <w:rPr>
                <w:spacing w:val="-1"/>
              </w:rPr>
              <w:t>年度卓越养老保险服务提供商</w:t>
            </w:r>
          </w:p>
        </w:tc>
        <w:tc>
          <w:tcPr>
            <w:tcW w:w="3208" w:type="dxa"/>
            <w:vAlign w:val="top"/>
          </w:tcPr>
          <w:p>
            <w:pPr>
              <w:pStyle w:val="TableText"/>
              <w:ind w:left="1477"/>
              <w:spacing w:before="104" w:line="221" w:lineRule="auto"/>
              <w:rPr/>
            </w:pPr>
            <w:r>
              <w:rPr>
                <w:spacing w:val="-1"/>
              </w:rPr>
              <w:t>《每日经济新闻》</w:t>
            </w:r>
          </w:p>
        </w:tc>
      </w:tr>
      <w:tr>
        <w:trPr>
          <w:trHeight w:val="405" w:hRule="atLeast"/>
        </w:trPr>
        <w:tc>
          <w:tcPr>
            <w:tcW w:w="6552" w:type="dxa"/>
            <w:vAlign w:val="top"/>
          </w:tcPr>
          <w:p>
            <w:pPr>
              <w:pStyle w:val="TableText"/>
              <w:ind w:left="487"/>
              <w:spacing w:before="105" w:line="221" w:lineRule="auto"/>
              <w:rPr/>
            </w:pPr>
            <w:r>
              <w:rPr>
                <w:spacing w:val="-1"/>
              </w:rPr>
              <w:t>金牌保险产品方舟奖</w:t>
            </w:r>
          </w:p>
        </w:tc>
        <w:tc>
          <w:tcPr>
            <w:tcW w:w="3208" w:type="dxa"/>
            <w:vAlign w:val="top"/>
          </w:tcPr>
          <w:p>
            <w:pPr>
              <w:pStyle w:val="TableText"/>
              <w:ind w:left="1897"/>
              <w:spacing w:before="105" w:line="221" w:lineRule="auto"/>
              <w:rPr/>
            </w:pPr>
            <w:r>
              <w:rPr>
                <w:spacing w:val="-2"/>
              </w:rPr>
              <w:t>《证券时报》</w:t>
            </w:r>
          </w:p>
        </w:tc>
      </w:tr>
    </w:tbl>
    <w:p>
      <w:pPr>
        <w:pStyle w:val="BodyText"/>
        <w:rPr/>
      </w:pPr>
      <w:r/>
    </w:p>
    <w:p>
      <w:pPr>
        <w:sectPr>
          <w:footerReference w:type="default" r:id="rId11"/>
          <w:pgSz w:w="11907" w:h="16839"/>
          <w:pgMar w:top="1132" w:right="1070" w:bottom="1375" w:left="1070" w:header="0" w:footer="1211" w:gutter="0"/>
        </w:sectPr>
        <w:rPr/>
      </w:pPr>
    </w:p>
    <w:p>
      <w:pPr>
        <w:ind w:left="4011"/>
        <w:spacing w:before="79" w:line="221" w:lineRule="auto"/>
        <w:rPr>
          <w:rFonts w:ascii="SimSun" w:hAnsi="SimSun" w:eastAsia="SimSun" w:cs="SimSun"/>
          <w:sz w:val="40"/>
          <w:szCs w:val="40"/>
        </w:rPr>
      </w:pPr>
      <w:bookmarkStart w:name="bookmark6" w:id="6"/>
      <w:bookmarkEnd w:id="6"/>
      <w:r>
        <w:rPr>
          <w:rFonts w:ascii="SimSun" w:hAnsi="SimSun" w:eastAsia="SimSun" w:cs="SimSun"/>
          <w:sz w:val="40"/>
          <w:szCs w:val="40"/>
          <w:b/>
          <w:bCs/>
          <w:spacing w:val="-8"/>
        </w:rPr>
        <w:t>财务摘要</w:t>
      </w:r>
    </w:p>
    <w:p>
      <w:pPr>
        <w:ind w:left="506"/>
        <w:spacing w:before="301" w:line="221" w:lineRule="auto"/>
        <w:outlineLvl w:val="0"/>
        <w:rPr>
          <w:rFonts w:ascii="SimSun" w:hAnsi="SimSun" w:eastAsia="SimSun" w:cs="SimSun"/>
          <w:sz w:val="21"/>
          <w:szCs w:val="21"/>
        </w:rPr>
      </w:pPr>
      <w:r>
        <w:rPr>
          <w:rFonts w:ascii="SimSun" w:hAnsi="SimSun" w:eastAsia="SimSun" w:cs="SimSun"/>
          <w:sz w:val="21"/>
          <w:szCs w:val="21"/>
          <w:b/>
          <w:bCs/>
          <w:spacing w:val="-3"/>
        </w:rPr>
        <w:t>一、主要会计数据和财务指标</w:t>
      </w:r>
    </w:p>
    <w:p>
      <w:pPr>
        <w:ind w:left="499"/>
        <w:spacing w:before="308" w:line="218" w:lineRule="auto"/>
        <w:rPr>
          <w:rFonts w:ascii="SimSun" w:hAnsi="SimSun" w:eastAsia="SimSun" w:cs="SimSun"/>
          <w:sz w:val="21"/>
          <w:szCs w:val="21"/>
        </w:rPr>
      </w:pPr>
      <w:r>
        <w:rPr>
          <w:rFonts w:ascii="SimSun" w:hAnsi="SimSun" w:eastAsia="SimSun" w:cs="SimSun"/>
          <w:sz w:val="21"/>
          <w:szCs w:val="21"/>
          <w:spacing w:val="-1"/>
        </w:rPr>
        <w:t>报告期末,</w:t>
      </w:r>
      <w:r>
        <w:rPr>
          <w:rFonts w:ascii="SimSun" w:hAnsi="SimSun" w:eastAsia="SimSun" w:cs="SimSun"/>
          <w:sz w:val="21"/>
          <w:szCs w:val="21"/>
          <w:spacing w:val="30"/>
        </w:rPr>
        <w:t xml:space="preserve"> </w:t>
      </w:r>
      <w:r>
        <w:rPr>
          <w:rFonts w:ascii="SimSun" w:hAnsi="SimSun" w:eastAsia="SimSun" w:cs="SimSun"/>
          <w:sz w:val="21"/>
          <w:szCs w:val="21"/>
          <w:spacing w:val="-1"/>
        </w:rPr>
        <w:t>本集团按照中国会计准则编制的主</w:t>
      </w:r>
      <w:r>
        <w:rPr>
          <w:rFonts w:ascii="SimSun" w:hAnsi="SimSun" w:eastAsia="SimSun" w:cs="SimSun"/>
          <w:sz w:val="21"/>
          <w:szCs w:val="21"/>
          <w:spacing w:val="-2"/>
        </w:rPr>
        <w:t>要会计数据和财务指标如下:</w:t>
      </w:r>
    </w:p>
    <w:p>
      <w:pPr>
        <w:spacing w:line="206" w:lineRule="exact"/>
        <w:rPr/>
      </w:pPr>
      <w:r/>
    </w:p>
    <w:tbl>
      <w:tblPr>
        <w:tblStyle w:val="TableNormal"/>
        <w:tblW w:w="9769"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618"/>
        <w:gridCol w:w="489"/>
        <w:gridCol w:w="1070"/>
        <w:gridCol w:w="4592"/>
      </w:tblGrid>
      <w:tr>
        <w:trPr>
          <w:trHeight w:val="403" w:hRule="atLeast"/>
        </w:trPr>
        <w:tc>
          <w:tcPr>
            <w:tcW w:w="3618" w:type="dxa"/>
            <w:vAlign w:val="top"/>
            <w:tcBorders>
              <w:bottom w:val="single" w:color="000000" w:sz="2" w:space="0"/>
              <w:top w:val="single" w:color="000000" w:sz="2" w:space="0"/>
            </w:tcBorders>
          </w:tcPr>
          <w:p>
            <w:pPr>
              <w:pStyle w:val="TableText"/>
              <w:ind w:left="80"/>
              <w:spacing w:before="130" w:line="220" w:lineRule="auto"/>
              <w:rPr>
                <w:sz w:val="18"/>
                <w:szCs w:val="18"/>
              </w:rPr>
            </w:pPr>
            <w:r>
              <w:rPr>
                <w:sz w:val="18"/>
                <w:szCs w:val="18"/>
                <w:b/>
                <w:bCs/>
                <w:spacing w:val="-3"/>
              </w:rPr>
              <w:t>主要会计数据</w:t>
            </w:r>
          </w:p>
        </w:tc>
        <w:tc>
          <w:tcPr>
            <w:shd w:val="clear" w:fill="DBE5F1"/>
            <w:tcW w:w="489" w:type="dxa"/>
            <w:vAlign w:val="top"/>
            <w:tcBorders>
              <w:bottom w:val="single" w:color="000000" w:sz="2" w:space="0"/>
              <w:top w:val="single" w:color="000000" w:sz="2" w:space="0"/>
            </w:tcBorders>
          </w:tcPr>
          <w:p>
            <w:pPr>
              <w:spacing w:before="4" w:line="389" w:lineRule="exact"/>
              <w:rPr/>
            </w:pPr>
            <w:r>
              <w:rPr>
                <w:position w:val="-8"/>
              </w:rPr>
              <w:pict>
                <v:shape id="_x0000_s20" style="mso-position-vertical-relative:line;mso-position-horizontal-relative:char;width:2.9pt;height:19.7pt;" fillcolor="#DBE5F1" filled="true" stroked="false" coordsize="58,394" coordorigin="0,0" path="m0,393l57,393l57,0l0,0l0,393xe"/>
              </w:pict>
            </w:r>
          </w:p>
        </w:tc>
        <w:tc>
          <w:tcPr>
            <w:shd w:val="clear" w:fill="DBE5F1"/>
            <w:tcW w:w="1070" w:type="dxa"/>
            <w:vAlign w:val="top"/>
            <w:tcBorders>
              <w:bottom w:val="single" w:color="000000" w:sz="2" w:space="0"/>
              <w:top w:val="single" w:color="000000" w:sz="2" w:space="0"/>
            </w:tcBorders>
          </w:tcPr>
          <w:p>
            <w:pPr>
              <w:pStyle w:val="TableText"/>
              <w:ind w:left="431"/>
              <w:spacing w:before="131" w:line="220" w:lineRule="auto"/>
              <w:rPr>
                <w:sz w:val="18"/>
                <w:szCs w:val="18"/>
              </w:rPr>
            </w:pPr>
            <w:r>
              <w:rPr>
                <w:rFonts w:ascii="Times New Roman" w:hAnsi="Times New Roman" w:eastAsia="Times New Roman" w:cs="Times New Roman"/>
                <w:sz w:val="18"/>
                <w:szCs w:val="18"/>
                <w:b/>
                <w:bCs/>
                <w:spacing w:val="-2"/>
              </w:rPr>
              <w:t>2022</w:t>
            </w:r>
            <w:r>
              <w:rPr>
                <w:rFonts w:ascii="Times New Roman" w:hAnsi="Times New Roman" w:eastAsia="Times New Roman" w:cs="Times New Roman"/>
                <w:sz w:val="18"/>
                <w:szCs w:val="18"/>
                <w:b/>
                <w:bCs/>
                <w:spacing w:val="11"/>
              </w:rPr>
              <w:t xml:space="preserve"> </w:t>
            </w:r>
            <w:r>
              <w:rPr>
                <w:sz w:val="18"/>
                <w:szCs w:val="18"/>
                <w:b/>
                <w:bCs/>
                <w:spacing w:val="-2"/>
              </w:rPr>
              <w:t>年</w:t>
            </w:r>
          </w:p>
        </w:tc>
        <w:tc>
          <w:tcPr>
            <w:tcW w:w="4592" w:type="dxa"/>
            <w:vAlign w:val="top"/>
            <w:tcBorders>
              <w:bottom w:val="single" w:color="000000" w:sz="2" w:space="0"/>
              <w:top w:val="single" w:color="000000" w:sz="2" w:space="0"/>
            </w:tcBorders>
          </w:tcPr>
          <w:p>
            <w:pPr>
              <w:pStyle w:val="TableText"/>
              <w:ind w:left="915"/>
              <w:spacing w:before="130" w:line="212" w:lineRule="auto"/>
              <w:rPr>
                <w:sz w:val="18"/>
                <w:szCs w:val="18"/>
              </w:rPr>
            </w:pPr>
            <w:r>
              <w:rPr>
                <w:rFonts w:ascii="Times New Roman" w:hAnsi="Times New Roman" w:eastAsia="Times New Roman" w:cs="Times New Roman"/>
                <w:sz w:val="18"/>
                <w:szCs w:val="18"/>
                <w:b/>
                <w:bCs/>
                <w:spacing w:val="-1"/>
              </w:rPr>
              <w:t>2021 </w:t>
            </w:r>
            <w:r>
              <w:rPr>
                <w:sz w:val="18"/>
                <w:szCs w:val="18"/>
                <w:b/>
                <w:bCs/>
                <w:spacing w:val="-1"/>
              </w:rPr>
              <w:t>年</w:t>
            </w:r>
            <w:r>
              <w:rPr>
                <w:sz w:val="18"/>
                <w:szCs w:val="18"/>
                <w:spacing w:val="-1"/>
              </w:rPr>
              <w:t xml:space="preserve">       </w:t>
            </w:r>
            <w:r>
              <w:rPr>
                <w:sz w:val="18"/>
                <w:szCs w:val="18"/>
                <w:b/>
                <w:bCs/>
                <w:spacing w:val="-1"/>
              </w:rPr>
              <w:t>增减</w:t>
            </w:r>
            <w:r>
              <w:rPr>
                <w:rFonts w:ascii="Times New Roman" w:hAnsi="Times New Roman" w:eastAsia="Times New Roman" w:cs="Times New Roman"/>
                <w:sz w:val="18"/>
                <w:szCs w:val="18"/>
                <w:b/>
                <w:bCs/>
                <w:spacing w:val="-1"/>
              </w:rPr>
              <w:t>(%)</w:t>
            </w:r>
            <w:r>
              <w:rPr>
                <w:rFonts w:ascii="Times New Roman" w:hAnsi="Times New Roman" w:eastAsia="Times New Roman" w:cs="Times New Roman"/>
                <w:sz w:val="18"/>
                <w:szCs w:val="18"/>
                <w:b/>
                <w:bCs/>
              </w:rPr>
              <w:t xml:space="preserve">                          </w:t>
            </w:r>
            <w:r>
              <w:rPr>
                <w:rFonts w:ascii="Times New Roman" w:hAnsi="Times New Roman" w:eastAsia="Times New Roman" w:cs="Times New Roman"/>
                <w:sz w:val="18"/>
                <w:szCs w:val="18"/>
                <w:b/>
                <w:bCs/>
                <w:spacing w:val="-1"/>
              </w:rPr>
              <w:t>2020 </w:t>
            </w:r>
            <w:r>
              <w:rPr>
                <w:sz w:val="18"/>
                <w:szCs w:val="18"/>
                <w:b/>
                <w:bCs/>
                <w:spacing w:val="-1"/>
              </w:rPr>
              <w:t>年</w:t>
            </w:r>
          </w:p>
        </w:tc>
      </w:tr>
      <w:tr>
        <w:trPr>
          <w:trHeight w:val="400" w:hRule="atLeast"/>
        </w:trPr>
        <w:tc>
          <w:tcPr>
            <w:tcW w:w="3618" w:type="dxa"/>
            <w:vAlign w:val="top"/>
            <w:tcBorders>
              <w:bottom w:val="single" w:color="000000" w:sz="2" w:space="0"/>
              <w:top w:val="single" w:color="000000" w:sz="2" w:space="0"/>
            </w:tcBorders>
          </w:tcPr>
          <w:p>
            <w:pPr>
              <w:pStyle w:val="TableText"/>
              <w:ind w:left="79"/>
              <w:spacing w:before="126" w:line="220" w:lineRule="auto"/>
              <w:rPr>
                <w:sz w:val="18"/>
                <w:szCs w:val="18"/>
              </w:rPr>
            </w:pPr>
            <w:r>
              <w:rPr>
                <w:sz w:val="18"/>
                <w:szCs w:val="18"/>
                <w:b/>
                <w:bCs/>
                <w:spacing w:val="-3"/>
              </w:rPr>
              <w:t>全年业绩</w:t>
            </w:r>
          </w:p>
        </w:tc>
        <w:tc>
          <w:tcPr>
            <w:shd w:val="clear" w:fill="DBE5F1"/>
            <w:tcW w:w="1559" w:type="dxa"/>
            <w:vAlign w:val="top"/>
            <w:gridSpan w:val="2"/>
            <w:tcBorders>
              <w:bottom w:val="single" w:color="000000" w:sz="2" w:space="0"/>
              <w:top w:val="single" w:color="000000" w:sz="2" w:space="0"/>
            </w:tcBorders>
          </w:tcPr>
          <w:p>
            <w:pPr>
              <w:spacing w:line="390" w:lineRule="exact"/>
              <w:rPr/>
            </w:pPr>
            <w:r>
              <w:rPr>
                <w:position w:val="-8"/>
              </w:rPr>
              <w:pict>
                <v:shape id="_x0000_s22" style="mso-position-vertical-relative:line;mso-position-horizontal-relative:char;width:2.9pt;height:19.8pt;" fillcolor="#DBE5F1" filled="true" stroked="false" coordsize="58,395" coordorigin="0,0" path="m0,395l57,395l57,0l0,0l0,395xe"/>
              </w:pict>
            </w:r>
          </w:p>
        </w:tc>
        <w:tc>
          <w:tcPr>
            <w:tcW w:w="4592" w:type="dxa"/>
            <w:vAlign w:val="top"/>
            <w:tcBorders>
              <w:bottom w:val="single" w:color="000000" w:sz="2" w:space="0"/>
              <w:top w:val="single" w:color="000000" w:sz="2" w:space="0"/>
            </w:tcBorders>
          </w:tcPr>
          <w:p>
            <w:pPr>
              <w:pStyle w:val="TableText"/>
              <w:ind w:left="1936"/>
              <w:spacing w:before="126" w:line="217" w:lineRule="auto"/>
              <w:rPr>
                <w:sz w:val="18"/>
                <w:szCs w:val="18"/>
              </w:rPr>
            </w:pPr>
            <w:r>
              <w:rPr>
                <w:sz w:val="18"/>
                <w:szCs w:val="18"/>
                <w:spacing w:val="6"/>
              </w:rPr>
              <w:t>(除另有标明外,人民币百万元)</w:t>
            </w:r>
          </w:p>
        </w:tc>
      </w:tr>
      <w:tr>
        <w:trPr>
          <w:trHeight w:val="398" w:hRule="atLeast"/>
        </w:trPr>
        <w:tc>
          <w:tcPr>
            <w:tcW w:w="3618" w:type="dxa"/>
            <w:vAlign w:val="top"/>
            <w:tcBorders>
              <w:bottom w:val="single" w:color="000000" w:sz="2" w:space="0"/>
              <w:top w:val="single" w:color="000000" w:sz="2" w:space="0"/>
            </w:tcBorders>
          </w:tcPr>
          <w:p>
            <w:pPr>
              <w:pStyle w:val="TableText"/>
              <w:ind w:left="79"/>
              <w:spacing w:before="126" w:line="220" w:lineRule="auto"/>
              <w:rPr>
                <w:sz w:val="18"/>
                <w:szCs w:val="18"/>
              </w:rPr>
            </w:pPr>
            <w:r>
              <w:rPr>
                <w:sz w:val="18"/>
                <w:szCs w:val="18"/>
                <w:spacing w:val="-2"/>
              </w:rPr>
              <w:t>利息净收入</w:t>
            </w:r>
          </w:p>
        </w:tc>
        <w:tc>
          <w:tcPr>
            <w:shd w:val="clear" w:fill="DBE5F1"/>
            <w:tcW w:w="489" w:type="dxa"/>
            <w:vAlign w:val="top"/>
            <w:tcBorders>
              <w:bottom w:val="single" w:color="000000" w:sz="2" w:space="0"/>
              <w:top w:val="single" w:color="000000" w:sz="2" w:space="0"/>
            </w:tcBorders>
          </w:tcPr>
          <w:p>
            <w:pPr>
              <w:spacing w:line="388" w:lineRule="exact"/>
              <w:rPr/>
            </w:pPr>
            <w:r>
              <w:rPr>
                <w:position w:val="-8"/>
              </w:rPr>
              <w:pict>
                <v:shape id="_x0000_s24" style="mso-position-vertical-relative:line;mso-position-horizontal-relative:char;width:2.9pt;height:19.7pt;" fillcolor="#DBE5F1" filled="true" stroked="false" coordsize="58,394" coordorigin="0,0" path="m0,393l57,393l57,0l0,0l0,393xe"/>
              </w:pict>
            </w:r>
          </w:p>
        </w:tc>
        <w:tc>
          <w:tcPr>
            <w:shd w:val="clear" w:fill="DBE5F1"/>
            <w:tcW w:w="1070" w:type="dxa"/>
            <w:vAlign w:val="top"/>
            <w:tcBorders>
              <w:bottom w:val="single" w:color="000000" w:sz="2" w:space="0"/>
              <w:top w:val="single" w:color="000000" w:sz="2" w:space="0"/>
            </w:tcBorders>
          </w:tcPr>
          <w:p>
            <w:pPr>
              <w:ind w:left="439"/>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169,937</w:t>
            </w:r>
          </w:p>
        </w:tc>
        <w:tc>
          <w:tcPr>
            <w:tcW w:w="4592" w:type="dxa"/>
            <w:vAlign w:val="top"/>
            <w:tcBorders>
              <w:bottom w:val="single" w:color="000000" w:sz="2" w:space="0"/>
              <w:top w:val="single" w:color="000000" w:sz="2" w:space="0"/>
            </w:tcBorders>
          </w:tcPr>
          <w:p>
            <w:pPr>
              <w:ind w:left="931"/>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161,693                      5.10</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spacing w:val="-2"/>
              </w:rPr>
              <w:t>153,336</w:t>
            </w:r>
          </w:p>
        </w:tc>
      </w:tr>
      <w:tr>
        <w:trPr>
          <w:trHeight w:val="398" w:hRule="atLeast"/>
        </w:trPr>
        <w:tc>
          <w:tcPr>
            <w:tcW w:w="3618" w:type="dxa"/>
            <w:vAlign w:val="top"/>
            <w:tcBorders>
              <w:bottom w:val="single" w:color="000000" w:sz="2" w:space="0"/>
              <w:top w:val="single" w:color="000000" w:sz="2" w:space="0"/>
            </w:tcBorders>
          </w:tcPr>
          <w:p>
            <w:pPr>
              <w:pStyle w:val="TableText"/>
              <w:ind w:left="79"/>
              <w:spacing w:before="127" w:line="220" w:lineRule="auto"/>
              <w:rPr>
                <w:sz w:val="18"/>
                <w:szCs w:val="18"/>
              </w:rPr>
            </w:pPr>
            <w:r>
              <w:rPr>
                <w:sz w:val="18"/>
                <w:szCs w:val="18"/>
                <w:spacing w:val="-1"/>
              </w:rPr>
              <w:t>手续费及佣金净收入</w:t>
            </w:r>
          </w:p>
        </w:tc>
        <w:tc>
          <w:tcPr>
            <w:shd w:val="clear" w:fill="DBE5F1"/>
            <w:tcW w:w="489" w:type="dxa"/>
            <w:vAlign w:val="top"/>
            <w:tcBorders>
              <w:bottom w:val="single" w:color="000000" w:sz="2" w:space="0"/>
              <w:top w:val="single" w:color="000000" w:sz="2" w:space="0"/>
            </w:tcBorders>
          </w:tcPr>
          <w:p>
            <w:pPr>
              <w:spacing w:line="388" w:lineRule="exact"/>
              <w:rPr/>
            </w:pPr>
            <w:r>
              <w:rPr>
                <w:position w:val="-8"/>
              </w:rPr>
              <w:pict>
                <v:shape id="_x0000_s26" style="mso-position-vertical-relative:line;mso-position-horizontal-relative:char;width:2.9pt;height:19.7pt;" fillcolor="#DBE5F1" filled="true" stroked="false" coordsize="58,394" coordorigin="0,0" path="m0,393l57,393l57,0l0,0l0,393xe"/>
              </w:pict>
            </w:r>
          </w:p>
        </w:tc>
        <w:tc>
          <w:tcPr>
            <w:shd w:val="clear" w:fill="DBE5F1"/>
            <w:tcW w:w="1070" w:type="dxa"/>
            <w:vAlign w:val="top"/>
            <w:tcBorders>
              <w:bottom w:val="single" w:color="000000" w:sz="2" w:space="0"/>
              <w:top w:val="single" w:color="000000" w:sz="2" w:space="0"/>
            </w:tcBorders>
          </w:tcPr>
          <w:p>
            <w:pPr>
              <w:ind w:left="523"/>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44,639</w:t>
            </w:r>
          </w:p>
        </w:tc>
        <w:tc>
          <w:tcPr>
            <w:tcW w:w="4592" w:type="dxa"/>
            <w:vAlign w:val="top"/>
            <w:tcBorders>
              <w:bottom w:val="single" w:color="000000" w:sz="2" w:space="0"/>
              <w:top w:val="single" w:color="000000" w:sz="2" w:space="0"/>
            </w:tcBorders>
          </w:tcPr>
          <w:p>
            <w:pPr>
              <w:ind w:left="1004"/>
              <w:spacing w:before="156"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47,573                   (6.17)                       </w:t>
            </w:r>
            <w:r>
              <w:rPr>
                <w:rFonts w:ascii="Times New Roman" w:hAnsi="Times New Roman" w:eastAsia="Times New Roman" w:cs="Times New Roman"/>
                <w:sz w:val="18"/>
                <w:szCs w:val="18"/>
                <w:spacing w:val="-1"/>
              </w:rPr>
              <w:t xml:space="preserve">     45,086</w:t>
            </w:r>
          </w:p>
        </w:tc>
      </w:tr>
      <w:tr>
        <w:trPr>
          <w:trHeight w:val="401" w:hRule="atLeast"/>
        </w:trPr>
        <w:tc>
          <w:tcPr>
            <w:tcW w:w="3618" w:type="dxa"/>
            <w:vAlign w:val="top"/>
            <w:tcBorders>
              <w:bottom w:val="single" w:color="000000" w:sz="2" w:space="0"/>
              <w:top w:val="single" w:color="000000" w:sz="2" w:space="0"/>
            </w:tcBorders>
          </w:tcPr>
          <w:p>
            <w:pPr>
              <w:pStyle w:val="TableText"/>
              <w:ind w:left="84"/>
              <w:spacing w:before="127" w:line="220" w:lineRule="auto"/>
              <w:rPr>
                <w:sz w:val="18"/>
                <w:szCs w:val="18"/>
              </w:rPr>
            </w:pPr>
            <w:r>
              <w:rPr>
                <w:sz w:val="18"/>
                <w:szCs w:val="18"/>
                <w:spacing w:val="-3"/>
              </w:rPr>
              <w:t>营业收入</w:t>
            </w:r>
          </w:p>
        </w:tc>
        <w:tc>
          <w:tcPr>
            <w:shd w:val="clear" w:fill="DBE5F1"/>
            <w:tcW w:w="489" w:type="dxa"/>
            <w:vAlign w:val="top"/>
            <w:tcBorders>
              <w:bottom w:val="single" w:color="000000" w:sz="2" w:space="0"/>
              <w:top w:val="single" w:color="000000" w:sz="2" w:space="0"/>
            </w:tcBorders>
          </w:tcPr>
          <w:p>
            <w:pPr>
              <w:spacing w:line="390" w:lineRule="exact"/>
              <w:rPr/>
            </w:pPr>
            <w:r>
              <w:rPr>
                <w:position w:val="-8"/>
              </w:rPr>
              <w:pict>
                <v:shape id="_x0000_s28" style="mso-position-vertical-relative:line;mso-position-horizontal-relative:char;width:2.9pt;height:19.85pt;" fillcolor="#DBE5F1" filled="true" stroked="false" coordsize="58,397" coordorigin="0,0" path="m0,396l57,396l57,0l0,0l0,396xe"/>
              </w:pict>
            </w:r>
          </w:p>
        </w:tc>
        <w:tc>
          <w:tcPr>
            <w:shd w:val="clear" w:fill="DBE5F1"/>
            <w:tcW w:w="1070" w:type="dxa"/>
            <w:vAlign w:val="top"/>
            <w:tcBorders>
              <w:bottom w:val="single" w:color="000000" w:sz="2" w:space="0"/>
              <w:top w:val="single" w:color="000000" w:sz="2" w:space="0"/>
            </w:tcBorders>
          </w:tcPr>
          <w:p>
            <w:pPr>
              <w:ind w:left="431"/>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272,978</w:t>
            </w:r>
          </w:p>
        </w:tc>
        <w:tc>
          <w:tcPr>
            <w:tcW w:w="4592" w:type="dxa"/>
            <w:vAlign w:val="top"/>
            <w:tcBorders>
              <w:bottom w:val="single" w:color="000000" w:sz="2" w:space="0"/>
              <w:top w:val="single" w:color="000000" w:sz="2" w:space="0"/>
            </w:tcBorders>
          </w:tcPr>
          <w:p>
            <w:pPr>
              <w:ind w:left="914"/>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269,390                      1.33</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1"/>
              </w:rPr>
              <w:t>246,200</w:t>
            </w:r>
          </w:p>
        </w:tc>
      </w:tr>
      <w:tr>
        <w:trPr>
          <w:trHeight w:val="398" w:hRule="atLeast"/>
        </w:trPr>
        <w:tc>
          <w:tcPr>
            <w:tcW w:w="3618" w:type="dxa"/>
            <w:vAlign w:val="top"/>
            <w:tcBorders>
              <w:bottom w:val="single" w:color="000000" w:sz="2" w:space="0"/>
              <w:top w:val="single" w:color="000000" w:sz="2" w:space="0"/>
            </w:tcBorders>
          </w:tcPr>
          <w:p>
            <w:pPr>
              <w:pStyle w:val="TableText"/>
              <w:ind w:left="79"/>
              <w:spacing w:before="127" w:line="220" w:lineRule="auto"/>
              <w:rPr>
                <w:sz w:val="18"/>
                <w:szCs w:val="18"/>
              </w:rPr>
            </w:pPr>
            <w:r>
              <w:rPr>
                <w:sz w:val="18"/>
                <w:szCs w:val="18"/>
                <w:spacing w:val="-1"/>
              </w:rPr>
              <w:t>信用减值损失</w:t>
            </w:r>
          </w:p>
        </w:tc>
        <w:tc>
          <w:tcPr>
            <w:shd w:val="clear" w:fill="DBE5F1"/>
            <w:tcW w:w="489" w:type="dxa"/>
            <w:vAlign w:val="top"/>
            <w:tcBorders>
              <w:bottom w:val="single" w:color="000000" w:sz="2" w:space="0"/>
              <w:top w:val="single" w:color="000000" w:sz="2" w:space="0"/>
            </w:tcBorders>
          </w:tcPr>
          <w:p>
            <w:pPr>
              <w:spacing w:line="388" w:lineRule="exact"/>
              <w:rPr/>
            </w:pPr>
            <w:r>
              <w:rPr>
                <w:position w:val="-8"/>
              </w:rPr>
              <w:pict>
                <v:shape id="_x0000_s30" style="mso-position-vertical-relative:line;mso-position-horizontal-relative:char;width:2.9pt;height:19.7pt;" fillcolor="#DBE5F1" filled="true" stroked="false" coordsize="58,394" coordorigin="0,0" path="m0,393l57,393l57,0l0,0l0,393xe"/>
              </w:pict>
            </w:r>
          </w:p>
        </w:tc>
        <w:tc>
          <w:tcPr>
            <w:shd w:val="clear" w:fill="DBE5F1"/>
            <w:tcW w:w="1070" w:type="dxa"/>
            <w:vAlign w:val="top"/>
            <w:tcBorders>
              <w:bottom w:val="single" w:color="000000" w:sz="2" w:space="0"/>
              <w:top w:val="single" w:color="000000" w:sz="2" w:space="0"/>
            </w:tcBorders>
          </w:tcPr>
          <w:p>
            <w:pPr>
              <w:ind w:left="535"/>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60,411</w:t>
            </w:r>
          </w:p>
        </w:tc>
        <w:tc>
          <w:tcPr>
            <w:tcW w:w="4592" w:type="dxa"/>
            <w:vAlign w:val="top"/>
            <w:tcBorders>
              <w:bottom w:val="single" w:color="000000" w:sz="2" w:space="0"/>
              <w:top w:val="single" w:color="000000" w:sz="2" w:space="0"/>
            </w:tcBorders>
          </w:tcPr>
          <w:p>
            <w:pPr>
              <w:ind w:left="1009"/>
              <w:spacing w:before="156"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66,371                   (8.98)</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1"/>
              </w:rPr>
              <w:t>62,059</w:t>
            </w:r>
          </w:p>
        </w:tc>
      </w:tr>
      <w:tr>
        <w:trPr>
          <w:trHeight w:val="398" w:hRule="atLeast"/>
        </w:trPr>
        <w:tc>
          <w:tcPr>
            <w:tcW w:w="3618" w:type="dxa"/>
            <w:vAlign w:val="top"/>
            <w:tcBorders>
              <w:bottom w:val="single" w:color="000000" w:sz="2" w:space="0"/>
              <w:top w:val="single" w:color="000000" w:sz="2" w:space="0"/>
            </w:tcBorders>
          </w:tcPr>
          <w:p>
            <w:pPr>
              <w:pStyle w:val="TableText"/>
              <w:ind w:left="78"/>
              <w:spacing w:before="127" w:line="220" w:lineRule="auto"/>
              <w:rPr>
                <w:sz w:val="18"/>
                <w:szCs w:val="18"/>
              </w:rPr>
            </w:pPr>
            <w:r>
              <w:rPr>
                <w:sz w:val="18"/>
                <w:szCs w:val="18"/>
                <w:spacing w:val="-1"/>
              </w:rPr>
              <w:t>业务及管理费</w:t>
            </w:r>
          </w:p>
        </w:tc>
        <w:tc>
          <w:tcPr>
            <w:shd w:val="clear" w:fill="DBE5F1"/>
            <w:tcW w:w="489" w:type="dxa"/>
            <w:vAlign w:val="top"/>
            <w:tcBorders>
              <w:bottom w:val="single" w:color="000000" w:sz="2" w:space="0"/>
              <w:top w:val="single" w:color="000000" w:sz="2" w:space="0"/>
            </w:tcBorders>
          </w:tcPr>
          <w:p>
            <w:pPr>
              <w:spacing w:before="1" w:line="387" w:lineRule="exact"/>
              <w:rPr/>
            </w:pPr>
            <w:r>
              <w:rPr>
                <w:position w:val="-8"/>
              </w:rPr>
              <w:pict>
                <v:shape id="_x0000_s32" style="mso-position-vertical-relative:line;mso-position-horizontal-relative:char;width:2.9pt;height:19.7pt;" fillcolor="#DBE5F1" filled="true" stroked="false" coordsize="58,394" coordorigin="0,0" path="m0,393l57,393l57,0l0,0l0,393xe"/>
              </w:pict>
            </w:r>
          </w:p>
        </w:tc>
        <w:tc>
          <w:tcPr>
            <w:shd w:val="clear" w:fill="DBE5F1"/>
            <w:tcW w:w="1070" w:type="dxa"/>
            <w:vAlign w:val="top"/>
            <w:tcBorders>
              <w:bottom w:val="single" w:color="000000" w:sz="2" w:space="0"/>
              <w:top w:val="single" w:color="000000" w:sz="2" w:space="0"/>
            </w:tcBorders>
          </w:tcPr>
          <w:p>
            <w:pPr>
              <w:ind w:left="524"/>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76,825</w:t>
            </w:r>
          </w:p>
        </w:tc>
        <w:tc>
          <w:tcPr>
            <w:tcW w:w="4592" w:type="dxa"/>
            <w:vAlign w:val="top"/>
            <w:tcBorders>
              <w:bottom w:val="single" w:color="000000" w:sz="2" w:space="0"/>
              <w:top w:val="single" w:color="000000" w:sz="2" w:space="0"/>
            </w:tcBorders>
          </w:tcPr>
          <w:p>
            <w:pPr>
              <w:ind w:left="1008"/>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74,545</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spacing w:val="-2"/>
              </w:rPr>
              <w:t>3.06</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spacing w:val="-2"/>
              </w:rPr>
              <w:t>66,004</w:t>
            </w:r>
          </w:p>
        </w:tc>
      </w:tr>
      <w:tr>
        <w:trPr>
          <w:trHeight w:val="400" w:hRule="atLeast"/>
        </w:trPr>
        <w:tc>
          <w:tcPr>
            <w:tcW w:w="3618" w:type="dxa"/>
            <w:vAlign w:val="top"/>
            <w:tcBorders>
              <w:bottom w:val="single" w:color="000000" w:sz="2" w:space="0"/>
              <w:top w:val="single" w:color="000000" w:sz="2" w:space="0"/>
            </w:tcBorders>
          </w:tcPr>
          <w:p>
            <w:pPr>
              <w:pStyle w:val="TableText"/>
              <w:ind w:left="79"/>
              <w:spacing w:before="127" w:line="220" w:lineRule="auto"/>
              <w:rPr>
                <w:sz w:val="18"/>
                <w:szCs w:val="18"/>
              </w:rPr>
            </w:pPr>
            <w:r>
              <w:rPr>
                <w:sz w:val="18"/>
                <w:szCs w:val="18"/>
                <w:spacing w:val="-2"/>
              </w:rPr>
              <w:t>利润总额</w:t>
            </w:r>
          </w:p>
        </w:tc>
        <w:tc>
          <w:tcPr>
            <w:shd w:val="clear" w:fill="DBE5F1"/>
            <w:tcW w:w="489" w:type="dxa"/>
            <w:vAlign w:val="top"/>
            <w:tcBorders>
              <w:bottom w:val="single" w:color="000000" w:sz="2" w:space="0"/>
              <w:top w:val="single" w:color="000000" w:sz="2" w:space="0"/>
            </w:tcBorders>
          </w:tcPr>
          <w:p>
            <w:pPr>
              <w:spacing w:before="1" w:line="389" w:lineRule="exact"/>
              <w:rPr/>
            </w:pPr>
            <w:r>
              <w:rPr>
                <w:position w:val="-8"/>
              </w:rPr>
              <w:pict>
                <v:shape id="_x0000_s34" style="mso-position-vertical-relative:line;mso-position-horizontal-relative:char;width:2.9pt;height:19.8pt;" fillcolor="#DBE5F1" filled="true" stroked="false" coordsize="58,395" coordorigin="0,0" path="m0,395l57,395l57,0l0,0l0,395xe"/>
              </w:pict>
            </w:r>
          </w:p>
        </w:tc>
        <w:tc>
          <w:tcPr>
            <w:shd w:val="clear" w:fill="DBE5F1"/>
            <w:tcW w:w="1070" w:type="dxa"/>
            <w:vAlign w:val="top"/>
            <w:tcBorders>
              <w:bottom w:val="single" w:color="000000" w:sz="2" w:space="0"/>
              <w:top w:val="single" w:color="000000" w:sz="2" w:space="0"/>
            </w:tcBorders>
          </w:tcPr>
          <w:p>
            <w:pPr>
              <w:ind w:left="524"/>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98,215</w:t>
            </w:r>
          </w:p>
        </w:tc>
        <w:tc>
          <w:tcPr>
            <w:tcW w:w="4592" w:type="dxa"/>
            <w:vAlign w:val="top"/>
            <w:tcBorders>
              <w:bottom w:val="single" w:color="000000" w:sz="2" w:space="0"/>
              <w:top w:val="single" w:color="000000" w:sz="2" w:space="0"/>
            </w:tcBorders>
          </w:tcPr>
          <w:p>
            <w:pPr>
              <w:ind w:left="1009"/>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93,959</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spacing w:val="-2"/>
              </w:rPr>
              <w:t>4.53</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2"/>
              </w:rPr>
              <w:t>86,425</w:t>
            </w:r>
          </w:p>
        </w:tc>
      </w:tr>
      <w:tr>
        <w:trPr>
          <w:trHeight w:val="398" w:hRule="atLeast"/>
        </w:trPr>
        <w:tc>
          <w:tcPr>
            <w:tcW w:w="3618" w:type="dxa"/>
            <w:vAlign w:val="top"/>
            <w:tcBorders>
              <w:bottom w:val="single" w:color="000000" w:sz="2" w:space="0"/>
              <w:top w:val="single" w:color="000000" w:sz="2" w:space="0"/>
            </w:tcBorders>
          </w:tcPr>
          <w:p>
            <w:pPr>
              <w:pStyle w:val="TableText"/>
              <w:ind w:left="81"/>
              <w:spacing w:before="128" w:line="220" w:lineRule="auto"/>
              <w:rPr>
                <w:sz w:val="18"/>
                <w:szCs w:val="18"/>
              </w:rPr>
            </w:pPr>
            <w:r>
              <w:rPr>
                <w:sz w:val="18"/>
                <w:szCs w:val="18"/>
                <w:spacing w:val="7"/>
              </w:rPr>
              <w:t>净利润(归属于母公司股东)</w:t>
            </w:r>
          </w:p>
        </w:tc>
        <w:tc>
          <w:tcPr>
            <w:shd w:val="clear" w:fill="DBE5F1"/>
            <w:tcW w:w="489" w:type="dxa"/>
            <w:vAlign w:val="top"/>
            <w:tcBorders>
              <w:bottom w:val="single" w:color="000000" w:sz="2" w:space="0"/>
              <w:top w:val="single" w:color="000000" w:sz="2" w:space="0"/>
            </w:tcBorders>
          </w:tcPr>
          <w:p>
            <w:pPr>
              <w:spacing w:before="1" w:line="386" w:lineRule="exact"/>
              <w:rPr/>
            </w:pPr>
            <w:r>
              <w:rPr>
                <w:position w:val="-8"/>
              </w:rPr>
              <w:pict>
                <v:shape id="_x0000_s36" style="mso-position-vertical-relative:line;mso-position-horizontal-relative:char;width:2.9pt;height:19.7pt;" fillcolor="#DBE5F1" filled="true" stroked="false" coordsize="58,394" coordorigin="0,0" path="m0,393l57,393l57,0l0,0l0,393xe"/>
              </w:pict>
            </w:r>
          </w:p>
        </w:tc>
        <w:tc>
          <w:tcPr>
            <w:shd w:val="clear" w:fill="DBE5F1"/>
            <w:tcW w:w="1070" w:type="dxa"/>
            <w:vAlign w:val="top"/>
            <w:tcBorders>
              <w:bottom w:val="single" w:color="000000" w:sz="2" w:space="0"/>
              <w:top w:val="single" w:color="000000" w:sz="2" w:space="0"/>
            </w:tcBorders>
          </w:tcPr>
          <w:p>
            <w:pPr>
              <w:ind w:left="524"/>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92,149</w:t>
            </w:r>
          </w:p>
        </w:tc>
        <w:tc>
          <w:tcPr>
            <w:tcW w:w="4592" w:type="dxa"/>
            <w:vAlign w:val="top"/>
            <w:tcBorders>
              <w:bottom w:val="single" w:color="000000" w:sz="2" w:space="0"/>
              <w:top w:val="single" w:color="000000" w:sz="2" w:space="0"/>
            </w:tcBorders>
          </w:tcPr>
          <w:p>
            <w:pPr>
              <w:ind w:left="1012"/>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87,581                      5.22</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1"/>
              </w:rPr>
              <w:t>78,</w:t>
            </w:r>
            <w:r>
              <w:rPr>
                <w:rFonts w:ascii="Times New Roman" w:hAnsi="Times New Roman" w:eastAsia="Times New Roman" w:cs="Times New Roman"/>
                <w:sz w:val="18"/>
                <w:szCs w:val="18"/>
                <w:spacing w:val="-2"/>
              </w:rPr>
              <w:t>274</w:t>
            </w:r>
          </w:p>
        </w:tc>
      </w:tr>
      <w:tr>
        <w:trPr>
          <w:trHeight w:val="679" w:hRule="atLeast"/>
        </w:trPr>
        <w:tc>
          <w:tcPr>
            <w:tcW w:w="3618" w:type="dxa"/>
            <w:vAlign w:val="top"/>
            <w:tcBorders>
              <w:bottom w:val="single" w:color="000000" w:sz="2" w:space="0"/>
              <w:top w:val="single" w:color="000000" w:sz="2" w:space="0"/>
            </w:tcBorders>
          </w:tcPr>
          <w:p>
            <w:pPr>
              <w:pStyle w:val="TableText"/>
              <w:ind w:left="85" w:right="126" w:hanging="4"/>
              <w:spacing w:before="127" w:line="253" w:lineRule="auto"/>
              <w:rPr>
                <w:rFonts w:ascii="Times New Roman" w:hAnsi="Times New Roman" w:eastAsia="Times New Roman" w:cs="Times New Roman"/>
                <w:sz w:val="12"/>
                <w:szCs w:val="12"/>
              </w:rPr>
            </w:pPr>
            <w:r>
              <w:rPr>
                <w:sz w:val="18"/>
                <w:szCs w:val="18"/>
                <w:spacing w:val="4"/>
              </w:rPr>
              <w:t>扣除非经常性损益后的净利润(归属于母公</w:t>
            </w:r>
            <w:r>
              <w:rPr>
                <w:sz w:val="18"/>
                <w:szCs w:val="18"/>
                <w:spacing w:val="3"/>
              </w:rPr>
              <w:t xml:space="preserve"> </w:t>
            </w:r>
            <w:r>
              <w:rPr>
                <w:sz w:val="18"/>
                <w:szCs w:val="18"/>
              </w:rPr>
              <w:t>司股东) </w:t>
            </w:r>
            <w:r>
              <w:rPr>
                <w:rFonts w:ascii="Times New Roman" w:hAnsi="Times New Roman" w:eastAsia="Times New Roman" w:cs="Times New Roman"/>
                <w:sz w:val="12"/>
                <w:szCs w:val="12"/>
                <w:position w:val="7"/>
              </w:rPr>
              <w:t>1</w:t>
            </w:r>
          </w:p>
        </w:tc>
        <w:tc>
          <w:tcPr>
            <w:shd w:val="clear" w:fill="DBE5F1"/>
            <w:tcW w:w="1559" w:type="dxa"/>
            <w:vAlign w:val="top"/>
            <w:gridSpan w:val="2"/>
            <w:tcBorders>
              <w:bottom w:val="single" w:color="000000" w:sz="2" w:space="0"/>
              <w:top w:val="single" w:color="000000" w:sz="2" w:space="0"/>
            </w:tcBorders>
          </w:tcPr>
          <w:p>
            <w:pPr>
              <w:spacing w:line="247" w:lineRule="auto"/>
              <w:rPr>
                <w:rFonts w:ascii="Arial"/>
                <w:sz w:val="21"/>
              </w:rPr>
            </w:pPr>
            <w:r/>
          </w:p>
          <w:p>
            <w:pPr>
              <w:ind w:left="1013"/>
              <w:spacing w:before="5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91,068</w:t>
            </w:r>
          </w:p>
        </w:tc>
        <w:tc>
          <w:tcPr>
            <w:tcW w:w="4592" w:type="dxa"/>
            <w:vAlign w:val="top"/>
            <w:tcBorders>
              <w:bottom w:val="single" w:color="000000" w:sz="2" w:space="0"/>
              <w:top w:val="single" w:color="000000" w:sz="2" w:space="0"/>
            </w:tcBorders>
          </w:tcPr>
          <w:p>
            <w:pPr>
              <w:spacing w:line="247" w:lineRule="auto"/>
              <w:rPr>
                <w:rFonts w:ascii="Arial"/>
                <w:sz w:val="21"/>
              </w:rPr>
            </w:pPr>
            <w:r/>
          </w:p>
          <w:p>
            <w:pPr>
              <w:ind w:left="1012"/>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86,991</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spacing w:val="-2"/>
              </w:rPr>
              <w:t>4.69</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2"/>
              </w:rPr>
              <w:t>77,395</w:t>
            </w:r>
          </w:p>
        </w:tc>
      </w:tr>
      <w:tr>
        <w:trPr>
          <w:trHeight w:val="398" w:hRule="atLeast"/>
        </w:trPr>
        <w:tc>
          <w:tcPr>
            <w:tcW w:w="3618" w:type="dxa"/>
            <w:vAlign w:val="top"/>
            <w:tcBorders>
              <w:bottom w:val="single" w:color="000000" w:sz="2" w:space="0"/>
              <w:top w:val="single" w:color="000000" w:sz="2" w:space="0"/>
            </w:tcBorders>
          </w:tcPr>
          <w:p>
            <w:pPr>
              <w:pStyle w:val="TableText"/>
              <w:ind w:left="80"/>
              <w:spacing w:before="128" w:line="220" w:lineRule="auto"/>
              <w:rPr>
                <w:sz w:val="18"/>
                <w:szCs w:val="18"/>
              </w:rPr>
            </w:pPr>
            <w:r>
              <w:rPr>
                <w:sz w:val="18"/>
                <w:szCs w:val="18"/>
                <w:spacing w:val="-1"/>
              </w:rPr>
              <w:t>经营活动产生的现金流量净额</w:t>
            </w:r>
          </w:p>
        </w:tc>
        <w:tc>
          <w:tcPr>
            <w:shd w:val="clear" w:fill="DBE5F1"/>
            <w:tcW w:w="489" w:type="dxa"/>
            <w:vAlign w:val="top"/>
            <w:tcBorders>
              <w:bottom w:val="single" w:color="000000" w:sz="2" w:space="0"/>
              <w:top w:val="single" w:color="000000" w:sz="2" w:space="0"/>
            </w:tcBorders>
          </w:tcPr>
          <w:p>
            <w:pPr>
              <w:spacing w:before="2" w:line="385" w:lineRule="exact"/>
              <w:rPr/>
            </w:pPr>
            <w:r>
              <w:rPr>
                <w:position w:val="-8"/>
              </w:rPr>
              <w:pict>
                <v:shape id="_x0000_s38" style="mso-position-vertical-relative:line;mso-position-horizontal-relative:char;width:2.9pt;height:19.7pt;" fillcolor="#DBE5F1" filled="true" stroked="false" coordsize="58,394" coordorigin="0,0" path="m0,393l57,393l57,0l0,0l0,393xe"/>
              </w:pict>
            </w:r>
          </w:p>
        </w:tc>
        <w:tc>
          <w:tcPr>
            <w:shd w:val="clear" w:fill="DBE5F1"/>
            <w:tcW w:w="1070" w:type="dxa"/>
            <w:vAlign w:val="top"/>
            <w:tcBorders>
              <w:bottom w:val="single" w:color="000000" w:sz="2" w:space="0"/>
              <w:top w:val="single" w:color="000000" w:sz="2" w:space="0"/>
            </w:tcBorders>
          </w:tcPr>
          <w:p>
            <w:pPr>
              <w:ind w:left="430"/>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368,221</w:t>
            </w:r>
          </w:p>
        </w:tc>
        <w:tc>
          <w:tcPr>
            <w:tcW w:w="4592" w:type="dxa"/>
            <w:vAlign w:val="top"/>
            <w:tcBorders>
              <w:bottom w:val="single" w:color="000000" w:sz="2" w:space="0"/>
              <w:top w:val="single" w:color="000000" w:sz="2" w:space="0"/>
            </w:tcBorders>
          </w:tcPr>
          <w:p>
            <w:pPr>
              <w:pStyle w:val="TableText"/>
              <w:ind w:left="889"/>
              <w:spacing w:before="101" w:line="251"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position w:val="2"/>
              </w:rPr>
              <w:t>(34,775)</w:t>
            </w:r>
            <w:r>
              <w:rPr>
                <w:rFonts w:ascii="Times New Roman" w:hAnsi="Times New Roman" w:eastAsia="Times New Roman" w:cs="Times New Roman"/>
                <w:sz w:val="18"/>
                <w:szCs w:val="18"/>
                <w:spacing w:val="1"/>
                <w:position w:val="2"/>
              </w:rPr>
              <w:t xml:space="preserve">                </w:t>
            </w:r>
            <w:r>
              <w:rPr>
                <w:sz w:val="18"/>
                <w:szCs w:val="18"/>
                <w:spacing w:val="-2"/>
                <w:position w:val="2"/>
              </w:rPr>
              <w:t>不适用</w:t>
            </w:r>
            <w:r>
              <w:rPr>
                <w:sz w:val="18"/>
                <w:szCs w:val="18"/>
                <w:spacing w:val="2"/>
                <w:position w:val="2"/>
              </w:rPr>
              <w:t xml:space="preserve">             </w:t>
            </w:r>
            <w:r>
              <w:rPr>
                <w:rFonts w:ascii="Times New Roman" w:hAnsi="Times New Roman" w:eastAsia="Times New Roman" w:cs="Times New Roman"/>
                <w:sz w:val="18"/>
                <w:szCs w:val="18"/>
                <w:spacing w:val="-2"/>
                <w:position w:val="2"/>
              </w:rPr>
              <w:t>149,398</w:t>
            </w:r>
          </w:p>
        </w:tc>
      </w:tr>
      <w:tr>
        <w:trPr>
          <w:trHeight w:val="401" w:hRule="atLeast"/>
        </w:trPr>
        <w:tc>
          <w:tcPr>
            <w:tcW w:w="3618" w:type="dxa"/>
            <w:vAlign w:val="top"/>
            <w:tcBorders>
              <w:top w:val="single" w:color="000000" w:sz="2" w:space="0"/>
              <w:bottom w:val="single" w:color="000000" w:sz="4" w:space="0"/>
            </w:tcBorders>
          </w:tcPr>
          <w:p>
            <w:pPr>
              <w:pStyle w:val="TableText"/>
              <w:ind w:left="77"/>
              <w:spacing w:before="128" w:line="219" w:lineRule="auto"/>
              <w:rPr>
                <w:sz w:val="18"/>
                <w:szCs w:val="18"/>
              </w:rPr>
            </w:pPr>
            <w:r>
              <w:rPr>
                <w:sz w:val="18"/>
                <w:szCs w:val="18"/>
                <w:b/>
                <w:bCs/>
                <w:spacing w:val="-3"/>
              </w:rPr>
              <w:t>报告期末</w:t>
            </w:r>
          </w:p>
        </w:tc>
        <w:tc>
          <w:tcPr>
            <w:shd w:val="clear" w:fill="DBE5F1"/>
            <w:tcW w:w="1559" w:type="dxa"/>
            <w:vAlign w:val="top"/>
            <w:gridSpan w:val="2"/>
            <w:tcBorders>
              <w:top w:val="single" w:color="000000" w:sz="2" w:space="0"/>
              <w:bottom w:val="single" w:color="000000" w:sz="4" w:space="0"/>
            </w:tcBorders>
          </w:tcPr>
          <w:p>
            <w:pPr>
              <w:spacing w:before="2" w:line="388" w:lineRule="exact"/>
              <w:rPr/>
            </w:pPr>
            <w:r>
              <w:rPr>
                <w:position w:val="-8"/>
              </w:rPr>
              <w:pict>
                <v:shape id="_x0000_s40" style="mso-position-vertical-relative:line;mso-position-horizontal-relative:char;width:2.9pt;height:19.8pt;" fillcolor="#DBE5F1" filled="true" stroked="false" coordsize="58,395" coordorigin="0,0" path="m0,395l57,395l57,0l0,0l0,395xe"/>
              </w:pict>
            </w:r>
          </w:p>
        </w:tc>
        <w:tc>
          <w:tcPr>
            <w:tcW w:w="4592" w:type="dxa"/>
            <w:vAlign w:val="top"/>
            <w:tcBorders>
              <w:top w:val="single" w:color="000000" w:sz="2" w:space="0"/>
              <w:bottom w:val="single" w:color="000000" w:sz="4" w:space="0"/>
            </w:tcBorders>
          </w:tcPr>
          <w:p>
            <w:pPr>
              <w:pStyle w:val="TableText"/>
              <w:ind w:left="1936"/>
              <w:spacing w:before="128" w:line="217" w:lineRule="auto"/>
              <w:rPr>
                <w:sz w:val="18"/>
                <w:szCs w:val="18"/>
              </w:rPr>
            </w:pPr>
            <w:r>
              <w:rPr>
                <w:sz w:val="18"/>
                <w:szCs w:val="18"/>
                <w:spacing w:val="6"/>
              </w:rPr>
              <w:t>(除另有标明外,人民币百万元)</w:t>
            </w:r>
          </w:p>
        </w:tc>
      </w:tr>
      <w:tr>
        <w:trPr>
          <w:trHeight w:val="393" w:hRule="atLeast"/>
        </w:trPr>
        <w:tc>
          <w:tcPr>
            <w:tcW w:w="3618" w:type="dxa"/>
            <w:vAlign w:val="top"/>
            <w:tcBorders>
              <w:bottom w:val="single" w:color="000000" w:sz="2" w:space="0"/>
              <w:top w:val="single" w:color="000000" w:sz="4" w:space="0"/>
            </w:tcBorders>
          </w:tcPr>
          <w:p>
            <w:pPr>
              <w:pStyle w:val="TableText"/>
              <w:ind w:left="86"/>
              <w:spacing w:before="123" w:line="220" w:lineRule="auto"/>
              <w:rPr>
                <w:sz w:val="18"/>
                <w:szCs w:val="18"/>
              </w:rPr>
            </w:pPr>
            <w:r>
              <w:rPr>
                <w:sz w:val="18"/>
                <w:szCs w:val="18"/>
                <w:spacing w:val="-3"/>
              </w:rPr>
              <w:t>资产总额</w:t>
            </w:r>
          </w:p>
        </w:tc>
        <w:tc>
          <w:tcPr>
            <w:shd w:val="clear" w:fill="DBE5F1"/>
            <w:tcW w:w="489" w:type="dxa"/>
            <w:vAlign w:val="top"/>
            <w:tcBorders>
              <w:bottom w:val="single" w:color="000000" w:sz="2" w:space="0"/>
              <w:top w:val="single" w:color="000000" w:sz="4" w:space="0"/>
            </w:tcBorders>
          </w:tcPr>
          <w:p>
            <w:pPr>
              <w:spacing w:line="382" w:lineRule="exact"/>
              <w:rPr/>
            </w:pPr>
            <w:r>
              <w:rPr>
                <w:position w:val="-8"/>
              </w:rPr>
              <w:pict>
                <v:shape id="_x0000_s42" style="mso-position-vertical-relative:line;mso-position-horizontal-relative:char;width:2.9pt;height:19.7pt;" fillcolor="#DBE5F1" filled="true" stroked="false" coordsize="58,394" coordorigin="0,0" path="m0,393l57,393l57,0l0,0l0,393xe"/>
              </w:pict>
            </w:r>
          </w:p>
        </w:tc>
        <w:tc>
          <w:tcPr>
            <w:shd w:val="clear" w:fill="DBE5F1"/>
            <w:tcW w:w="1070" w:type="dxa"/>
            <w:vAlign w:val="top"/>
            <w:tcBorders>
              <w:bottom w:val="single" w:color="000000" w:sz="2" w:space="0"/>
              <w:top w:val="single" w:color="000000" w:sz="4" w:space="0"/>
            </w:tcBorders>
          </w:tcPr>
          <w:p>
            <w:pPr>
              <w:ind w:left="213"/>
              <w:spacing w:before="15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12,992,419</w:t>
            </w:r>
          </w:p>
        </w:tc>
        <w:tc>
          <w:tcPr>
            <w:tcW w:w="4592" w:type="dxa"/>
            <w:vAlign w:val="top"/>
            <w:tcBorders>
              <w:bottom w:val="single" w:color="000000" w:sz="2" w:space="0"/>
              <w:top w:val="single" w:color="000000" w:sz="4" w:space="0"/>
            </w:tcBorders>
          </w:tcPr>
          <w:p>
            <w:pPr>
              <w:ind w:left="713"/>
              <w:spacing w:before="15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11,665,757</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2"/>
              </w:rPr>
              <w:t>11.37                      10,697</w:t>
            </w:r>
            <w:r>
              <w:rPr>
                <w:rFonts w:ascii="Times New Roman" w:hAnsi="Times New Roman" w:eastAsia="Times New Roman" w:cs="Times New Roman"/>
                <w:sz w:val="18"/>
                <w:szCs w:val="18"/>
                <w:spacing w:val="-3"/>
              </w:rPr>
              <w:t>,616</w:t>
            </w:r>
          </w:p>
        </w:tc>
      </w:tr>
      <w:tr>
        <w:trPr>
          <w:trHeight w:val="398" w:hRule="atLeast"/>
        </w:trPr>
        <w:tc>
          <w:tcPr>
            <w:tcW w:w="3618" w:type="dxa"/>
            <w:vAlign w:val="top"/>
            <w:tcBorders>
              <w:bottom w:val="single" w:color="000000" w:sz="2" w:space="0"/>
              <w:top w:val="single" w:color="000000" w:sz="2" w:space="0"/>
            </w:tcBorders>
          </w:tcPr>
          <w:p>
            <w:pPr>
              <w:pStyle w:val="TableText"/>
              <w:ind w:left="80"/>
              <w:spacing w:before="122" w:line="226" w:lineRule="auto"/>
              <w:rPr>
                <w:rFonts w:ascii="Times New Roman" w:hAnsi="Times New Roman" w:eastAsia="Times New Roman" w:cs="Times New Roman"/>
                <w:sz w:val="12"/>
                <w:szCs w:val="12"/>
              </w:rPr>
            </w:pPr>
            <w:r>
              <w:rPr>
                <w:sz w:val="18"/>
                <w:szCs w:val="18"/>
                <w:spacing w:val="-2"/>
              </w:rPr>
              <w:t>客户贷款</w:t>
            </w:r>
            <w:r>
              <w:rPr>
                <w:sz w:val="18"/>
                <w:szCs w:val="18"/>
                <w:spacing w:val="-41"/>
              </w:rPr>
              <w:t xml:space="preserve"> </w:t>
            </w:r>
            <w:r>
              <w:rPr>
                <w:rFonts w:ascii="Times New Roman" w:hAnsi="Times New Roman" w:eastAsia="Times New Roman" w:cs="Times New Roman"/>
                <w:sz w:val="12"/>
                <w:szCs w:val="12"/>
                <w:spacing w:val="-2"/>
                <w:position w:val="7"/>
              </w:rPr>
              <w:t>2</w:t>
            </w:r>
          </w:p>
        </w:tc>
        <w:tc>
          <w:tcPr>
            <w:shd w:val="clear" w:fill="DBE5F1"/>
            <w:tcW w:w="489" w:type="dxa"/>
            <w:vAlign w:val="top"/>
            <w:tcBorders>
              <w:bottom w:val="single" w:color="000000" w:sz="2" w:space="0"/>
              <w:top w:val="single" w:color="000000" w:sz="2" w:space="0"/>
            </w:tcBorders>
          </w:tcPr>
          <w:p>
            <w:pPr>
              <w:spacing w:before="2" w:line="385" w:lineRule="exact"/>
              <w:rPr/>
            </w:pPr>
            <w:r>
              <w:rPr>
                <w:position w:val="-8"/>
              </w:rPr>
              <w:pict>
                <v:shape id="_x0000_s44" style="mso-position-vertical-relative:line;mso-position-horizontal-relative:char;width:2.9pt;height:19.7pt;" fillcolor="#DBE5F1" filled="true" stroked="false" coordsize="58,394" coordorigin="0,0" path="m0,393l57,393l57,0l0,0l0,393xe"/>
              </w:pict>
            </w:r>
          </w:p>
        </w:tc>
        <w:tc>
          <w:tcPr>
            <w:shd w:val="clear" w:fill="DBE5F1"/>
            <w:tcW w:w="1070" w:type="dxa"/>
            <w:vAlign w:val="top"/>
            <w:tcBorders>
              <w:bottom w:val="single" w:color="000000" w:sz="2" w:space="0"/>
              <w:top w:val="single" w:color="000000" w:sz="2" w:space="0"/>
            </w:tcBorders>
          </w:tcPr>
          <w:p>
            <w:pPr>
              <w:ind w:left="299"/>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7,296,155</w:t>
            </w:r>
          </w:p>
        </w:tc>
        <w:tc>
          <w:tcPr>
            <w:tcW w:w="4592" w:type="dxa"/>
            <w:vAlign w:val="top"/>
            <w:tcBorders>
              <w:bottom w:val="single" w:color="000000" w:sz="2" w:space="0"/>
              <w:top w:val="single" w:color="000000" w:sz="2" w:space="0"/>
            </w:tcBorders>
          </w:tcPr>
          <w:p>
            <w:pPr>
              <w:ind w:left="784"/>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6,560,400                    11.22                        </w:t>
            </w:r>
            <w:r>
              <w:rPr>
                <w:rFonts w:ascii="Times New Roman" w:hAnsi="Times New Roman" w:eastAsia="Times New Roman" w:cs="Times New Roman"/>
                <w:sz w:val="18"/>
                <w:szCs w:val="18"/>
                <w:spacing w:val="-2"/>
              </w:rPr>
              <w:t>5,848,424</w:t>
            </w:r>
          </w:p>
        </w:tc>
      </w:tr>
      <w:tr>
        <w:trPr>
          <w:trHeight w:val="400" w:hRule="atLeast"/>
        </w:trPr>
        <w:tc>
          <w:tcPr>
            <w:tcW w:w="3618" w:type="dxa"/>
            <w:vAlign w:val="top"/>
            <w:tcBorders>
              <w:bottom w:val="single" w:color="000000" w:sz="2" w:space="0"/>
              <w:top w:val="single" w:color="000000" w:sz="2" w:space="0"/>
            </w:tcBorders>
          </w:tcPr>
          <w:p>
            <w:pPr>
              <w:pStyle w:val="TableText"/>
              <w:ind w:left="76"/>
              <w:spacing w:before="129" w:line="220" w:lineRule="auto"/>
              <w:rPr>
                <w:sz w:val="18"/>
                <w:szCs w:val="18"/>
              </w:rPr>
            </w:pPr>
            <w:r>
              <w:rPr>
                <w:sz w:val="18"/>
                <w:szCs w:val="18"/>
                <w:spacing w:val="-1"/>
              </w:rPr>
              <w:t>贷款减值准备</w:t>
            </w:r>
          </w:p>
        </w:tc>
        <w:tc>
          <w:tcPr>
            <w:shd w:val="clear" w:fill="DBE5F1"/>
            <w:tcW w:w="489" w:type="dxa"/>
            <w:vAlign w:val="top"/>
            <w:tcBorders>
              <w:bottom w:val="single" w:color="000000" w:sz="2" w:space="0"/>
              <w:top w:val="single" w:color="000000" w:sz="2" w:space="0"/>
            </w:tcBorders>
          </w:tcPr>
          <w:p>
            <w:pPr>
              <w:spacing w:before="2" w:line="387" w:lineRule="exact"/>
              <w:rPr/>
            </w:pPr>
            <w:r>
              <w:rPr>
                <w:position w:val="-8"/>
              </w:rPr>
              <w:pict>
                <v:shape id="_x0000_s46" style="mso-position-vertical-relative:line;mso-position-horizontal-relative:char;width:2.9pt;height:19.8pt;" fillcolor="#DBE5F1" filled="true" stroked="false" coordsize="58,395" coordorigin="0,0" path="m0,395l57,395l57,0l0,0l0,395xe"/>
              </w:pict>
            </w:r>
          </w:p>
        </w:tc>
        <w:tc>
          <w:tcPr>
            <w:shd w:val="clear" w:fill="DBE5F1"/>
            <w:tcW w:w="1070" w:type="dxa"/>
            <w:vAlign w:val="top"/>
            <w:tcBorders>
              <w:bottom w:val="single" w:color="000000" w:sz="2" w:space="0"/>
              <w:top w:val="single" w:color="000000" w:sz="2" w:space="0"/>
            </w:tcBorders>
          </w:tcPr>
          <w:p>
            <w:pPr>
              <w:ind w:left="439"/>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178,019</w:t>
            </w:r>
          </w:p>
        </w:tc>
        <w:tc>
          <w:tcPr>
            <w:tcW w:w="4592" w:type="dxa"/>
            <w:vAlign w:val="top"/>
            <w:tcBorders>
              <w:bottom w:val="single" w:color="000000" w:sz="2" w:space="0"/>
              <w:top w:val="single" w:color="000000" w:sz="2" w:space="0"/>
            </w:tcBorders>
          </w:tcPr>
          <w:p>
            <w:pPr>
              <w:ind w:left="931"/>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161,162</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spacing w:val="-2"/>
              </w:rPr>
              <w:t>10.46                           140,561</w:t>
            </w:r>
          </w:p>
        </w:tc>
      </w:tr>
      <w:tr>
        <w:trPr>
          <w:trHeight w:val="398" w:hRule="atLeast"/>
        </w:trPr>
        <w:tc>
          <w:tcPr>
            <w:tcW w:w="3618" w:type="dxa"/>
            <w:vAlign w:val="top"/>
            <w:tcBorders>
              <w:bottom w:val="single" w:color="000000" w:sz="2" w:space="0"/>
              <w:top w:val="single" w:color="000000" w:sz="2" w:space="0"/>
            </w:tcBorders>
          </w:tcPr>
          <w:p>
            <w:pPr>
              <w:pStyle w:val="TableText"/>
              <w:ind w:left="86"/>
              <w:spacing w:before="129" w:line="220" w:lineRule="auto"/>
              <w:rPr>
                <w:sz w:val="18"/>
                <w:szCs w:val="18"/>
              </w:rPr>
            </w:pPr>
            <w:r>
              <w:rPr>
                <w:sz w:val="18"/>
                <w:szCs w:val="18"/>
                <w:spacing w:val="-3"/>
              </w:rPr>
              <w:t>负债总额</w:t>
            </w:r>
          </w:p>
        </w:tc>
        <w:tc>
          <w:tcPr>
            <w:shd w:val="clear" w:fill="DBE5F1"/>
            <w:tcW w:w="489" w:type="dxa"/>
            <w:vAlign w:val="top"/>
            <w:tcBorders>
              <w:bottom w:val="single" w:color="000000" w:sz="2" w:space="0"/>
              <w:top w:val="single" w:color="000000" w:sz="2" w:space="0"/>
            </w:tcBorders>
          </w:tcPr>
          <w:p>
            <w:pPr>
              <w:spacing w:before="3" w:line="384" w:lineRule="exact"/>
              <w:rPr/>
            </w:pPr>
            <w:r>
              <w:rPr>
                <w:position w:val="-8"/>
              </w:rPr>
              <w:pict>
                <v:shape id="_x0000_s48" style="mso-position-vertical-relative:line;mso-position-horizontal-relative:char;width:2.9pt;height:19.7pt;" fillcolor="#DBE5F1" filled="true" stroked="false" coordsize="58,394" coordorigin="0,0" path="m0,393l57,393l57,0l0,0l0,393xe"/>
              </w:pict>
            </w:r>
          </w:p>
        </w:tc>
        <w:tc>
          <w:tcPr>
            <w:shd w:val="clear" w:fill="DBE5F1"/>
            <w:tcW w:w="1070" w:type="dxa"/>
            <w:vAlign w:val="top"/>
            <w:tcBorders>
              <w:bottom w:val="single" w:color="000000" w:sz="2" w:space="0"/>
              <w:top w:val="single" w:color="000000" w:sz="2" w:space="0"/>
            </w:tcBorders>
          </w:tcPr>
          <w:p>
            <w:pPr>
              <w:ind w:left="225"/>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11,956,679</w:t>
            </w:r>
          </w:p>
        </w:tc>
        <w:tc>
          <w:tcPr>
            <w:tcW w:w="4592" w:type="dxa"/>
            <w:vAlign w:val="top"/>
            <w:tcBorders>
              <w:bottom w:val="single" w:color="000000" w:sz="2" w:space="0"/>
              <w:top w:val="single" w:color="000000" w:sz="2" w:space="0"/>
            </w:tcBorders>
          </w:tcPr>
          <w:p>
            <w:pPr>
              <w:ind w:left="706"/>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10,688,521</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2"/>
              </w:rPr>
              <w:t>11.86</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2"/>
              </w:rPr>
              <w:t>9,81</w:t>
            </w:r>
            <w:r>
              <w:rPr>
                <w:rFonts w:ascii="Times New Roman" w:hAnsi="Times New Roman" w:eastAsia="Times New Roman" w:cs="Times New Roman"/>
                <w:sz w:val="18"/>
                <w:szCs w:val="18"/>
                <w:spacing w:val="-3"/>
              </w:rPr>
              <w:t>8,988</w:t>
            </w:r>
          </w:p>
        </w:tc>
      </w:tr>
      <w:tr>
        <w:trPr>
          <w:trHeight w:val="398" w:hRule="atLeast"/>
        </w:trPr>
        <w:tc>
          <w:tcPr>
            <w:tcW w:w="3618" w:type="dxa"/>
            <w:vAlign w:val="top"/>
            <w:tcBorders>
              <w:bottom w:val="single" w:color="000000" w:sz="2" w:space="0"/>
              <w:top w:val="single" w:color="000000" w:sz="2" w:space="0"/>
            </w:tcBorders>
          </w:tcPr>
          <w:p>
            <w:pPr>
              <w:pStyle w:val="TableText"/>
              <w:ind w:left="80"/>
              <w:spacing w:before="123" w:line="226" w:lineRule="auto"/>
              <w:rPr>
                <w:rFonts w:ascii="Times New Roman" w:hAnsi="Times New Roman" w:eastAsia="Times New Roman" w:cs="Times New Roman"/>
                <w:sz w:val="12"/>
                <w:szCs w:val="12"/>
              </w:rPr>
            </w:pPr>
            <w:r>
              <w:rPr>
                <w:sz w:val="18"/>
                <w:szCs w:val="18"/>
                <w:spacing w:val="-2"/>
              </w:rPr>
              <w:t>客户存款</w:t>
            </w:r>
            <w:r>
              <w:rPr>
                <w:sz w:val="18"/>
                <w:szCs w:val="18"/>
                <w:spacing w:val="-41"/>
              </w:rPr>
              <w:t xml:space="preserve"> </w:t>
            </w:r>
            <w:r>
              <w:rPr>
                <w:rFonts w:ascii="Times New Roman" w:hAnsi="Times New Roman" w:eastAsia="Times New Roman" w:cs="Times New Roman"/>
                <w:sz w:val="12"/>
                <w:szCs w:val="12"/>
                <w:spacing w:val="-2"/>
                <w:position w:val="7"/>
              </w:rPr>
              <w:t>2</w:t>
            </w:r>
          </w:p>
        </w:tc>
        <w:tc>
          <w:tcPr>
            <w:shd w:val="clear" w:fill="DBE5F1"/>
            <w:tcW w:w="489" w:type="dxa"/>
            <w:vAlign w:val="top"/>
            <w:tcBorders>
              <w:bottom w:val="single" w:color="000000" w:sz="2" w:space="0"/>
              <w:top w:val="single" w:color="000000" w:sz="2" w:space="0"/>
            </w:tcBorders>
          </w:tcPr>
          <w:p>
            <w:pPr>
              <w:spacing w:before="3" w:line="384" w:lineRule="exact"/>
              <w:rPr/>
            </w:pPr>
            <w:r>
              <w:rPr>
                <w:position w:val="-8"/>
              </w:rPr>
              <w:pict>
                <v:shape id="_x0000_s50" style="mso-position-vertical-relative:line;mso-position-horizontal-relative:char;width:2.9pt;height:19.7pt;" fillcolor="#DBE5F1" filled="true" stroked="false" coordsize="58,394" coordorigin="0,0" path="m0,393l57,393l57,0l0,0l0,393xe"/>
              </w:pict>
            </w:r>
          </w:p>
        </w:tc>
        <w:tc>
          <w:tcPr>
            <w:shd w:val="clear" w:fill="DBE5F1"/>
            <w:tcW w:w="1070" w:type="dxa"/>
            <w:vAlign w:val="top"/>
            <w:tcBorders>
              <w:bottom w:val="single" w:color="000000" w:sz="2" w:space="0"/>
              <w:top w:val="single" w:color="000000" w:sz="2" w:space="0"/>
            </w:tcBorders>
          </w:tcPr>
          <w:p>
            <w:pPr>
              <w:ind w:left="299"/>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7,949,072</w:t>
            </w:r>
          </w:p>
        </w:tc>
        <w:tc>
          <w:tcPr>
            <w:tcW w:w="4592" w:type="dxa"/>
            <w:vAlign w:val="top"/>
            <w:tcBorders>
              <w:bottom w:val="single" w:color="000000" w:sz="2" w:space="0"/>
              <w:top w:val="single" w:color="000000" w:sz="2" w:space="0"/>
            </w:tcBorders>
          </w:tcPr>
          <w:p>
            <w:pPr>
              <w:ind w:left="783"/>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7,039,777                    12.92</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1"/>
              </w:rPr>
              <w:t>6,607,330</w:t>
            </w:r>
          </w:p>
        </w:tc>
      </w:tr>
      <w:tr>
        <w:trPr>
          <w:trHeight w:val="401" w:hRule="atLeast"/>
        </w:trPr>
        <w:tc>
          <w:tcPr>
            <w:tcW w:w="3618" w:type="dxa"/>
            <w:vAlign w:val="top"/>
            <w:tcBorders>
              <w:bottom w:val="single" w:color="000000" w:sz="2" w:space="0"/>
              <w:top w:val="single" w:color="000000" w:sz="2" w:space="0"/>
            </w:tcBorders>
          </w:tcPr>
          <w:p>
            <w:pPr>
              <w:pStyle w:val="TableText"/>
              <w:ind w:left="96"/>
              <w:spacing w:before="129" w:line="220" w:lineRule="auto"/>
              <w:rPr>
                <w:sz w:val="18"/>
                <w:szCs w:val="18"/>
              </w:rPr>
            </w:pPr>
            <w:r>
              <w:rPr>
                <w:sz w:val="18"/>
                <w:szCs w:val="18"/>
                <w:spacing w:val="-2"/>
              </w:rPr>
              <w:t>同业及其他金融机构存放款项</w:t>
            </w:r>
          </w:p>
        </w:tc>
        <w:tc>
          <w:tcPr>
            <w:shd w:val="clear" w:fill="DBE5F1"/>
            <w:tcW w:w="489" w:type="dxa"/>
            <w:vAlign w:val="top"/>
            <w:tcBorders>
              <w:bottom w:val="single" w:color="000000" w:sz="2" w:space="0"/>
              <w:top w:val="single" w:color="000000" w:sz="2" w:space="0"/>
            </w:tcBorders>
          </w:tcPr>
          <w:p>
            <w:pPr>
              <w:spacing w:before="3" w:line="387" w:lineRule="exact"/>
              <w:rPr/>
            </w:pPr>
            <w:r>
              <w:rPr>
                <w:position w:val="-8"/>
              </w:rPr>
              <w:pict>
                <v:shape id="_x0000_s52" style="mso-position-vertical-relative:line;mso-position-horizontal-relative:char;width:2.9pt;height:19.8pt;" fillcolor="#DBE5F1" filled="true" stroked="false" coordsize="58,395" coordorigin="0,0" path="m0,395l57,395l57,0l0,0l0,395xe"/>
              </w:pict>
            </w:r>
          </w:p>
        </w:tc>
        <w:tc>
          <w:tcPr>
            <w:shd w:val="clear" w:fill="DBE5F1"/>
            <w:tcW w:w="1070" w:type="dxa"/>
            <w:vAlign w:val="top"/>
            <w:tcBorders>
              <w:bottom w:val="single" w:color="000000" w:sz="2" w:space="0"/>
              <w:top w:val="single" w:color="000000" w:sz="2" w:space="0"/>
            </w:tcBorders>
          </w:tcPr>
          <w:p>
            <w:pPr>
              <w:ind w:left="305"/>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1,078,593</w:t>
            </w:r>
          </w:p>
        </w:tc>
        <w:tc>
          <w:tcPr>
            <w:tcW w:w="4592" w:type="dxa"/>
            <w:vAlign w:val="top"/>
            <w:tcBorders>
              <w:bottom w:val="single" w:color="000000" w:sz="2" w:space="0"/>
              <w:top w:val="single" w:color="000000" w:sz="2" w:space="0"/>
            </w:tcBorders>
          </w:tcPr>
          <w:p>
            <w:pPr>
              <w:ind w:left="797"/>
              <w:spacing w:before="159"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1,096,640                   (1.65)                           90</w:t>
            </w:r>
            <w:r>
              <w:rPr>
                <w:rFonts w:ascii="Times New Roman" w:hAnsi="Times New Roman" w:eastAsia="Times New Roman" w:cs="Times New Roman"/>
                <w:sz w:val="18"/>
                <w:szCs w:val="18"/>
                <w:spacing w:val="-2"/>
              </w:rPr>
              <w:t>4,958</w:t>
            </w:r>
          </w:p>
        </w:tc>
      </w:tr>
      <w:tr>
        <w:trPr>
          <w:trHeight w:val="398" w:hRule="atLeast"/>
        </w:trPr>
        <w:tc>
          <w:tcPr>
            <w:tcW w:w="3618" w:type="dxa"/>
            <w:vAlign w:val="top"/>
            <w:tcBorders>
              <w:bottom w:val="single" w:color="000000" w:sz="2" w:space="0"/>
              <w:top w:val="single" w:color="000000" w:sz="2" w:space="0"/>
            </w:tcBorders>
          </w:tcPr>
          <w:p>
            <w:pPr>
              <w:pStyle w:val="TableText"/>
              <w:ind w:left="79"/>
              <w:spacing w:before="129" w:line="220" w:lineRule="auto"/>
              <w:rPr>
                <w:sz w:val="18"/>
                <w:szCs w:val="18"/>
              </w:rPr>
            </w:pPr>
            <w:r>
              <w:rPr>
                <w:sz w:val="18"/>
                <w:szCs w:val="18"/>
                <w:spacing w:val="6"/>
              </w:rPr>
              <w:t>股东权益(归属于母公司股东)</w:t>
            </w:r>
          </w:p>
        </w:tc>
        <w:tc>
          <w:tcPr>
            <w:shd w:val="clear" w:fill="DBE5F1"/>
            <w:tcW w:w="489" w:type="dxa"/>
            <w:vAlign w:val="top"/>
            <w:tcBorders>
              <w:bottom w:val="single" w:color="000000" w:sz="2" w:space="0"/>
              <w:top w:val="single" w:color="000000" w:sz="2" w:space="0"/>
            </w:tcBorders>
          </w:tcPr>
          <w:p>
            <w:pPr>
              <w:spacing w:before="3" w:line="384" w:lineRule="exact"/>
              <w:rPr/>
            </w:pPr>
            <w:r>
              <w:rPr>
                <w:position w:val="-8"/>
              </w:rPr>
              <w:pict>
                <v:shape id="_x0000_s54" style="mso-position-vertical-relative:line;mso-position-horizontal-relative:char;width:2.9pt;height:19.7pt;" fillcolor="#DBE5F1" filled="true" stroked="false" coordsize="58,394" coordorigin="0,0" path="m0,393l57,393l57,0l0,0l0,393xe"/>
              </w:pict>
            </w:r>
          </w:p>
        </w:tc>
        <w:tc>
          <w:tcPr>
            <w:shd w:val="clear" w:fill="DBE5F1"/>
            <w:tcW w:w="1070" w:type="dxa"/>
            <w:vAlign w:val="top"/>
            <w:tcBorders>
              <w:bottom w:val="single" w:color="000000" w:sz="2" w:space="0"/>
              <w:top w:val="single" w:color="000000" w:sz="2" w:space="0"/>
            </w:tcBorders>
          </w:tcPr>
          <w:p>
            <w:pPr>
              <w:ind w:left="305"/>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1,023,409</w:t>
            </w:r>
          </w:p>
        </w:tc>
        <w:tc>
          <w:tcPr>
            <w:tcW w:w="4592" w:type="dxa"/>
            <w:vAlign w:val="top"/>
            <w:tcBorders>
              <w:bottom w:val="single" w:color="000000" w:sz="2" w:space="0"/>
              <w:top w:val="single" w:color="000000" w:sz="2" w:space="0"/>
            </w:tcBorders>
          </w:tcPr>
          <w:p>
            <w:pPr>
              <w:ind w:left="917"/>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964,647</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spacing w:val="-2"/>
              </w:rPr>
              <w:t>6.09</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2"/>
              </w:rPr>
              <w:t>866,607</w:t>
            </w:r>
          </w:p>
        </w:tc>
      </w:tr>
      <w:tr>
        <w:trPr>
          <w:trHeight w:val="398" w:hRule="atLeast"/>
        </w:trPr>
        <w:tc>
          <w:tcPr>
            <w:tcW w:w="3618" w:type="dxa"/>
            <w:vAlign w:val="top"/>
            <w:tcBorders>
              <w:bottom w:val="single" w:color="000000" w:sz="2" w:space="0"/>
              <w:top w:val="single" w:color="000000" w:sz="2" w:space="0"/>
            </w:tcBorders>
          </w:tcPr>
          <w:p>
            <w:pPr>
              <w:pStyle w:val="TableText"/>
              <w:ind w:left="81"/>
              <w:spacing w:before="129" w:line="220" w:lineRule="auto"/>
              <w:rPr>
                <w:sz w:val="18"/>
                <w:szCs w:val="18"/>
              </w:rPr>
            </w:pPr>
            <w:r>
              <w:rPr>
                <w:sz w:val="18"/>
                <w:szCs w:val="18"/>
                <w:spacing w:val="-3"/>
              </w:rPr>
              <w:t>总股本</w:t>
            </w:r>
          </w:p>
        </w:tc>
        <w:tc>
          <w:tcPr>
            <w:shd w:val="clear" w:fill="DBE5F1"/>
            <w:tcW w:w="489" w:type="dxa"/>
            <w:vAlign w:val="top"/>
            <w:tcBorders>
              <w:bottom w:val="single" w:color="000000" w:sz="2" w:space="0"/>
              <w:top w:val="single" w:color="000000" w:sz="2" w:space="0"/>
            </w:tcBorders>
          </w:tcPr>
          <w:p>
            <w:pPr>
              <w:spacing w:before="3" w:line="384" w:lineRule="exact"/>
              <w:rPr/>
            </w:pPr>
            <w:r>
              <w:rPr>
                <w:position w:val="-8"/>
              </w:rPr>
              <w:pict>
                <v:shape id="_x0000_s56" style="mso-position-vertical-relative:line;mso-position-horizontal-relative:char;width:2.9pt;height:19.7pt;" fillcolor="#DBE5F1" filled="true" stroked="false" coordsize="58,394" coordorigin="0,0" path="m0,393l57,393l57,0l0,0l0,393xe"/>
              </w:pict>
            </w:r>
          </w:p>
        </w:tc>
        <w:tc>
          <w:tcPr>
            <w:shd w:val="clear" w:fill="DBE5F1"/>
            <w:tcW w:w="1070" w:type="dxa"/>
            <w:vAlign w:val="top"/>
            <w:tcBorders>
              <w:bottom w:val="single" w:color="000000" w:sz="2" w:space="0"/>
              <w:top w:val="single" w:color="000000" w:sz="2" w:space="0"/>
            </w:tcBorders>
          </w:tcPr>
          <w:p>
            <w:pPr>
              <w:ind w:left="524"/>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74,263</w:t>
            </w:r>
          </w:p>
        </w:tc>
        <w:tc>
          <w:tcPr>
            <w:tcW w:w="4592" w:type="dxa"/>
            <w:vAlign w:val="top"/>
            <w:tcBorders>
              <w:bottom w:val="single" w:color="000000" w:sz="2" w:space="0"/>
              <w:top w:val="single" w:color="000000" w:sz="2" w:space="0"/>
            </w:tcBorders>
          </w:tcPr>
          <w:p>
            <w:pPr>
              <w:ind w:left="1008"/>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74,263</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2"/>
              </w:rPr>
              <w:t>-</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2"/>
              </w:rPr>
              <w:t>74,263</w:t>
            </w:r>
          </w:p>
        </w:tc>
      </w:tr>
      <w:tr>
        <w:trPr>
          <w:trHeight w:val="401" w:hRule="atLeast"/>
        </w:trPr>
        <w:tc>
          <w:tcPr>
            <w:tcW w:w="3618" w:type="dxa"/>
            <w:vAlign w:val="top"/>
            <w:tcBorders>
              <w:bottom w:val="single" w:color="000000" w:sz="2" w:space="0"/>
              <w:top w:val="single" w:color="000000" w:sz="2" w:space="0"/>
            </w:tcBorders>
          </w:tcPr>
          <w:p>
            <w:pPr>
              <w:pStyle w:val="TableText"/>
              <w:ind w:left="86"/>
              <w:spacing w:before="124" w:line="225" w:lineRule="auto"/>
              <w:rPr>
                <w:rFonts w:ascii="Times New Roman" w:hAnsi="Times New Roman" w:eastAsia="Times New Roman" w:cs="Times New Roman"/>
                <w:sz w:val="12"/>
                <w:szCs w:val="12"/>
              </w:rPr>
            </w:pPr>
            <w:r>
              <w:rPr>
                <w:sz w:val="18"/>
                <w:szCs w:val="18"/>
                <w:spacing w:val="-3"/>
              </w:rPr>
              <w:t>资本净额</w:t>
            </w:r>
            <w:r>
              <w:rPr>
                <w:sz w:val="18"/>
                <w:szCs w:val="18"/>
                <w:spacing w:val="-39"/>
              </w:rPr>
              <w:t xml:space="preserve"> </w:t>
            </w:r>
            <w:r>
              <w:rPr>
                <w:rFonts w:ascii="Times New Roman" w:hAnsi="Times New Roman" w:eastAsia="Times New Roman" w:cs="Times New Roman"/>
                <w:sz w:val="12"/>
                <w:szCs w:val="12"/>
                <w:spacing w:val="-3"/>
                <w:position w:val="7"/>
              </w:rPr>
              <w:t>3</w:t>
            </w:r>
          </w:p>
        </w:tc>
        <w:tc>
          <w:tcPr>
            <w:shd w:val="clear" w:fill="DBE5F1"/>
            <w:tcW w:w="489" w:type="dxa"/>
            <w:vAlign w:val="top"/>
            <w:tcBorders>
              <w:bottom w:val="single" w:color="000000" w:sz="2" w:space="0"/>
              <w:top w:val="single" w:color="000000" w:sz="2" w:space="0"/>
            </w:tcBorders>
          </w:tcPr>
          <w:p>
            <w:pPr>
              <w:spacing w:before="3" w:line="388" w:lineRule="exact"/>
              <w:rPr/>
            </w:pPr>
            <w:r>
              <w:rPr>
                <w:position w:val="-8"/>
              </w:rPr>
              <w:pict>
                <v:shape id="_x0000_s58" style="mso-position-vertical-relative:line;mso-position-horizontal-relative:char;width:2.9pt;height:19.85pt;" fillcolor="#DBE5F1" filled="true" stroked="false" coordsize="58,397" coordorigin="0,0" path="m0,396l57,396l57,0l0,0l0,396xe"/>
              </w:pict>
            </w:r>
          </w:p>
        </w:tc>
        <w:tc>
          <w:tcPr>
            <w:shd w:val="clear" w:fill="DBE5F1"/>
            <w:tcW w:w="1070" w:type="dxa"/>
            <w:vAlign w:val="top"/>
            <w:tcBorders>
              <w:bottom w:val="single" w:color="000000" w:sz="2" w:space="0"/>
              <w:top w:val="single" w:color="000000" w:sz="2" w:space="0"/>
            </w:tcBorders>
          </w:tcPr>
          <w:p>
            <w:pPr>
              <w:ind w:left="302"/>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1,250,317</w:t>
            </w:r>
          </w:p>
        </w:tc>
        <w:tc>
          <w:tcPr>
            <w:tcW w:w="4592" w:type="dxa"/>
            <w:vAlign w:val="top"/>
            <w:tcBorders>
              <w:bottom w:val="single" w:color="000000" w:sz="2" w:space="0"/>
              <w:top w:val="single" w:color="000000" w:sz="2" w:space="0"/>
            </w:tcBorders>
          </w:tcPr>
          <w:p>
            <w:pPr>
              <w:ind w:left="797"/>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1,139,957                      9.68              </w:t>
            </w:r>
            <w:r>
              <w:rPr>
                <w:rFonts w:ascii="Times New Roman" w:hAnsi="Times New Roman" w:eastAsia="Times New Roman" w:cs="Times New Roman"/>
                <w:sz w:val="18"/>
                <w:szCs w:val="18"/>
                <w:spacing w:val="-2"/>
              </w:rPr>
              <w:t xml:space="preserve">          1,021,246</w:t>
            </w:r>
          </w:p>
        </w:tc>
      </w:tr>
      <w:tr>
        <w:trPr>
          <w:trHeight w:val="398" w:hRule="atLeast"/>
        </w:trPr>
        <w:tc>
          <w:tcPr>
            <w:tcW w:w="3618" w:type="dxa"/>
            <w:vAlign w:val="top"/>
            <w:tcBorders>
              <w:bottom w:val="single" w:color="000000" w:sz="2" w:space="0"/>
              <w:top w:val="single" w:color="000000" w:sz="2" w:space="0"/>
            </w:tcBorders>
          </w:tcPr>
          <w:p>
            <w:pPr>
              <w:pStyle w:val="TableText"/>
              <w:ind w:left="79"/>
              <w:spacing w:before="129" w:line="220" w:lineRule="auto"/>
              <w:rPr>
                <w:sz w:val="9"/>
                <w:szCs w:val="9"/>
              </w:rPr>
            </w:pPr>
            <w:r>
              <w:rPr>
                <w:sz w:val="18"/>
                <w:szCs w:val="18"/>
                <w:spacing w:val="6"/>
              </w:rPr>
              <w:t>其中:核心一级资本净额</w:t>
            </w:r>
            <w:r>
              <w:rPr>
                <w:sz w:val="18"/>
                <w:szCs w:val="18"/>
                <w:spacing w:val="-30"/>
              </w:rPr>
              <w:t xml:space="preserve"> </w:t>
            </w:r>
            <w:r>
              <w:rPr>
                <w:sz w:val="9"/>
                <w:szCs w:val="9"/>
                <w:spacing w:val="6"/>
                <w:position w:val="9"/>
              </w:rPr>
              <w:t>3</w:t>
            </w:r>
          </w:p>
        </w:tc>
        <w:tc>
          <w:tcPr>
            <w:shd w:val="clear" w:fill="DBE5F1"/>
            <w:tcW w:w="489" w:type="dxa"/>
            <w:vAlign w:val="top"/>
            <w:tcBorders>
              <w:bottom w:val="single" w:color="000000" w:sz="2" w:space="0"/>
              <w:top w:val="single" w:color="000000" w:sz="2" w:space="0"/>
            </w:tcBorders>
          </w:tcPr>
          <w:p>
            <w:pPr>
              <w:spacing w:before="3" w:line="384" w:lineRule="exact"/>
              <w:rPr/>
            </w:pPr>
            <w:r>
              <w:rPr>
                <w:position w:val="-8"/>
              </w:rPr>
              <w:pict>
                <v:shape id="_x0000_s60" style="mso-position-vertical-relative:line;mso-position-horizontal-relative:char;width:2.9pt;height:19.7pt;" fillcolor="#DBE5F1" filled="true" stroked="false" coordsize="58,394" coordorigin="0,0" path="m0,393l57,393l57,0l0,0l0,393xe"/>
              </w:pict>
            </w:r>
          </w:p>
        </w:tc>
        <w:tc>
          <w:tcPr>
            <w:shd w:val="clear" w:fill="DBE5F1"/>
            <w:tcW w:w="1070" w:type="dxa"/>
            <w:vAlign w:val="top"/>
            <w:tcBorders>
              <w:bottom w:val="single" w:color="000000" w:sz="2" w:space="0"/>
              <w:top w:val="single" w:color="000000" w:sz="2" w:space="0"/>
            </w:tcBorders>
          </w:tcPr>
          <w:p>
            <w:pPr>
              <w:ind w:left="433"/>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840,164</w:t>
            </w:r>
          </w:p>
        </w:tc>
        <w:tc>
          <w:tcPr>
            <w:tcW w:w="4592" w:type="dxa"/>
            <w:vAlign w:val="top"/>
            <w:tcBorders>
              <w:bottom w:val="single" w:color="000000" w:sz="2" w:space="0"/>
              <w:top w:val="single" w:color="000000" w:sz="2" w:space="0"/>
            </w:tcBorders>
          </w:tcPr>
          <w:p>
            <w:pPr>
              <w:ind w:left="917"/>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783,877</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spacing w:val="-1"/>
              </w:rPr>
              <w:t>7.18</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1"/>
              </w:rPr>
              <w:t>727,611</w:t>
            </w:r>
          </w:p>
        </w:tc>
      </w:tr>
      <w:tr>
        <w:trPr>
          <w:trHeight w:val="398" w:hRule="atLeast"/>
        </w:trPr>
        <w:tc>
          <w:tcPr>
            <w:tcW w:w="3618" w:type="dxa"/>
            <w:vAlign w:val="top"/>
            <w:tcBorders>
              <w:bottom w:val="single" w:color="000000" w:sz="2" w:space="0"/>
              <w:top w:val="single" w:color="000000" w:sz="2" w:space="0"/>
            </w:tcBorders>
          </w:tcPr>
          <w:p>
            <w:pPr>
              <w:pStyle w:val="TableText"/>
              <w:ind w:left="622"/>
              <w:spacing w:before="129" w:line="220" w:lineRule="auto"/>
              <w:rPr>
                <w:sz w:val="9"/>
                <w:szCs w:val="9"/>
              </w:rPr>
            </w:pPr>
            <w:r>
              <w:rPr>
                <w:sz w:val="18"/>
                <w:szCs w:val="18"/>
                <w:spacing w:val="-2"/>
              </w:rPr>
              <w:t>其他一级资本</w:t>
            </w:r>
            <w:r>
              <w:rPr>
                <w:sz w:val="18"/>
                <w:szCs w:val="18"/>
                <w:spacing w:val="-34"/>
              </w:rPr>
              <w:t xml:space="preserve"> </w:t>
            </w:r>
            <w:r>
              <w:rPr>
                <w:sz w:val="9"/>
                <w:szCs w:val="9"/>
                <w:spacing w:val="-2"/>
                <w:position w:val="8"/>
              </w:rPr>
              <w:t>3</w:t>
            </w:r>
          </w:p>
        </w:tc>
        <w:tc>
          <w:tcPr>
            <w:shd w:val="clear" w:fill="DBE5F1"/>
            <w:tcW w:w="489" w:type="dxa"/>
            <w:vAlign w:val="top"/>
            <w:tcBorders>
              <w:bottom w:val="single" w:color="000000" w:sz="2" w:space="0"/>
              <w:top w:val="single" w:color="000000" w:sz="2" w:space="0"/>
            </w:tcBorders>
          </w:tcPr>
          <w:p>
            <w:pPr>
              <w:spacing w:before="4" w:line="383" w:lineRule="exact"/>
              <w:rPr/>
            </w:pPr>
            <w:r>
              <w:rPr>
                <w:position w:val="-8"/>
              </w:rPr>
              <w:pict>
                <v:shape id="_x0000_s62" style="mso-position-vertical-relative:line;mso-position-horizontal-relative:char;width:2.9pt;height:19.7pt;" fillcolor="#DBE5F1" filled="true" stroked="false" coordsize="58,394" coordorigin="0,0" path="m0,393l57,393l57,0l0,0l0,393xe"/>
              </w:pict>
            </w:r>
          </w:p>
        </w:tc>
        <w:tc>
          <w:tcPr>
            <w:shd w:val="clear" w:fill="DBE5F1"/>
            <w:tcW w:w="1070" w:type="dxa"/>
            <w:vAlign w:val="top"/>
            <w:tcBorders>
              <w:bottom w:val="single" w:color="000000" w:sz="2" w:space="0"/>
              <w:top w:val="single" w:color="000000" w:sz="2" w:space="0"/>
            </w:tcBorders>
          </w:tcPr>
          <w:p>
            <w:pPr>
              <w:ind w:left="439"/>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176,480</w:t>
            </w:r>
          </w:p>
        </w:tc>
        <w:tc>
          <w:tcPr>
            <w:tcW w:w="4592" w:type="dxa"/>
            <w:vAlign w:val="top"/>
            <w:tcBorders>
              <w:bottom w:val="single" w:color="000000" w:sz="2" w:space="0"/>
              <w:top w:val="single" w:color="000000" w:sz="2" w:space="0"/>
            </w:tcBorders>
          </w:tcPr>
          <w:p>
            <w:pPr>
              <w:ind w:left="931"/>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176,348                      0.07              </w:t>
            </w:r>
            <w:r>
              <w:rPr>
                <w:rFonts w:ascii="Times New Roman" w:hAnsi="Times New Roman" w:eastAsia="Times New Roman" w:cs="Times New Roman"/>
                <w:sz w:val="18"/>
                <w:szCs w:val="18"/>
                <w:spacing w:val="-2"/>
              </w:rPr>
              <w:t xml:space="preserve">             134,610</w:t>
            </w:r>
          </w:p>
        </w:tc>
      </w:tr>
      <w:tr>
        <w:trPr>
          <w:trHeight w:val="401" w:hRule="atLeast"/>
        </w:trPr>
        <w:tc>
          <w:tcPr>
            <w:tcW w:w="3618" w:type="dxa"/>
            <w:vAlign w:val="top"/>
            <w:tcBorders>
              <w:bottom w:val="single" w:color="000000" w:sz="2" w:space="0"/>
              <w:top w:val="single" w:color="000000" w:sz="2" w:space="0"/>
            </w:tcBorders>
          </w:tcPr>
          <w:p>
            <w:pPr>
              <w:pStyle w:val="TableText"/>
              <w:ind w:left="624"/>
              <w:spacing w:before="130" w:line="220" w:lineRule="auto"/>
              <w:rPr>
                <w:sz w:val="9"/>
                <w:szCs w:val="9"/>
              </w:rPr>
            </w:pPr>
            <w:r>
              <w:rPr>
                <w:sz w:val="18"/>
                <w:szCs w:val="18"/>
                <w:spacing w:val="-2"/>
              </w:rPr>
              <w:t>二级资本</w:t>
            </w:r>
            <w:r>
              <w:rPr>
                <w:sz w:val="18"/>
                <w:szCs w:val="18"/>
                <w:spacing w:val="-40"/>
              </w:rPr>
              <w:t xml:space="preserve"> </w:t>
            </w:r>
            <w:r>
              <w:rPr>
                <w:sz w:val="9"/>
                <w:szCs w:val="9"/>
                <w:spacing w:val="-2"/>
                <w:position w:val="8"/>
              </w:rPr>
              <w:t>3</w:t>
            </w:r>
          </w:p>
        </w:tc>
        <w:tc>
          <w:tcPr>
            <w:shd w:val="clear" w:fill="DBE5F1"/>
            <w:tcW w:w="489" w:type="dxa"/>
            <w:vAlign w:val="top"/>
            <w:tcBorders>
              <w:bottom w:val="single" w:color="000000" w:sz="2" w:space="0"/>
              <w:top w:val="single" w:color="000000" w:sz="2" w:space="0"/>
            </w:tcBorders>
          </w:tcPr>
          <w:p>
            <w:pPr>
              <w:spacing w:before="4" w:line="387" w:lineRule="exact"/>
              <w:rPr/>
            </w:pPr>
            <w:r>
              <w:rPr>
                <w:position w:val="-8"/>
              </w:rPr>
              <w:pict>
                <v:shape id="_x0000_s64" style="mso-position-vertical-relative:line;mso-position-horizontal-relative:char;width:2.9pt;height:19.85pt;" fillcolor="#DBE5F1" filled="true" stroked="false" coordsize="58,397" coordorigin="0,0" path="m0,396l57,396l57,0l0,0l0,396xe"/>
              </w:pict>
            </w:r>
          </w:p>
        </w:tc>
        <w:tc>
          <w:tcPr>
            <w:shd w:val="clear" w:fill="DBE5F1"/>
            <w:tcW w:w="1070" w:type="dxa"/>
            <w:vAlign w:val="top"/>
            <w:tcBorders>
              <w:bottom w:val="single" w:color="000000" w:sz="2" w:space="0"/>
              <w:top w:val="single" w:color="000000" w:sz="2" w:space="0"/>
            </w:tcBorders>
          </w:tcPr>
          <w:p>
            <w:pPr>
              <w:ind w:left="431"/>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233,673</w:t>
            </w:r>
          </w:p>
        </w:tc>
        <w:tc>
          <w:tcPr>
            <w:tcW w:w="4592" w:type="dxa"/>
            <w:vAlign w:val="top"/>
            <w:tcBorders>
              <w:bottom w:val="single" w:color="000000" w:sz="2" w:space="0"/>
              <w:top w:val="single" w:color="000000" w:sz="2" w:space="0"/>
            </w:tcBorders>
          </w:tcPr>
          <w:p>
            <w:pPr>
              <w:ind w:left="931"/>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179,732                    30.01             </w:t>
            </w:r>
            <w:r>
              <w:rPr>
                <w:rFonts w:ascii="Times New Roman" w:hAnsi="Times New Roman" w:eastAsia="Times New Roman" w:cs="Times New Roman"/>
                <w:sz w:val="18"/>
                <w:szCs w:val="18"/>
                <w:spacing w:val="-2"/>
              </w:rPr>
              <w:t xml:space="preserve">              159,025</w:t>
            </w:r>
          </w:p>
        </w:tc>
      </w:tr>
      <w:tr>
        <w:trPr>
          <w:trHeight w:val="398" w:hRule="atLeast"/>
        </w:trPr>
        <w:tc>
          <w:tcPr>
            <w:tcW w:w="3618" w:type="dxa"/>
            <w:vAlign w:val="top"/>
            <w:tcBorders>
              <w:bottom w:val="single" w:color="000000" w:sz="2" w:space="0"/>
              <w:top w:val="single" w:color="000000" w:sz="2" w:space="0"/>
            </w:tcBorders>
          </w:tcPr>
          <w:p>
            <w:pPr>
              <w:pStyle w:val="TableText"/>
              <w:ind w:left="79"/>
              <w:spacing w:before="130" w:line="220" w:lineRule="auto"/>
              <w:rPr>
                <w:sz w:val="9"/>
                <w:szCs w:val="9"/>
              </w:rPr>
            </w:pPr>
            <w:r>
              <w:rPr>
                <w:sz w:val="18"/>
                <w:szCs w:val="18"/>
                <w:spacing w:val="-2"/>
              </w:rPr>
              <w:t>风险加权资产</w:t>
            </w:r>
            <w:r>
              <w:rPr>
                <w:sz w:val="18"/>
                <w:szCs w:val="18"/>
                <w:spacing w:val="-34"/>
              </w:rPr>
              <w:t xml:space="preserve"> </w:t>
            </w:r>
            <w:r>
              <w:rPr>
                <w:sz w:val="9"/>
                <w:szCs w:val="9"/>
                <w:spacing w:val="-2"/>
                <w:position w:val="8"/>
              </w:rPr>
              <w:t>3</w:t>
            </w:r>
          </w:p>
        </w:tc>
        <w:tc>
          <w:tcPr>
            <w:shd w:val="clear" w:fill="DBE5F1"/>
            <w:tcW w:w="489" w:type="dxa"/>
            <w:vAlign w:val="top"/>
            <w:tcBorders>
              <w:bottom w:val="single" w:color="000000" w:sz="2" w:space="0"/>
              <w:top w:val="single" w:color="000000" w:sz="2" w:space="0"/>
            </w:tcBorders>
          </w:tcPr>
          <w:p>
            <w:pPr>
              <w:spacing w:before="3" w:line="384" w:lineRule="exact"/>
              <w:rPr/>
            </w:pPr>
            <w:r>
              <w:rPr>
                <w:position w:val="-8"/>
              </w:rPr>
              <w:pict>
                <v:shape id="_x0000_s66" style="mso-position-vertical-relative:line;mso-position-horizontal-relative:char;width:2.9pt;height:19.7pt;" fillcolor="#DBE5F1" filled="true" stroked="false" coordsize="58,394" coordorigin="0,0" path="m0,393l57,393l57,0l0,0l0,393xe"/>
              </w:pict>
            </w:r>
          </w:p>
        </w:tc>
        <w:tc>
          <w:tcPr>
            <w:shd w:val="clear" w:fill="DBE5F1"/>
            <w:tcW w:w="1070" w:type="dxa"/>
            <w:vAlign w:val="top"/>
            <w:tcBorders>
              <w:bottom w:val="single" w:color="000000" w:sz="2" w:space="0"/>
              <w:top w:val="single" w:color="000000" w:sz="2" w:space="0"/>
            </w:tcBorders>
          </w:tcPr>
          <w:p>
            <w:pPr>
              <w:ind w:left="297"/>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8,350,074</w:t>
            </w:r>
          </w:p>
        </w:tc>
        <w:tc>
          <w:tcPr>
            <w:tcW w:w="4592" w:type="dxa"/>
            <w:vAlign w:val="top"/>
            <w:tcBorders>
              <w:bottom w:val="single" w:color="000000" w:sz="2" w:space="0"/>
              <w:top w:val="single" w:color="000000" w:sz="2" w:space="0"/>
            </w:tcBorders>
          </w:tcPr>
          <w:p>
            <w:pPr>
              <w:ind w:left="783"/>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7,379,912                    13.15</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1"/>
              </w:rPr>
              <w:t>6,695,462</w:t>
            </w:r>
          </w:p>
        </w:tc>
      </w:tr>
      <w:tr>
        <w:trPr>
          <w:trHeight w:val="398" w:hRule="atLeast"/>
        </w:trPr>
        <w:tc>
          <w:tcPr>
            <w:tcW w:w="3618" w:type="dxa"/>
            <w:vAlign w:val="top"/>
            <w:tcBorders>
              <w:bottom w:val="single" w:color="000000" w:sz="2" w:space="0"/>
              <w:top w:val="single" w:color="000000" w:sz="2" w:space="0"/>
            </w:tcBorders>
          </w:tcPr>
          <w:p>
            <w:pPr>
              <w:pStyle w:val="TableText"/>
              <w:ind w:left="79"/>
              <w:spacing w:before="130" w:line="220" w:lineRule="auto"/>
              <w:rPr>
                <w:sz w:val="18"/>
                <w:szCs w:val="18"/>
              </w:rPr>
            </w:pPr>
            <w:r>
              <w:rPr>
                <w:sz w:val="18"/>
                <w:szCs w:val="18"/>
                <w:b/>
                <w:bCs/>
                <w:spacing w:val="-4"/>
              </w:rPr>
              <w:t>每股计</w:t>
            </w:r>
          </w:p>
        </w:tc>
        <w:tc>
          <w:tcPr>
            <w:shd w:val="clear" w:fill="DBE5F1"/>
            <w:tcW w:w="1559" w:type="dxa"/>
            <w:vAlign w:val="top"/>
            <w:gridSpan w:val="2"/>
            <w:tcBorders>
              <w:bottom w:val="single" w:color="000000" w:sz="2" w:space="0"/>
              <w:top w:val="single" w:color="000000" w:sz="2" w:space="0"/>
            </w:tcBorders>
          </w:tcPr>
          <w:p>
            <w:pPr>
              <w:spacing w:before="4" w:line="383" w:lineRule="exact"/>
              <w:rPr/>
            </w:pPr>
            <w:r>
              <w:rPr>
                <w:position w:val="-8"/>
              </w:rPr>
              <w:pict>
                <v:shape id="_x0000_s68" style="mso-position-vertical-relative:line;mso-position-horizontal-relative:char;width:2.9pt;height:19.7pt;" fillcolor="#DBE5F1" filled="true" stroked="false" coordsize="58,394" coordorigin="0,0" path="m0,393l57,393l57,0l0,0l0,393xe"/>
              </w:pict>
            </w:r>
          </w:p>
        </w:tc>
        <w:tc>
          <w:tcPr>
            <w:tcW w:w="4592" w:type="dxa"/>
            <w:vAlign w:val="top"/>
            <w:tcBorders>
              <w:bottom w:val="single" w:color="000000" w:sz="2" w:space="0"/>
              <w:top w:val="single" w:color="000000" w:sz="2" w:space="0"/>
            </w:tcBorders>
          </w:tcPr>
          <w:p>
            <w:pPr>
              <w:pStyle w:val="TableText"/>
              <w:ind w:left="2296"/>
              <w:spacing w:before="130" w:line="217" w:lineRule="auto"/>
              <w:rPr>
                <w:sz w:val="18"/>
                <w:szCs w:val="18"/>
              </w:rPr>
            </w:pPr>
            <w:r>
              <w:rPr>
                <w:sz w:val="18"/>
                <w:szCs w:val="18"/>
                <w:spacing w:val="7"/>
              </w:rPr>
              <w:t>(除另有标明外,人民币元)</w:t>
            </w:r>
          </w:p>
        </w:tc>
      </w:tr>
      <w:tr>
        <w:trPr>
          <w:trHeight w:val="400" w:hRule="atLeast"/>
        </w:trPr>
        <w:tc>
          <w:tcPr>
            <w:tcW w:w="3618" w:type="dxa"/>
            <w:vAlign w:val="top"/>
            <w:tcBorders>
              <w:bottom w:val="single" w:color="000000" w:sz="2" w:space="0"/>
              <w:top w:val="single" w:color="000000" w:sz="2" w:space="0"/>
            </w:tcBorders>
          </w:tcPr>
          <w:p>
            <w:pPr>
              <w:pStyle w:val="TableText"/>
              <w:ind w:left="79"/>
              <w:spacing w:before="124" w:line="225" w:lineRule="auto"/>
              <w:rPr>
                <w:rFonts w:ascii="Times New Roman" w:hAnsi="Times New Roman" w:eastAsia="Times New Roman" w:cs="Times New Roman"/>
                <w:sz w:val="12"/>
                <w:szCs w:val="12"/>
              </w:rPr>
            </w:pPr>
            <w:r>
              <w:rPr>
                <w:sz w:val="18"/>
                <w:szCs w:val="18"/>
                <w:spacing w:val="-1"/>
              </w:rPr>
              <w:t>基本及稀释每股收益</w:t>
            </w:r>
            <w:r>
              <w:rPr>
                <w:sz w:val="18"/>
                <w:szCs w:val="18"/>
                <w:spacing w:val="-41"/>
              </w:rPr>
              <w:t xml:space="preserve"> </w:t>
            </w:r>
            <w:r>
              <w:rPr>
                <w:rFonts w:ascii="Times New Roman" w:hAnsi="Times New Roman" w:eastAsia="Times New Roman" w:cs="Times New Roman"/>
                <w:sz w:val="12"/>
                <w:szCs w:val="12"/>
                <w:spacing w:val="-1"/>
                <w:position w:val="7"/>
              </w:rPr>
              <w:t>4</w:t>
            </w:r>
          </w:p>
        </w:tc>
        <w:tc>
          <w:tcPr>
            <w:shd w:val="clear" w:fill="DBE5F1"/>
            <w:tcW w:w="489" w:type="dxa"/>
            <w:vAlign w:val="top"/>
            <w:tcBorders>
              <w:bottom w:val="single" w:color="000000" w:sz="2" w:space="0"/>
              <w:top w:val="single" w:color="000000" w:sz="2" w:space="0"/>
            </w:tcBorders>
          </w:tcPr>
          <w:p>
            <w:pPr>
              <w:spacing w:before="4" w:line="385" w:lineRule="exact"/>
              <w:rPr/>
            </w:pPr>
            <w:r>
              <w:rPr>
                <w:position w:val="-8"/>
              </w:rPr>
              <w:pict>
                <v:shape id="_x0000_s70" style="mso-position-vertical-relative:line;mso-position-horizontal-relative:char;width:2.9pt;height:19.85pt;" fillcolor="#DBE5F1" filled="true" stroked="false" coordsize="58,397" coordorigin="0,0" path="m0,396l57,396l57,0l0,0l0,396xe"/>
              </w:pict>
            </w:r>
          </w:p>
        </w:tc>
        <w:tc>
          <w:tcPr>
            <w:shd w:val="clear" w:fill="DBE5F1"/>
            <w:tcW w:w="1070" w:type="dxa"/>
            <w:vAlign w:val="top"/>
            <w:tcBorders>
              <w:bottom w:val="single" w:color="000000" w:sz="2" w:space="0"/>
              <w:top w:val="single" w:color="000000" w:sz="2" w:space="0"/>
            </w:tcBorders>
          </w:tcPr>
          <w:p>
            <w:pPr>
              <w:ind w:left="710"/>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1.14</w:t>
            </w:r>
          </w:p>
        </w:tc>
        <w:tc>
          <w:tcPr>
            <w:tcW w:w="4592" w:type="dxa"/>
            <w:vAlign w:val="top"/>
            <w:tcBorders>
              <w:bottom w:val="single" w:color="000000" w:sz="2" w:space="0"/>
              <w:top w:val="single" w:color="000000" w:sz="2" w:space="0"/>
            </w:tcBorders>
          </w:tcPr>
          <w:p>
            <w:pPr>
              <w:ind w:left="1203"/>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1.10</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spacing w:val="-2"/>
              </w:rPr>
              <w:t>3.64                                 0.99</w:t>
            </w:r>
          </w:p>
        </w:tc>
      </w:tr>
      <w:tr>
        <w:trPr>
          <w:trHeight w:val="398" w:hRule="atLeast"/>
        </w:trPr>
        <w:tc>
          <w:tcPr>
            <w:tcW w:w="3618" w:type="dxa"/>
            <w:vAlign w:val="top"/>
            <w:tcBorders>
              <w:bottom w:val="single" w:color="000000" w:sz="2" w:space="0"/>
              <w:top w:val="single" w:color="000000" w:sz="2" w:space="0"/>
            </w:tcBorders>
          </w:tcPr>
          <w:p>
            <w:pPr>
              <w:pStyle w:val="TableText"/>
              <w:ind w:left="81"/>
              <w:spacing w:before="125" w:line="225" w:lineRule="auto"/>
              <w:rPr>
                <w:rFonts w:ascii="Times New Roman" w:hAnsi="Times New Roman" w:eastAsia="Times New Roman" w:cs="Times New Roman"/>
                <w:sz w:val="12"/>
                <w:szCs w:val="12"/>
              </w:rPr>
            </w:pPr>
            <w:r>
              <w:rPr>
                <w:sz w:val="18"/>
                <w:szCs w:val="18"/>
                <w:spacing w:val="-2"/>
              </w:rPr>
              <w:t>扣除非经常性损益后的基本每股收益</w:t>
            </w:r>
            <w:r>
              <w:rPr>
                <w:sz w:val="18"/>
                <w:szCs w:val="18"/>
                <w:spacing w:val="-26"/>
              </w:rPr>
              <w:t xml:space="preserve"> </w:t>
            </w:r>
            <w:r>
              <w:rPr>
                <w:rFonts w:ascii="Times New Roman" w:hAnsi="Times New Roman" w:eastAsia="Times New Roman" w:cs="Times New Roman"/>
                <w:sz w:val="12"/>
                <w:szCs w:val="12"/>
                <w:spacing w:val="-2"/>
                <w:position w:val="7"/>
              </w:rPr>
              <w:t>1</w:t>
            </w:r>
            <w:r>
              <w:rPr>
                <w:sz w:val="9"/>
                <w:szCs w:val="9"/>
                <w:spacing w:val="-2"/>
                <w:position w:val="8"/>
              </w:rPr>
              <w:t>,</w:t>
            </w:r>
            <w:r>
              <w:rPr>
                <w:sz w:val="9"/>
                <w:szCs w:val="9"/>
                <w:spacing w:val="12"/>
                <w:w w:val="101"/>
                <w:position w:val="8"/>
              </w:rPr>
              <w:t xml:space="preserve"> </w:t>
            </w:r>
            <w:r>
              <w:rPr>
                <w:rFonts w:ascii="Times New Roman" w:hAnsi="Times New Roman" w:eastAsia="Times New Roman" w:cs="Times New Roman"/>
                <w:sz w:val="12"/>
                <w:szCs w:val="12"/>
                <w:spacing w:val="-2"/>
                <w:position w:val="7"/>
              </w:rPr>
              <w:t>4</w:t>
            </w:r>
          </w:p>
        </w:tc>
        <w:tc>
          <w:tcPr>
            <w:shd w:val="clear" w:fill="DBE5F1"/>
            <w:tcW w:w="489" w:type="dxa"/>
            <w:vAlign w:val="top"/>
            <w:tcBorders>
              <w:bottom w:val="single" w:color="000000" w:sz="2" w:space="0"/>
              <w:top w:val="single" w:color="000000" w:sz="2" w:space="0"/>
            </w:tcBorders>
          </w:tcPr>
          <w:p>
            <w:pPr>
              <w:spacing w:before="4" w:line="384" w:lineRule="exact"/>
              <w:rPr/>
            </w:pPr>
            <w:r>
              <w:rPr>
                <w:position w:val="-8"/>
              </w:rPr>
              <w:pict>
                <v:shape id="_x0000_s72" style="mso-position-vertical-relative:line;mso-position-horizontal-relative:char;width:2.9pt;height:19.7pt;" fillcolor="#DBE5F1" filled="true" stroked="false" coordsize="58,394" coordorigin="0,0" path="m0,393l57,393l57,0l0,0l0,393xe"/>
              </w:pict>
            </w:r>
          </w:p>
        </w:tc>
        <w:tc>
          <w:tcPr>
            <w:shd w:val="clear" w:fill="DBE5F1"/>
            <w:tcW w:w="1070" w:type="dxa"/>
            <w:vAlign w:val="top"/>
            <w:tcBorders>
              <w:bottom w:val="single" w:color="000000" w:sz="2" w:space="0"/>
              <w:top w:val="single" w:color="000000" w:sz="2" w:space="0"/>
            </w:tcBorders>
          </w:tcPr>
          <w:p>
            <w:pPr>
              <w:ind w:left="710"/>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1.13</w:t>
            </w:r>
          </w:p>
        </w:tc>
        <w:tc>
          <w:tcPr>
            <w:tcW w:w="4592" w:type="dxa"/>
            <w:vAlign w:val="top"/>
            <w:tcBorders>
              <w:bottom w:val="single" w:color="000000" w:sz="2" w:space="0"/>
              <w:top w:val="single" w:color="000000" w:sz="2" w:space="0"/>
            </w:tcBorders>
          </w:tcPr>
          <w:p>
            <w:pPr>
              <w:ind w:left="1203"/>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1.10                      2.73              </w:t>
            </w:r>
            <w:r>
              <w:rPr>
                <w:rFonts w:ascii="Times New Roman" w:hAnsi="Times New Roman" w:eastAsia="Times New Roman" w:cs="Times New Roman"/>
                <w:sz w:val="18"/>
                <w:szCs w:val="18"/>
                <w:spacing w:val="-2"/>
              </w:rPr>
              <w:t xml:space="preserve">                   0.98</w:t>
            </w:r>
          </w:p>
        </w:tc>
      </w:tr>
      <w:tr>
        <w:trPr>
          <w:trHeight w:val="403" w:hRule="atLeast"/>
        </w:trPr>
        <w:tc>
          <w:tcPr>
            <w:tcW w:w="3618" w:type="dxa"/>
            <w:vAlign w:val="top"/>
            <w:tcBorders>
              <w:bottom w:val="single" w:color="000000" w:sz="2" w:space="0"/>
              <w:top w:val="single" w:color="000000" w:sz="2" w:space="0"/>
            </w:tcBorders>
          </w:tcPr>
          <w:p>
            <w:pPr>
              <w:pStyle w:val="TableText"/>
              <w:ind w:left="79"/>
              <w:spacing w:before="127" w:line="224" w:lineRule="auto"/>
              <w:rPr>
                <w:rFonts w:ascii="Times New Roman" w:hAnsi="Times New Roman" w:eastAsia="Times New Roman" w:cs="Times New Roman"/>
                <w:sz w:val="12"/>
                <w:szCs w:val="12"/>
              </w:rPr>
            </w:pPr>
            <w:r>
              <w:rPr>
                <w:sz w:val="18"/>
                <w:szCs w:val="18"/>
                <w:spacing w:val="4"/>
              </w:rPr>
              <w:t>每股净资产(归属于母公司普通股股东) </w:t>
            </w:r>
            <w:r>
              <w:rPr>
                <w:rFonts w:ascii="Times New Roman" w:hAnsi="Times New Roman" w:eastAsia="Times New Roman" w:cs="Times New Roman"/>
                <w:sz w:val="12"/>
                <w:szCs w:val="12"/>
                <w:spacing w:val="4"/>
                <w:position w:val="7"/>
              </w:rPr>
              <w:t>5</w:t>
            </w:r>
          </w:p>
        </w:tc>
        <w:tc>
          <w:tcPr>
            <w:shd w:val="clear" w:fill="DBE5F1"/>
            <w:tcW w:w="489" w:type="dxa"/>
            <w:vAlign w:val="top"/>
            <w:tcBorders>
              <w:bottom w:val="single" w:color="000000" w:sz="2" w:space="0"/>
              <w:top w:val="single" w:color="000000" w:sz="2" w:space="0"/>
            </w:tcBorders>
          </w:tcPr>
          <w:p>
            <w:pPr>
              <w:spacing w:before="5" w:line="388" w:lineRule="exact"/>
              <w:rPr/>
            </w:pPr>
            <w:r>
              <w:rPr>
                <w:position w:val="-8"/>
              </w:rPr>
              <w:pict>
                <v:shape id="_x0000_s74" style="mso-position-vertical-relative:line;mso-position-horizontal-relative:char;width:2.9pt;height:19.75pt;" fillcolor="#DBE5F1" filled="true" stroked="false" coordsize="58,395" coordorigin="0,0" path="m0,394l57,394l57,0l0,0l0,394xe"/>
              </w:pict>
            </w:r>
          </w:p>
        </w:tc>
        <w:tc>
          <w:tcPr>
            <w:shd w:val="clear" w:fill="DBE5F1"/>
            <w:tcW w:w="1070" w:type="dxa"/>
            <w:vAlign w:val="top"/>
            <w:tcBorders>
              <w:bottom w:val="single" w:color="000000" w:sz="2" w:space="0"/>
              <w:top w:val="single" w:color="000000" w:sz="2" w:space="0"/>
            </w:tcBorders>
          </w:tcPr>
          <w:p>
            <w:pPr>
              <w:ind w:left="629"/>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4"/>
              </w:rPr>
              <w:t>11.43</w:t>
            </w:r>
          </w:p>
        </w:tc>
        <w:tc>
          <w:tcPr>
            <w:tcW w:w="4592" w:type="dxa"/>
            <w:vAlign w:val="top"/>
            <w:tcBorders>
              <w:bottom w:val="single" w:color="000000" w:sz="2" w:space="0"/>
              <w:top w:val="single" w:color="000000" w:sz="2" w:space="0"/>
            </w:tcBorders>
          </w:tcPr>
          <w:p>
            <w:pPr>
              <w:ind w:left="1111"/>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10.64                      7.42                 </w:t>
            </w:r>
            <w:r>
              <w:rPr>
                <w:rFonts w:ascii="Times New Roman" w:hAnsi="Times New Roman" w:eastAsia="Times New Roman" w:cs="Times New Roman"/>
                <w:sz w:val="18"/>
                <w:szCs w:val="18"/>
                <w:spacing w:val="-2"/>
              </w:rPr>
              <w:t xml:space="preserve">                9.87</w:t>
            </w:r>
          </w:p>
        </w:tc>
      </w:tr>
    </w:tbl>
    <w:p>
      <w:pPr>
        <w:pStyle w:val="BodyText"/>
        <w:rPr/>
      </w:pPr>
      <w:r/>
    </w:p>
    <w:p>
      <w:pPr>
        <w:sectPr>
          <w:footerReference w:type="default" r:id="rId12"/>
          <w:pgSz w:w="11907" w:h="16839"/>
          <w:pgMar w:top="1164" w:right="1075" w:bottom="1375" w:left="1060" w:header="0" w:footer="1211" w:gutter="0"/>
        </w:sectPr>
        <w:rPr/>
      </w:pPr>
    </w:p>
    <w:p>
      <w:pPr>
        <w:spacing w:before="22"/>
        <w:rPr/>
      </w:pPr>
      <w:r/>
    </w:p>
    <w:tbl>
      <w:tblPr>
        <w:tblStyle w:val="TableNormal"/>
        <w:tblW w:w="9770"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618"/>
        <w:gridCol w:w="604"/>
        <w:gridCol w:w="912"/>
        <w:gridCol w:w="1857"/>
        <w:gridCol w:w="1629"/>
        <w:gridCol w:w="1150"/>
      </w:tblGrid>
      <w:tr>
        <w:trPr>
          <w:trHeight w:val="741" w:hRule="atLeast"/>
        </w:trPr>
        <w:tc>
          <w:tcPr>
            <w:tcW w:w="3618" w:type="dxa"/>
            <w:vAlign w:val="top"/>
            <w:tcBorders>
              <w:bottom w:val="single" w:color="000000" w:sz="2" w:space="0"/>
              <w:top w:val="single" w:color="000000" w:sz="2" w:space="0"/>
            </w:tcBorders>
          </w:tcPr>
          <w:p>
            <w:pPr>
              <w:pStyle w:val="TableText"/>
              <w:ind w:left="80"/>
              <w:spacing w:before="299" w:line="220" w:lineRule="auto"/>
              <w:rPr>
                <w:sz w:val="18"/>
                <w:szCs w:val="18"/>
              </w:rPr>
            </w:pPr>
            <w:r>
              <w:rPr>
                <w:sz w:val="18"/>
                <w:szCs w:val="18"/>
                <w:b/>
                <w:bCs/>
                <w:spacing w:val="9"/>
              </w:rPr>
              <w:t>主要财务指标(</w:t>
            </w:r>
            <w:r>
              <w:rPr>
                <w:rFonts w:ascii="Times New Roman" w:hAnsi="Times New Roman" w:eastAsia="Times New Roman" w:cs="Times New Roman"/>
                <w:sz w:val="18"/>
                <w:szCs w:val="18"/>
                <w:b/>
                <w:bCs/>
                <w:spacing w:val="9"/>
              </w:rPr>
              <w:t>%</w:t>
            </w:r>
            <w:r>
              <w:rPr>
                <w:sz w:val="18"/>
                <w:szCs w:val="18"/>
                <w:b/>
                <w:bCs/>
                <w:spacing w:val="9"/>
              </w:rPr>
              <w:t>)</w:t>
            </w:r>
          </w:p>
        </w:tc>
        <w:tc>
          <w:tcPr>
            <w:shd w:val="clear" w:fill="DBE5F1"/>
            <w:tcW w:w="1516" w:type="dxa"/>
            <w:vAlign w:val="top"/>
            <w:gridSpan w:val="2"/>
            <w:tcBorders>
              <w:bottom w:val="single" w:color="000000" w:sz="2" w:space="0"/>
              <w:top w:val="single" w:color="000000" w:sz="2" w:space="0"/>
            </w:tcBorders>
          </w:tcPr>
          <w:p>
            <w:pPr>
              <w:pStyle w:val="TableText"/>
              <w:ind w:left="877"/>
              <w:spacing w:before="299" w:line="220" w:lineRule="auto"/>
              <w:rPr>
                <w:sz w:val="18"/>
                <w:szCs w:val="18"/>
              </w:rPr>
            </w:pPr>
            <w:r>
              <w:rPr>
                <w:rFonts w:ascii="Times New Roman" w:hAnsi="Times New Roman" w:eastAsia="Times New Roman" w:cs="Times New Roman"/>
                <w:sz w:val="18"/>
                <w:szCs w:val="18"/>
                <w:b/>
                <w:bCs/>
                <w:spacing w:val="-2"/>
              </w:rPr>
              <w:t>2022</w:t>
            </w:r>
            <w:r>
              <w:rPr>
                <w:rFonts w:ascii="Times New Roman" w:hAnsi="Times New Roman" w:eastAsia="Times New Roman" w:cs="Times New Roman"/>
                <w:sz w:val="18"/>
                <w:szCs w:val="18"/>
                <w:b/>
                <w:bCs/>
                <w:spacing w:val="11"/>
              </w:rPr>
              <w:t xml:space="preserve"> </w:t>
            </w:r>
            <w:r>
              <w:rPr>
                <w:sz w:val="18"/>
                <w:szCs w:val="18"/>
                <w:b/>
                <w:bCs/>
                <w:spacing w:val="-2"/>
              </w:rPr>
              <w:t>年</w:t>
            </w:r>
          </w:p>
        </w:tc>
        <w:tc>
          <w:tcPr>
            <w:tcW w:w="1857" w:type="dxa"/>
            <w:vAlign w:val="top"/>
            <w:tcBorders>
              <w:bottom w:val="single" w:color="000000" w:sz="2" w:space="0"/>
              <w:top w:val="single" w:color="000000" w:sz="2" w:space="0"/>
            </w:tcBorders>
          </w:tcPr>
          <w:p>
            <w:pPr>
              <w:pStyle w:val="TableText"/>
              <w:ind w:left="960"/>
              <w:spacing w:before="299" w:line="220" w:lineRule="auto"/>
              <w:rPr>
                <w:sz w:val="18"/>
                <w:szCs w:val="18"/>
              </w:rPr>
            </w:pPr>
            <w:r>
              <w:rPr>
                <w:rFonts w:ascii="Times New Roman" w:hAnsi="Times New Roman" w:eastAsia="Times New Roman" w:cs="Times New Roman"/>
                <w:sz w:val="18"/>
                <w:szCs w:val="18"/>
                <w:b/>
                <w:bCs/>
                <w:spacing w:val="-2"/>
              </w:rPr>
              <w:t>2021</w:t>
            </w:r>
            <w:r>
              <w:rPr>
                <w:rFonts w:ascii="Times New Roman" w:hAnsi="Times New Roman" w:eastAsia="Times New Roman" w:cs="Times New Roman"/>
                <w:sz w:val="18"/>
                <w:szCs w:val="18"/>
                <w:b/>
                <w:bCs/>
                <w:spacing w:val="11"/>
              </w:rPr>
              <w:t xml:space="preserve"> </w:t>
            </w:r>
            <w:r>
              <w:rPr>
                <w:sz w:val="18"/>
                <w:szCs w:val="18"/>
                <w:b/>
                <w:bCs/>
                <w:spacing w:val="-2"/>
              </w:rPr>
              <w:t>年</w:t>
            </w:r>
          </w:p>
        </w:tc>
        <w:tc>
          <w:tcPr>
            <w:tcW w:w="1629" w:type="dxa"/>
            <w:vAlign w:val="top"/>
            <w:tcBorders>
              <w:bottom w:val="single" w:color="000000" w:sz="2" w:space="0"/>
              <w:top w:val="single" w:color="000000" w:sz="2" w:space="0"/>
            </w:tcBorders>
          </w:tcPr>
          <w:p>
            <w:pPr>
              <w:pStyle w:val="TableText"/>
              <w:ind w:left="767"/>
              <w:spacing w:before="130" w:line="336" w:lineRule="exact"/>
              <w:rPr>
                <w:sz w:val="18"/>
                <w:szCs w:val="18"/>
              </w:rPr>
            </w:pPr>
            <w:r>
              <w:rPr>
                <w:sz w:val="18"/>
                <w:szCs w:val="18"/>
                <w:b/>
                <w:bCs/>
                <w:spacing w:val="-4"/>
                <w:position w:val="11"/>
              </w:rPr>
              <w:t>变化</w:t>
            </w:r>
          </w:p>
          <w:p>
            <w:pPr>
              <w:pStyle w:val="TableText"/>
              <w:ind w:left="321"/>
              <w:spacing w:line="220" w:lineRule="auto"/>
              <w:rPr>
                <w:sz w:val="18"/>
                <w:szCs w:val="18"/>
              </w:rPr>
            </w:pPr>
            <w:r>
              <w:rPr>
                <w:sz w:val="18"/>
                <w:szCs w:val="18"/>
                <w:b/>
                <w:bCs/>
              </w:rPr>
              <w:t>(百分点)</w:t>
            </w:r>
          </w:p>
        </w:tc>
        <w:tc>
          <w:tcPr>
            <w:tcW w:w="1150" w:type="dxa"/>
            <w:vAlign w:val="top"/>
            <w:tcBorders>
              <w:bottom w:val="single" w:color="000000" w:sz="2" w:space="0"/>
              <w:top w:val="single" w:color="000000" w:sz="2" w:space="0"/>
            </w:tcBorders>
          </w:tcPr>
          <w:p>
            <w:pPr>
              <w:pStyle w:val="TableText"/>
              <w:ind w:left="511"/>
              <w:spacing w:before="299" w:line="220" w:lineRule="auto"/>
              <w:rPr>
                <w:sz w:val="18"/>
                <w:szCs w:val="18"/>
              </w:rPr>
            </w:pPr>
            <w:r>
              <w:rPr>
                <w:rFonts w:ascii="Times New Roman" w:hAnsi="Times New Roman" w:eastAsia="Times New Roman" w:cs="Times New Roman"/>
                <w:sz w:val="18"/>
                <w:szCs w:val="18"/>
                <w:b/>
                <w:bCs/>
                <w:spacing w:val="-2"/>
              </w:rPr>
              <w:t>2020</w:t>
            </w:r>
            <w:r>
              <w:rPr>
                <w:rFonts w:ascii="Times New Roman" w:hAnsi="Times New Roman" w:eastAsia="Times New Roman" w:cs="Times New Roman"/>
                <w:sz w:val="18"/>
                <w:szCs w:val="18"/>
                <w:b/>
                <w:bCs/>
                <w:spacing w:val="11"/>
              </w:rPr>
              <w:t xml:space="preserve"> </w:t>
            </w:r>
            <w:r>
              <w:rPr>
                <w:sz w:val="18"/>
                <w:szCs w:val="18"/>
                <w:b/>
                <w:bCs/>
                <w:spacing w:val="-2"/>
              </w:rPr>
              <w:t>年</w:t>
            </w:r>
          </w:p>
        </w:tc>
      </w:tr>
      <w:tr>
        <w:trPr>
          <w:trHeight w:val="398" w:hRule="atLeast"/>
        </w:trPr>
        <w:tc>
          <w:tcPr>
            <w:tcW w:w="3618" w:type="dxa"/>
            <w:vAlign w:val="top"/>
            <w:tcBorders>
              <w:bottom w:val="single" w:color="000000" w:sz="2" w:space="0"/>
              <w:top w:val="single" w:color="000000" w:sz="2" w:space="0"/>
            </w:tcBorders>
          </w:tcPr>
          <w:p>
            <w:pPr>
              <w:pStyle w:val="TableText"/>
              <w:ind w:left="78"/>
              <w:spacing w:before="126" w:line="220" w:lineRule="auto"/>
              <w:rPr>
                <w:sz w:val="18"/>
                <w:szCs w:val="18"/>
              </w:rPr>
            </w:pPr>
            <w:r>
              <w:rPr>
                <w:sz w:val="18"/>
                <w:szCs w:val="18"/>
                <w:spacing w:val="-1"/>
              </w:rPr>
              <w:t>平均资产回报率</w:t>
            </w:r>
          </w:p>
        </w:tc>
        <w:tc>
          <w:tcPr>
            <w:shd w:val="clear" w:fill="DBE5F1"/>
            <w:tcW w:w="604" w:type="dxa"/>
            <w:vAlign w:val="top"/>
            <w:tcBorders>
              <w:bottom w:val="single" w:color="000000" w:sz="2" w:space="0"/>
              <w:top w:val="single" w:color="000000" w:sz="2" w:space="0"/>
            </w:tcBorders>
          </w:tcPr>
          <w:p>
            <w:pPr>
              <w:spacing w:line="388" w:lineRule="exact"/>
              <w:rPr/>
            </w:pPr>
            <w:r>
              <w:rPr>
                <w:position w:val="-8"/>
              </w:rPr>
              <w:pict>
                <v:shape id="_x0000_s76" style="mso-position-vertical-relative:line;mso-position-horizontal-relative:char;width:2.9pt;height:19.7pt;" fillcolor="#DBE5F1" filled="true" stroked="false" coordsize="58,394" coordorigin="0,0" path="m0,393l57,393l57,0l0,0l0,393xe"/>
              </w:pict>
            </w:r>
          </w:p>
        </w:tc>
        <w:tc>
          <w:tcPr>
            <w:shd w:val="clear" w:fill="DBE5F1"/>
            <w:tcW w:w="912" w:type="dxa"/>
            <w:vAlign w:val="top"/>
            <w:tcBorders>
              <w:bottom w:val="single" w:color="000000" w:sz="2" w:space="0"/>
              <w:top w:val="single" w:color="000000" w:sz="2" w:space="0"/>
            </w:tcBorders>
          </w:tcPr>
          <w:p>
            <w:pPr>
              <w:ind w:left="547"/>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0.75</w:t>
            </w:r>
          </w:p>
        </w:tc>
        <w:tc>
          <w:tcPr>
            <w:tcW w:w="1857" w:type="dxa"/>
            <w:vAlign w:val="top"/>
            <w:tcBorders>
              <w:bottom w:val="single" w:color="000000" w:sz="2" w:space="0"/>
              <w:top w:val="single" w:color="000000" w:sz="2" w:space="0"/>
            </w:tcBorders>
          </w:tcPr>
          <w:p>
            <w:pPr>
              <w:ind w:left="1233"/>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0.80</w:t>
            </w:r>
          </w:p>
        </w:tc>
        <w:tc>
          <w:tcPr>
            <w:tcW w:w="1629" w:type="dxa"/>
            <w:vAlign w:val="top"/>
            <w:tcBorders>
              <w:bottom w:val="single" w:color="000000" w:sz="2" w:space="0"/>
              <w:top w:val="single" w:color="000000" w:sz="2" w:space="0"/>
            </w:tcBorders>
          </w:tcPr>
          <w:p>
            <w:pPr>
              <w:ind w:left="695"/>
              <w:spacing w:before="155"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(0.05)</w:t>
            </w:r>
          </w:p>
        </w:tc>
        <w:tc>
          <w:tcPr>
            <w:tcW w:w="1150" w:type="dxa"/>
            <w:vAlign w:val="top"/>
            <w:tcBorders>
              <w:bottom w:val="single" w:color="000000" w:sz="2" w:space="0"/>
              <w:top w:val="single" w:color="000000" w:sz="2" w:space="0"/>
            </w:tcBorders>
          </w:tcPr>
          <w:p>
            <w:pPr>
              <w:ind w:left="782"/>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0.77</w:t>
            </w:r>
          </w:p>
        </w:tc>
      </w:tr>
      <w:tr>
        <w:trPr>
          <w:trHeight w:val="398" w:hRule="atLeast"/>
        </w:trPr>
        <w:tc>
          <w:tcPr>
            <w:tcW w:w="3618" w:type="dxa"/>
            <w:vAlign w:val="top"/>
            <w:tcBorders>
              <w:bottom w:val="single" w:color="000000" w:sz="2" w:space="0"/>
              <w:top w:val="single" w:color="000000" w:sz="2" w:space="0"/>
            </w:tcBorders>
          </w:tcPr>
          <w:p>
            <w:pPr>
              <w:pStyle w:val="TableText"/>
              <w:ind w:left="79"/>
              <w:spacing w:before="120" w:line="226" w:lineRule="auto"/>
              <w:rPr>
                <w:rFonts w:ascii="Times New Roman" w:hAnsi="Times New Roman" w:eastAsia="Times New Roman" w:cs="Times New Roman"/>
                <w:sz w:val="12"/>
                <w:szCs w:val="12"/>
              </w:rPr>
            </w:pPr>
            <w:r>
              <w:rPr>
                <w:sz w:val="18"/>
                <w:szCs w:val="18"/>
                <w:spacing w:val="-1"/>
              </w:rPr>
              <w:t>加权平均净资产收益率</w:t>
            </w:r>
            <w:r>
              <w:rPr>
                <w:sz w:val="18"/>
                <w:szCs w:val="18"/>
                <w:spacing w:val="-40"/>
              </w:rPr>
              <w:t xml:space="preserve"> </w:t>
            </w:r>
            <w:r>
              <w:rPr>
                <w:rFonts w:ascii="Times New Roman" w:hAnsi="Times New Roman" w:eastAsia="Times New Roman" w:cs="Times New Roman"/>
                <w:sz w:val="12"/>
                <w:szCs w:val="12"/>
                <w:spacing w:val="-1"/>
                <w:position w:val="7"/>
              </w:rPr>
              <w:t>4</w:t>
            </w:r>
          </w:p>
        </w:tc>
        <w:tc>
          <w:tcPr>
            <w:shd w:val="clear" w:fill="DBE5F1"/>
            <w:tcW w:w="604" w:type="dxa"/>
            <w:vAlign w:val="top"/>
            <w:tcBorders>
              <w:bottom w:val="single" w:color="000000" w:sz="2" w:space="0"/>
              <w:top w:val="single" w:color="000000" w:sz="2" w:space="0"/>
            </w:tcBorders>
          </w:tcPr>
          <w:p>
            <w:pPr>
              <w:spacing w:line="388" w:lineRule="exact"/>
              <w:rPr/>
            </w:pPr>
            <w:r>
              <w:rPr>
                <w:position w:val="-8"/>
              </w:rPr>
              <w:pict>
                <v:shape id="_x0000_s78" style="mso-position-vertical-relative:line;mso-position-horizontal-relative:char;width:2.9pt;height:19.7pt;" fillcolor="#DBE5F1" filled="true" stroked="false" coordsize="58,394" coordorigin="0,0" path="m0,393l57,393l57,0l0,0l0,393xe"/>
              </w:pict>
            </w:r>
          </w:p>
        </w:tc>
        <w:tc>
          <w:tcPr>
            <w:shd w:val="clear" w:fill="DBE5F1"/>
            <w:tcW w:w="912" w:type="dxa"/>
            <w:vAlign w:val="top"/>
            <w:tcBorders>
              <w:bottom w:val="single" w:color="000000" w:sz="2" w:space="0"/>
              <w:top w:val="single" w:color="000000" w:sz="2" w:space="0"/>
            </w:tcBorders>
          </w:tcPr>
          <w:p>
            <w:pPr>
              <w:ind w:left="461"/>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10.33</w:t>
            </w:r>
          </w:p>
        </w:tc>
        <w:tc>
          <w:tcPr>
            <w:tcW w:w="1857" w:type="dxa"/>
            <w:vAlign w:val="top"/>
            <w:tcBorders>
              <w:bottom w:val="single" w:color="000000" w:sz="2" w:space="0"/>
              <w:top w:val="single" w:color="000000" w:sz="2" w:space="0"/>
            </w:tcBorders>
          </w:tcPr>
          <w:p>
            <w:pPr>
              <w:ind w:left="1157"/>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10.76</w:t>
            </w:r>
          </w:p>
        </w:tc>
        <w:tc>
          <w:tcPr>
            <w:tcW w:w="1629" w:type="dxa"/>
            <w:vAlign w:val="top"/>
            <w:tcBorders>
              <w:bottom w:val="single" w:color="000000" w:sz="2" w:space="0"/>
              <w:top w:val="single" w:color="000000" w:sz="2" w:space="0"/>
            </w:tcBorders>
          </w:tcPr>
          <w:p>
            <w:pPr>
              <w:ind w:left="695"/>
              <w:spacing w:before="100" w:line="236"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position w:val="3"/>
              </w:rPr>
              <w:t>(0.43)</w:t>
            </w:r>
          </w:p>
        </w:tc>
        <w:tc>
          <w:tcPr>
            <w:tcW w:w="1150" w:type="dxa"/>
            <w:vAlign w:val="top"/>
            <w:tcBorders>
              <w:bottom w:val="single" w:color="000000" w:sz="2" w:space="0"/>
              <w:top w:val="single" w:color="000000" w:sz="2" w:space="0"/>
            </w:tcBorders>
          </w:tcPr>
          <w:p>
            <w:pPr>
              <w:ind w:left="707"/>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10.35</w:t>
            </w:r>
          </w:p>
        </w:tc>
      </w:tr>
      <w:tr>
        <w:trPr>
          <w:trHeight w:val="678" w:hRule="atLeast"/>
        </w:trPr>
        <w:tc>
          <w:tcPr>
            <w:tcW w:w="3618" w:type="dxa"/>
            <w:vAlign w:val="top"/>
            <w:tcBorders>
              <w:bottom w:val="single" w:color="000000" w:sz="2" w:space="0"/>
              <w:top w:val="single" w:color="000000" w:sz="2" w:space="0"/>
            </w:tcBorders>
          </w:tcPr>
          <w:p>
            <w:pPr>
              <w:pStyle w:val="TableText"/>
              <w:ind w:left="80" w:right="126" w:firstLine="1"/>
              <w:spacing w:before="126" w:line="254" w:lineRule="auto"/>
              <w:rPr>
                <w:rFonts w:ascii="Times New Roman" w:hAnsi="Times New Roman" w:eastAsia="Times New Roman" w:cs="Times New Roman"/>
                <w:sz w:val="12"/>
                <w:szCs w:val="12"/>
              </w:rPr>
            </w:pPr>
            <w:r>
              <w:rPr>
                <w:sz w:val="18"/>
                <w:szCs w:val="18"/>
                <w:spacing w:val="-1"/>
              </w:rPr>
              <w:t>扣除非经常性损益后的加权平均净资产收益</w:t>
            </w:r>
            <w:r>
              <w:rPr>
                <w:sz w:val="18"/>
                <w:szCs w:val="18"/>
                <w:spacing w:val="8"/>
              </w:rPr>
              <w:t xml:space="preserve"> </w:t>
            </w:r>
            <w:r>
              <w:rPr>
                <w:sz w:val="18"/>
                <w:szCs w:val="18"/>
                <w:spacing w:val="-8"/>
                <w:position w:val="-2"/>
              </w:rPr>
              <w:t>率</w:t>
            </w:r>
            <w:r>
              <w:rPr>
                <w:sz w:val="18"/>
                <w:szCs w:val="18"/>
                <w:spacing w:val="-30"/>
                <w:position w:val="-2"/>
              </w:rPr>
              <w:t xml:space="preserve"> </w:t>
            </w:r>
            <w:r>
              <w:rPr>
                <w:rFonts w:ascii="Times New Roman" w:hAnsi="Times New Roman" w:eastAsia="Times New Roman" w:cs="Times New Roman"/>
                <w:sz w:val="12"/>
                <w:szCs w:val="12"/>
                <w:spacing w:val="-8"/>
                <w:position w:val="5"/>
              </w:rPr>
              <w:t>1</w:t>
            </w:r>
            <w:r>
              <w:rPr>
                <w:sz w:val="9"/>
                <w:szCs w:val="9"/>
                <w:spacing w:val="-8"/>
                <w:position w:val="6"/>
              </w:rPr>
              <w:t>,</w:t>
            </w:r>
            <w:r>
              <w:rPr>
                <w:sz w:val="9"/>
                <w:szCs w:val="9"/>
                <w:spacing w:val="12"/>
                <w:position w:val="6"/>
              </w:rPr>
              <w:t xml:space="preserve"> </w:t>
            </w:r>
            <w:r>
              <w:rPr>
                <w:rFonts w:ascii="Times New Roman" w:hAnsi="Times New Roman" w:eastAsia="Times New Roman" w:cs="Times New Roman"/>
                <w:sz w:val="12"/>
                <w:szCs w:val="12"/>
                <w:spacing w:val="-8"/>
                <w:position w:val="5"/>
              </w:rPr>
              <w:t>4</w:t>
            </w:r>
          </w:p>
        </w:tc>
        <w:tc>
          <w:tcPr>
            <w:shd w:val="clear" w:fill="DBE5F1"/>
            <w:tcW w:w="1516" w:type="dxa"/>
            <w:vAlign w:val="top"/>
            <w:gridSpan w:val="2"/>
            <w:tcBorders>
              <w:bottom w:val="single" w:color="000000" w:sz="2" w:space="0"/>
              <w:top w:val="single" w:color="000000" w:sz="2" w:space="0"/>
            </w:tcBorders>
          </w:tcPr>
          <w:p>
            <w:pPr>
              <w:spacing w:line="248" w:lineRule="auto"/>
              <w:rPr>
                <w:rFonts w:ascii="Arial"/>
                <w:sz w:val="21"/>
              </w:rPr>
            </w:pPr>
            <w:r/>
          </w:p>
          <w:p>
            <w:pPr>
              <w:ind w:left="1065"/>
              <w:spacing w:before="5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10.20</w:t>
            </w:r>
          </w:p>
        </w:tc>
        <w:tc>
          <w:tcPr>
            <w:tcW w:w="1857" w:type="dxa"/>
            <w:vAlign w:val="top"/>
            <w:tcBorders>
              <w:bottom w:val="single" w:color="000000" w:sz="2" w:space="0"/>
              <w:top w:val="single" w:color="000000" w:sz="2" w:space="0"/>
            </w:tcBorders>
          </w:tcPr>
          <w:p>
            <w:pPr>
              <w:spacing w:line="248" w:lineRule="auto"/>
              <w:rPr>
                <w:rFonts w:ascii="Arial"/>
                <w:sz w:val="21"/>
              </w:rPr>
            </w:pPr>
            <w:r/>
          </w:p>
          <w:p>
            <w:pPr>
              <w:ind w:left="1157"/>
              <w:spacing w:before="5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10.69</w:t>
            </w:r>
          </w:p>
        </w:tc>
        <w:tc>
          <w:tcPr>
            <w:tcW w:w="1629" w:type="dxa"/>
            <w:vAlign w:val="top"/>
            <w:tcBorders>
              <w:bottom w:val="single" w:color="000000" w:sz="2" w:space="0"/>
              <w:top w:val="single" w:color="000000" w:sz="2" w:space="0"/>
            </w:tcBorders>
          </w:tcPr>
          <w:p>
            <w:pPr>
              <w:ind w:left="695"/>
              <w:spacing w:before="241" w:line="237"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position w:val="3"/>
              </w:rPr>
              <w:t>(0.49)</w:t>
            </w:r>
          </w:p>
        </w:tc>
        <w:tc>
          <w:tcPr>
            <w:tcW w:w="1150" w:type="dxa"/>
            <w:vAlign w:val="top"/>
            <w:tcBorders>
              <w:bottom w:val="single" w:color="000000" w:sz="2" w:space="0"/>
              <w:top w:val="single" w:color="000000" w:sz="2" w:space="0"/>
            </w:tcBorders>
          </w:tcPr>
          <w:p>
            <w:pPr>
              <w:spacing w:line="248" w:lineRule="auto"/>
              <w:rPr>
                <w:rFonts w:ascii="Arial"/>
                <w:sz w:val="21"/>
              </w:rPr>
            </w:pPr>
            <w:r/>
          </w:p>
          <w:p>
            <w:pPr>
              <w:ind w:left="707"/>
              <w:spacing w:before="5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10.23</w:t>
            </w:r>
          </w:p>
        </w:tc>
      </w:tr>
      <w:tr>
        <w:trPr>
          <w:trHeight w:val="400" w:hRule="atLeast"/>
        </w:trPr>
        <w:tc>
          <w:tcPr>
            <w:tcW w:w="3618" w:type="dxa"/>
            <w:vAlign w:val="top"/>
            <w:tcBorders>
              <w:bottom w:val="single" w:color="000000" w:sz="2" w:space="0"/>
              <w:top w:val="single" w:color="000000" w:sz="2" w:space="0"/>
            </w:tcBorders>
          </w:tcPr>
          <w:p>
            <w:pPr>
              <w:pStyle w:val="TableText"/>
              <w:ind w:left="81"/>
              <w:spacing w:before="121" w:line="226" w:lineRule="auto"/>
              <w:rPr>
                <w:rFonts w:ascii="Times New Roman" w:hAnsi="Times New Roman" w:eastAsia="Times New Roman" w:cs="Times New Roman"/>
                <w:sz w:val="12"/>
                <w:szCs w:val="12"/>
              </w:rPr>
            </w:pPr>
            <w:r>
              <w:rPr>
                <w:sz w:val="18"/>
                <w:szCs w:val="18"/>
                <w:spacing w:val="-2"/>
              </w:rPr>
              <w:t>净利息收益率</w:t>
            </w:r>
            <w:r>
              <w:rPr>
                <w:sz w:val="18"/>
                <w:szCs w:val="18"/>
                <w:spacing w:val="-36"/>
              </w:rPr>
              <w:t xml:space="preserve"> </w:t>
            </w:r>
            <w:r>
              <w:rPr>
                <w:rFonts w:ascii="Times New Roman" w:hAnsi="Times New Roman" w:eastAsia="Times New Roman" w:cs="Times New Roman"/>
                <w:sz w:val="12"/>
                <w:szCs w:val="12"/>
                <w:spacing w:val="-2"/>
                <w:position w:val="7"/>
              </w:rPr>
              <w:t>6</w:t>
            </w:r>
          </w:p>
        </w:tc>
        <w:tc>
          <w:tcPr>
            <w:shd w:val="clear" w:fill="DBE5F1"/>
            <w:tcW w:w="604" w:type="dxa"/>
            <w:vAlign w:val="top"/>
            <w:tcBorders>
              <w:bottom w:val="single" w:color="000000" w:sz="2" w:space="0"/>
              <w:top w:val="single" w:color="000000" w:sz="2" w:space="0"/>
            </w:tcBorders>
          </w:tcPr>
          <w:p>
            <w:pPr>
              <w:spacing w:before="1" w:line="389" w:lineRule="exact"/>
              <w:rPr/>
            </w:pPr>
            <w:r>
              <w:rPr>
                <w:position w:val="-8"/>
              </w:rPr>
              <w:pict>
                <v:shape id="_x0000_s80" style="mso-position-vertical-relative:line;mso-position-horizontal-relative:char;width:2.9pt;height:19.8pt;" fillcolor="#DBE5F1" filled="true" stroked="false" coordsize="58,395" coordorigin="0,0" path="m0,395l57,395l57,0l0,0l0,395xe"/>
              </w:pict>
            </w:r>
          </w:p>
        </w:tc>
        <w:tc>
          <w:tcPr>
            <w:shd w:val="clear" w:fill="DBE5F1"/>
            <w:tcW w:w="912" w:type="dxa"/>
            <w:vAlign w:val="top"/>
            <w:tcBorders>
              <w:bottom w:val="single" w:color="000000" w:sz="2" w:space="0"/>
              <w:top w:val="single" w:color="000000" w:sz="2" w:space="0"/>
            </w:tcBorders>
          </w:tcPr>
          <w:p>
            <w:pPr>
              <w:ind w:left="550"/>
              <w:spacing w:before="160" w:line="186" w:lineRule="auto"/>
              <w:rPr>
                <w:rFonts w:ascii="Times New Roman" w:hAnsi="Times New Roman" w:eastAsia="Times New Roman" w:cs="Times New Roman"/>
                <w:sz w:val="18"/>
                <w:szCs w:val="18"/>
              </w:rPr>
            </w:pPr>
            <w:r>
              <w:pict>
                <v:shape id="_x0000_s82" style="position:absolute;margin-left:-2.85004pt;margin-top:0.079956pt;mso-position-vertical-relative:top-margin-area;mso-position-horizontal-relative:right-margin-area;width:2.9pt;height:19.8pt;z-index:251660288;" fillcolor="#DBE5F1" filled="true" stroked="false" coordsize="58,395" coordorigin="0,0" path="m0,395l57,395l57,0l0,0l0,395xe"/>
              </w:pict>
            </w:r>
            <w:r>
              <w:rPr>
                <w:rFonts w:ascii="Times New Roman" w:hAnsi="Times New Roman" w:eastAsia="Times New Roman" w:cs="Times New Roman"/>
                <w:sz w:val="18"/>
                <w:szCs w:val="18"/>
                <w:b/>
                <w:bCs/>
                <w:spacing w:val="-3"/>
              </w:rPr>
              <w:t>1.48</w:t>
            </w:r>
          </w:p>
        </w:tc>
        <w:tc>
          <w:tcPr>
            <w:tcW w:w="1857" w:type="dxa"/>
            <w:vAlign w:val="top"/>
            <w:tcBorders>
              <w:bottom w:val="single" w:color="000000" w:sz="2" w:space="0"/>
              <w:top w:val="single" w:color="000000" w:sz="2" w:space="0"/>
            </w:tcBorders>
          </w:tcPr>
          <w:p>
            <w:pPr>
              <w:ind w:left="1246"/>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1.56</w:t>
            </w:r>
          </w:p>
        </w:tc>
        <w:tc>
          <w:tcPr>
            <w:tcW w:w="1629" w:type="dxa"/>
            <w:vAlign w:val="top"/>
            <w:tcBorders>
              <w:bottom w:val="single" w:color="000000" w:sz="2" w:space="0"/>
              <w:top w:val="single" w:color="000000" w:sz="2" w:space="0"/>
            </w:tcBorders>
          </w:tcPr>
          <w:p>
            <w:pPr>
              <w:ind w:left="695"/>
              <w:spacing w:before="157"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(0.08)</w:t>
            </w:r>
          </w:p>
        </w:tc>
        <w:tc>
          <w:tcPr>
            <w:tcW w:w="1150" w:type="dxa"/>
            <w:vAlign w:val="top"/>
            <w:tcBorders>
              <w:bottom w:val="single" w:color="000000" w:sz="2" w:space="0"/>
              <w:top w:val="single" w:color="000000" w:sz="2" w:space="0"/>
            </w:tcBorders>
          </w:tcPr>
          <w:p>
            <w:pPr>
              <w:ind w:left="796"/>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1.57</w:t>
            </w:r>
          </w:p>
        </w:tc>
      </w:tr>
      <w:tr>
        <w:trPr>
          <w:trHeight w:val="398" w:hRule="atLeast"/>
        </w:trPr>
        <w:tc>
          <w:tcPr>
            <w:tcW w:w="3618" w:type="dxa"/>
            <w:vAlign w:val="top"/>
            <w:tcBorders>
              <w:bottom w:val="single" w:color="000000" w:sz="2" w:space="0"/>
              <w:top w:val="single" w:color="000000" w:sz="2" w:space="0"/>
            </w:tcBorders>
          </w:tcPr>
          <w:p>
            <w:pPr>
              <w:pStyle w:val="TableText"/>
              <w:ind w:left="81"/>
              <w:spacing w:before="124" w:line="224" w:lineRule="auto"/>
              <w:rPr>
                <w:rFonts w:ascii="Times New Roman" w:hAnsi="Times New Roman" w:eastAsia="Times New Roman" w:cs="Times New Roman"/>
                <w:sz w:val="12"/>
                <w:szCs w:val="12"/>
              </w:rPr>
            </w:pPr>
            <w:r>
              <w:rPr>
                <w:sz w:val="18"/>
                <w:szCs w:val="18"/>
                <w:spacing w:val="-2"/>
              </w:rPr>
              <w:t>不良贷款率</w:t>
            </w:r>
            <w:r>
              <w:rPr>
                <w:sz w:val="18"/>
                <w:szCs w:val="18"/>
                <w:spacing w:val="-39"/>
              </w:rPr>
              <w:t xml:space="preserve"> </w:t>
            </w:r>
            <w:r>
              <w:rPr>
                <w:rFonts w:ascii="Times New Roman" w:hAnsi="Times New Roman" w:eastAsia="Times New Roman" w:cs="Times New Roman"/>
                <w:sz w:val="12"/>
                <w:szCs w:val="12"/>
                <w:spacing w:val="-2"/>
                <w:position w:val="7"/>
              </w:rPr>
              <w:t>7</w:t>
            </w:r>
          </w:p>
        </w:tc>
        <w:tc>
          <w:tcPr>
            <w:shd w:val="clear" w:fill="DBE5F1"/>
            <w:tcW w:w="604" w:type="dxa"/>
            <w:vAlign w:val="top"/>
            <w:tcBorders>
              <w:bottom w:val="single" w:color="000000" w:sz="2" w:space="0"/>
              <w:top w:val="single" w:color="000000" w:sz="2" w:space="0"/>
            </w:tcBorders>
          </w:tcPr>
          <w:p>
            <w:pPr>
              <w:spacing w:before="2" w:line="386" w:lineRule="exact"/>
              <w:rPr/>
            </w:pPr>
            <w:r>
              <w:rPr>
                <w:position w:val="-8"/>
              </w:rPr>
              <w:pict>
                <v:shape id="_x0000_s84" style="mso-position-vertical-relative:line;mso-position-horizontal-relative:char;width:2.9pt;height:19.7pt;" fillcolor="#DBE5F1" filled="true" stroked="false" coordsize="58,394" coordorigin="0,0" path="m0,393l57,393l57,0l0,0l0,393xe"/>
              </w:pict>
            </w:r>
          </w:p>
        </w:tc>
        <w:tc>
          <w:tcPr>
            <w:shd w:val="clear" w:fill="DBE5F1"/>
            <w:tcW w:w="912" w:type="dxa"/>
            <w:vAlign w:val="top"/>
            <w:tcBorders>
              <w:bottom w:val="single" w:color="000000" w:sz="2" w:space="0"/>
              <w:top w:val="single" w:color="000000" w:sz="2" w:space="0"/>
            </w:tcBorders>
          </w:tcPr>
          <w:p>
            <w:pPr>
              <w:ind w:left="550"/>
              <w:spacing w:before="161" w:line="186" w:lineRule="auto"/>
              <w:rPr>
                <w:rFonts w:ascii="Times New Roman" w:hAnsi="Times New Roman" w:eastAsia="Times New Roman" w:cs="Times New Roman"/>
                <w:sz w:val="18"/>
                <w:szCs w:val="18"/>
              </w:rPr>
            </w:pPr>
            <w:r>
              <w:pict>
                <v:shape id="_x0000_s86" style="position:absolute;margin-left:-2.85004pt;margin-top:0.109985pt;mso-position-vertical-relative:top-margin-area;mso-position-horizontal-relative:right-margin-area;width:2.9pt;height:19.7pt;z-index:251659264;" fillcolor="#DBE5F1" filled="true" stroked="false" coordsize="58,394" coordorigin="0,0" path="m0,393l57,393l57,0l0,0l0,393xe"/>
              </w:pict>
            </w:r>
            <w:r>
              <w:rPr>
                <w:rFonts w:ascii="Times New Roman" w:hAnsi="Times New Roman" w:eastAsia="Times New Roman" w:cs="Times New Roman"/>
                <w:sz w:val="18"/>
                <w:szCs w:val="18"/>
                <w:b/>
                <w:bCs/>
                <w:spacing w:val="-3"/>
              </w:rPr>
              <w:t>1.35</w:t>
            </w:r>
          </w:p>
        </w:tc>
        <w:tc>
          <w:tcPr>
            <w:tcW w:w="1857" w:type="dxa"/>
            <w:vAlign w:val="top"/>
            <w:tcBorders>
              <w:bottom w:val="single" w:color="000000" w:sz="2" w:space="0"/>
              <w:top w:val="single" w:color="000000" w:sz="2" w:space="0"/>
            </w:tcBorders>
          </w:tcPr>
          <w:p>
            <w:pPr>
              <w:ind w:left="1246"/>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1.48</w:t>
            </w:r>
          </w:p>
        </w:tc>
        <w:tc>
          <w:tcPr>
            <w:tcW w:w="1629" w:type="dxa"/>
            <w:vAlign w:val="top"/>
            <w:tcBorders>
              <w:bottom w:val="single" w:color="000000" w:sz="2" w:space="0"/>
              <w:top w:val="single" w:color="000000" w:sz="2" w:space="0"/>
            </w:tcBorders>
          </w:tcPr>
          <w:p>
            <w:pPr>
              <w:ind w:left="695"/>
              <w:spacing w:before="157"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(0.13)</w:t>
            </w:r>
          </w:p>
        </w:tc>
        <w:tc>
          <w:tcPr>
            <w:tcW w:w="1150" w:type="dxa"/>
            <w:vAlign w:val="top"/>
            <w:tcBorders>
              <w:bottom w:val="single" w:color="000000" w:sz="2" w:space="0"/>
              <w:top w:val="single" w:color="000000" w:sz="2" w:space="0"/>
            </w:tcBorders>
          </w:tcPr>
          <w:p>
            <w:pPr>
              <w:ind w:left="796"/>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1.67</w:t>
            </w:r>
          </w:p>
        </w:tc>
      </w:tr>
      <w:tr>
        <w:trPr>
          <w:trHeight w:val="398" w:hRule="atLeast"/>
        </w:trPr>
        <w:tc>
          <w:tcPr>
            <w:tcW w:w="3618" w:type="dxa"/>
            <w:vAlign w:val="top"/>
            <w:tcBorders>
              <w:bottom w:val="single" w:color="000000" w:sz="2" w:space="0"/>
              <w:top w:val="single" w:color="000000" w:sz="2" w:space="0"/>
            </w:tcBorders>
          </w:tcPr>
          <w:p>
            <w:pPr>
              <w:pStyle w:val="TableText"/>
              <w:ind w:left="80"/>
              <w:spacing w:before="129" w:line="220" w:lineRule="auto"/>
              <w:rPr>
                <w:sz w:val="18"/>
                <w:szCs w:val="18"/>
              </w:rPr>
            </w:pPr>
            <w:r>
              <w:rPr>
                <w:sz w:val="18"/>
                <w:szCs w:val="18"/>
                <w:spacing w:val="-2"/>
              </w:rPr>
              <w:t>拨备覆盖率</w:t>
            </w:r>
          </w:p>
        </w:tc>
        <w:tc>
          <w:tcPr>
            <w:shd w:val="clear" w:fill="DBE5F1"/>
            <w:tcW w:w="604" w:type="dxa"/>
            <w:vAlign w:val="top"/>
            <w:tcBorders>
              <w:bottom w:val="single" w:color="000000" w:sz="2" w:space="0"/>
              <w:top w:val="single" w:color="000000" w:sz="2" w:space="0"/>
            </w:tcBorders>
          </w:tcPr>
          <w:p>
            <w:pPr>
              <w:spacing w:before="2" w:line="386" w:lineRule="exact"/>
              <w:rPr/>
            </w:pPr>
            <w:r>
              <w:rPr>
                <w:position w:val="-8"/>
              </w:rPr>
              <w:pict>
                <v:shape id="_x0000_s88" style="mso-position-vertical-relative:line;mso-position-horizontal-relative:char;width:2.9pt;height:19.75pt;" fillcolor="#DBE5F1" filled="true" stroked="false" coordsize="58,395" coordorigin="0,0" path="m0,394l57,394l57,0l0,0l0,394xe"/>
              </w:pict>
            </w:r>
          </w:p>
        </w:tc>
        <w:tc>
          <w:tcPr>
            <w:shd w:val="clear" w:fill="DBE5F1"/>
            <w:tcW w:w="912" w:type="dxa"/>
            <w:vAlign w:val="top"/>
            <w:tcBorders>
              <w:bottom w:val="single" w:color="000000" w:sz="2" w:space="0"/>
              <w:top w:val="single" w:color="000000" w:sz="2" w:space="0"/>
            </w:tcBorders>
          </w:tcPr>
          <w:p>
            <w:pPr>
              <w:ind w:left="372"/>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180.68</w:t>
            </w:r>
          </w:p>
        </w:tc>
        <w:tc>
          <w:tcPr>
            <w:tcW w:w="1857" w:type="dxa"/>
            <w:vAlign w:val="top"/>
            <w:tcBorders>
              <w:bottom w:val="single" w:color="000000" w:sz="2" w:space="0"/>
              <w:top w:val="single" w:color="000000" w:sz="2" w:space="0"/>
            </w:tcBorders>
          </w:tcPr>
          <w:p>
            <w:pPr>
              <w:ind w:left="1068"/>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166.50</w:t>
            </w:r>
          </w:p>
        </w:tc>
        <w:tc>
          <w:tcPr>
            <w:tcW w:w="1629" w:type="dxa"/>
            <w:vAlign w:val="top"/>
            <w:tcBorders>
              <w:bottom w:val="single" w:color="000000" w:sz="2" w:space="0"/>
              <w:top w:val="single" w:color="000000" w:sz="2" w:space="0"/>
            </w:tcBorders>
          </w:tcPr>
          <w:p>
            <w:pPr>
              <w:ind w:left="737"/>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14.18</w:t>
            </w:r>
          </w:p>
        </w:tc>
        <w:tc>
          <w:tcPr>
            <w:tcW w:w="1150" w:type="dxa"/>
            <w:vAlign w:val="top"/>
            <w:tcBorders>
              <w:bottom w:val="single" w:color="000000" w:sz="2" w:space="0"/>
              <w:top w:val="single" w:color="000000" w:sz="2" w:space="0"/>
            </w:tcBorders>
          </w:tcPr>
          <w:p>
            <w:pPr>
              <w:ind w:left="616"/>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143.87</w:t>
            </w:r>
          </w:p>
        </w:tc>
      </w:tr>
      <w:tr>
        <w:trPr>
          <w:trHeight w:val="400" w:hRule="atLeast"/>
        </w:trPr>
        <w:tc>
          <w:tcPr>
            <w:tcW w:w="3618" w:type="dxa"/>
            <w:vAlign w:val="top"/>
            <w:tcBorders>
              <w:bottom w:val="single" w:color="000000" w:sz="2" w:space="0"/>
              <w:top w:val="single" w:color="000000" w:sz="2" w:space="0"/>
            </w:tcBorders>
          </w:tcPr>
          <w:p>
            <w:pPr>
              <w:pStyle w:val="TableText"/>
              <w:ind w:left="80"/>
              <w:spacing w:before="129" w:line="220" w:lineRule="auto"/>
              <w:rPr>
                <w:sz w:val="18"/>
                <w:szCs w:val="18"/>
              </w:rPr>
            </w:pPr>
            <w:r>
              <w:rPr>
                <w:sz w:val="18"/>
                <w:szCs w:val="18"/>
                <w:spacing w:val="-2"/>
              </w:rPr>
              <w:t>拨备率</w:t>
            </w:r>
          </w:p>
        </w:tc>
        <w:tc>
          <w:tcPr>
            <w:shd w:val="clear" w:fill="DBE5F1"/>
            <w:tcW w:w="604" w:type="dxa"/>
            <w:vAlign w:val="top"/>
            <w:tcBorders>
              <w:bottom w:val="single" w:color="000000" w:sz="2" w:space="0"/>
              <w:top w:val="single" w:color="000000" w:sz="2" w:space="0"/>
            </w:tcBorders>
          </w:tcPr>
          <w:p>
            <w:pPr>
              <w:spacing w:before="3" w:line="387" w:lineRule="exact"/>
              <w:rPr/>
            </w:pPr>
            <w:r>
              <w:rPr>
                <w:position w:val="-8"/>
              </w:rPr>
              <w:pict>
                <v:shape id="_x0000_s90" style="mso-position-vertical-relative:line;mso-position-horizontal-relative:char;width:2.9pt;height:19.8pt;" fillcolor="#DBE5F1" filled="true" stroked="false" coordsize="58,395" coordorigin="0,0" path="m0,395l57,395l57,0l0,0l0,395xe"/>
              </w:pict>
            </w:r>
          </w:p>
        </w:tc>
        <w:tc>
          <w:tcPr>
            <w:shd w:val="clear" w:fill="DBE5F1"/>
            <w:tcW w:w="912" w:type="dxa"/>
            <w:vAlign w:val="top"/>
            <w:tcBorders>
              <w:bottom w:val="single" w:color="000000" w:sz="2" w:space="0"/>
              <w:top w:val="single" w:color="000000" w:sz="2" w:space="0"/>
            </w:tcBorders>
          </w:tcPr>
          <w:p>
            <w:pPr>
              <w:ind w:left="542"/>
              <w:spacing w:before="162" w:line="186" w:lineRule="auto"/>
              <w:rPr>
                <w:rFonts w:ascii="Times New Roman" w:hAnsi="Times New Roman" w:eastAsia="Times New Roman" w:cs="Times New Roman"/>
                <w:sz w:val="18"/>
                <w:szCs w:val="18"/>
              </w:rPr>
            </w:pPr>
            <w:r>
              <w:pict>
                <v:shape id="_x0000_s92" style="position:absolute;margin-left:-2.85004pt;margin-top:0.159912pt;mso-position-vertical-relative:top-margin-area;mso-position-horizontal-relative:right-margin-area;width:2.9pt;height:19.8pt;z-index:251658240;" fillcolor="#DBE5F1" filled="true" stroked="false" coordsize="58,395" coordorigin="0,0" path="m0,395l57,395l57,0l0,0l0,395xe"/>
              </w:pict>
            </w:r>
            <w:r>
              <w:rPr>
                <w:rFonts w:ascii="Times New Roman" w:hAnsi="Times New Roman" w:eastAsia="Times New Roman" w:cs="Times New Roman"/>
                <w:sz w:val="18"/>
                <w:szCs w:val="18"/>
                <w:b/>
                <w:bCs/>
                <w:spacing w:val="-1"/>
              </w:rPr>
              <w:t>2.44</w:t>
            </w:r>
          </w:p>
        </w:tc>
        <w:tc>
          <w:tcPr>
            <w:tcW w:w="1857" w:type="dxa"/>
            <w:vAlign w:val="top"/>
            <w:tcBorders>
              <w:bottom w:val="single" w:color="000000" w:sz="2" w:space="0"/>
              <w:top w:val="single" w:color="000000" w:sz="2" w:space="0"/>
            </w:tcBorders>
          </w:tcPr>
          <w:p>
            <w:pPr>
              <w:ind w:left="1228"/>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2.46</w:t>
            </w:r>
          </w:p>
        </w:tc>
        <w:tc>
          <w:tcPr>
            <w:tcW w:w="1629" w:type="dxa"/>
            <w:vAlign w:val="top"/>
            <w:tcBorders>
              <w:bottom w:val="single" w:color="000000" w:sz="2" w:space="0"/>
              <w:top w:val="single" w:color="000000" w:sz="2" w:space="0"/>
            </w:tcBorders>
          </w:tcPr>
          <w:p>
            <w:pPr>
              <w:ind w:left="695"/>
              <w:spacing w:before="158"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(0.02)</w:t>
            </w:r>
          </w:p>
        </w:tc>
        <w:tc>
          <w:tcPr>
            <w:tcW w:w="1150" w:type="dxa"/>
            <w:vAlign w:val="top"/>
            <w:tcBorders>
              <w:bottom w:val="single" w:color="000000" w:sz="2" w:space="0"/>
              <w:top w:val="single" w:color="000000" w:sz="2" w:space="0"/>
            </w:tcBorders>
          </w:tcPr>
          <w:p>
            <w:pPr>
              <w:ind w:left="779"/>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2.40</w:t>
            </w:r>
          </w:p>
        </w:tc>
      </w:tr>
      <w:tr>
        <w:trPr>
          <w:trHeight w:val="398" w:hRule="atLeast"/>
        </w:trPr>
        <w:tc>
          <w:tcPr>
            <w:tcW w:w="3618" w:type="dxa"/>
            <w:vAlign w:val="top"/>
            <w:tcBorders>
              <w:bottom w:val="single" w:color="000000" w:sz="2" w:space="0"/>
              <w:top w:val="single" w:color="000000" w:sz="2" w:space="0"/>
            </w:tcBorders>
          </w:tcPr>
          <w:p>
            <w:pPr>
              <w:pStyle w:val="TableText"/>
              <w:ind w:left="80"/>
              <w:spacing w:before="124" w:line="225" w:lineRule="auto"/>
              <w:rPr>
                <w:rFonts w:ascii="Times New Roman" w:hAnsi="Times New Roman" w:eastAsia="Times New Roman" w:cs="Times New Roman"/>
                <w:sz w:val="12"/>
                <w:szCs w:val="12"/>
              </w:rPr>
            </w:pPr>
            <w:r>
              <w:rPr>
                <w:sz w:val="18"/>
                <w:szCs w:val="18"/>
                <w:spacing w:val="-2"/>
              </w:rPr>
              <w:t>成本收入比</w:t>
            </w:r>
            <w:r>
              <w:rPr>
                <w:sz w:val="18"/>
                <w:szCs w:val="18"/>
                <w:spacing w:val="-35"/>
              </w:rPr>
              <w:t xml:space="preserve"> </w:t>
            </w:r>
            <w:r>
              <w:rPr>
                <w:rFonts w:ascii="Times New Roman" w:hAnsi="Times New Roman" w:eastAsia="Times New Roman" w:cs="Times New Roman"/>
                <w:sz w:val="12"/>
                <w:szCs w:val="12"/>
                <w:spacing w:val="-2"/>
                <w:position w:val="7"/>
              </w:rPr>
              <w:t>8</w:t>
            </w:r>
          </w:p>
        </w:tc>
        <w:tc>
          <w:tcPr>
            <w:shd w:val="clear" w:fill="DBE5F1"/>
            <w:tcW w:w="604" w:type="dxa"/>
            <w:vAlign w:val="top"/>
            <w:tcBorders>
              <w:bottom w:val="single" w:color="000000" w:sz="2" w:space="0"/>
              <w:top w:val="single" w:color="000000" w:sz="2" w:space="0"/>
            </w:tcBorders>
          </w:tcPr>
          <w:p>
            <w:pPr>
              <w:spacing w:before="3" w:line="385" w:lineRule="exact"/>
              <w:rPr/>
            </w:pPr>
            <w:r>
              <w:rPr>
                <w:position w:val="-8"/>
              </w:rPr>
              <w:pict>
                <v:shape id="_x0000_s94" style="mso-position-vertical-relative:line;mso-position-horizontal-relative:char;width:2.9pt;height:19.7pt;" fillcolor="#DBE5F1" filled="true" stroked="false" coordsize="58,394" coordorigin="0,0" path="m0,393l57,393l57,0l0,0l0,393xe"/>
              </w:pict>
            </w:r>
          </w:p>
        </w:tc>
        <w:tc>
          <w:tcPr>
            <w:shd w:val="clear" w:fill="DBE5F1"/>
            <w:tcW w:w="912" w:type="dxa"/>
            <w:vAlign w:val="top"/>
            <w:tcBorders>
              <w:bottom w:val="single" w:color="000000" w:sz="2" w:space="0"/>
              <w:top w:val="single" w:color="000000" w:sz="2" w:space="0"/>
            </w:tcBorders>
          </w:tcPr>
          <w:p>
            <w:pPr>
              <w:ind w:left="453"/>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28.14</w:t>
            </w:r>
          </w:p>
        </w:tc>
        <w:tc>
          <w:tcPr>
            <w:tcW w:w="1857" w:type="dxa"/>
            <w:vAlign w:val="top"/>
            <w:tcBorders>
              <w:bottom w:val="single" w:color="000000" w:sz="2" w:space="0"/>
              <w:top w:val="single" w:color="000000" w:sz="2" w:space="0"/>
            </w:tcBorders>
          </w:tcPr>
          <w:p>
            <w:pPr>
              <w:ind w:left="1139"/>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27.67</w:t>
            </w:r>
          </w:p>
        </w:tc>
        <w:tc>
          <w:tcPr>
            <w:tcW w:w="1629" w:type="dxa"/>
            <w:vAlign w:val="top"/>
            <w:tcBorders>
              <w:bottom w:val="single" w:color="000000" w:sz="2" w:space="0"/>
              <w:top w:val="single" w:color="000000" w:sz="2" w:space="0"/>
            </w:tcBorders>
          </w:tcPr>
          <w:p>
            <w:pPr>
              <w:ind w:left="814"/>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0.47</w:t>
            </w:r>
          </w:p>
        </w:tc>
        <w:tc>
          <w:tcPr>
            <w:tcW w:w="1150" w:type="dxa"/>
            <w:vAlign w:val="top"/>
            <w:tcBorders>
              <w:bottom w:val="single" w:color="000000" w:sz="2" w:space="0"/>
              <w:top w:val="single" w:color="000000" w:sz="2" w:space="0"/>
            </w:tcBorders>
          </w:tcPr>
          <w:p>
            <w:pPr>
              <w:ind w:left="690"/>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26.81</w:t>
            </w:r>
          </w:p>
        </w:tc>
      </w:tr>
      <w:tr>
        <w:trPr>
          <w:trHeight w:val="398" w:hRule="atLeast"/>
        </w:trPr>
        <w:tc>
          <w:tcPr>
            <w:tcW w:w="3618" w:type="dxa"/>
            <w:vAlign w:val="top"/>
            <w:tcBorders>
              <w:bottom w:val="single" w:color="000000" w:sz="2" w:space="0"/>
              <w:top w:val="single" w:color="000000" w:sz="2" w:space="0"/>
            </w:tcBorders>
          </w:tcPr>
          <w:p>
            <w:pPr>
              <w:pStyle w:val="TableText"/>
              <w:ind w:left="86"/>
              <w:spacing w:before="124" w:line="225" w:lineRule="auto"/>
              <w:rPr>
                <w:rFonts w:ascii="Times New Roman" w:hAnsi="Times New Roman" w:eastAsia="Times New Roman" w:cs="Times New Roman"/>
                <w:sz w:val="12"/>
                <w:szCs w:val="12"/>
              </w:rPr>
            </w:pPr>
            <w:r>
              <w:rPr>
                <w:sz w:val="18"/>
                <w:szCs w:val="18"/>
                <w:spacing w:val="-3"/>
              </w:rPr>
              <w:t>资本充足率</w:t>
            </w:r>
            <w:r>
              <w:rPr>
                <w:sz w:val="18"/>
                <w:szCs w:val="18"/>
                <w:spacing w:val="-37"/>
              </w:rPr>
              <w:t xml:space="preserve"> </w:t>
            </w:r>
            <w:r>
              <w:rPr>
                <w:rFonts w:ascii="Times New Roman" w:hAnsi="Times New Roman" w:eastAsia="Times New Roman" w:cs="Times New Roman"/>
                <w:sz w:val="12"/>
                <w:szCs w:val="12"/>
                <w:spacing w:val="-3"/>
                <w:position w:val="7"/>
              </w:rPr>
              <w:t>3</w:t>
            </w:r>
          </w:p>
        </w:tc>
        <w:tc>
          <w:tcPr>
            <w:shd w:val="clear" w:fill="DBE5F1"/>
            <w:tcW w:w="604" w:type="dxa"/>
            <w:vAlign w:val="top"/>
            <w:tcBorders>
              <w:bottom w:val="single" w:color="000000" w:sz="2" w:space="0"/>
              <w:top w:val="single" w:color="000000" w:sz="2" w:space="0"/>
            </w:tcBorders>
          </w:tcPr>
          <w:p>
            <w:pPr>
              <w:spacing w:before="3" w:line="385" w:lineRule="exact"/>
              <w:rPr/>
            </w:pPr>
            <w:r>
              <w:rPr>
                <w:position w:val="-8"/>
              </w:rPr>
              <w:pict>
                <v:shape id="_x0000_s96" style="mso-position-vertical-relative:line;mso-position-horizontal-relative:char;width:2.9pt;height:19.7pt;" fillcolor="#DBE5F1" filled="true" stroked="false" coordsize="58,394" coordorigin="0,0" path="m0,393l57,393l57,0l0,0l0,393xe"/>
              </w:pict>
            </w:r>
          </w:p>
        </w:tc>
        <w:tc>
          <w:tcPr>
            <w:shd w:val="clear" w:fill="DBE5F1"/>
            <w:tcW w:w="912" w:type="dxa"/>
            <w:vAlign w:val="top"/>
            <w:tcBorders>
              <w:bottom w:val="single" w:color="000000" w:sz="2" w:space="0"/>
              <w:top w:val="single" w:color="000000" w:sz="2" w:space="0"/>
            </w:tcBorders>
          </w:tcPr>
          <w:p>
            <w:pPr>
              <w:ind w:left="461"/>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14.97</w:t>
            </w:r>
          </w:p>
        </w:tc>
        <w:tc>
          <w:tcPr>
            <w:tcW w:w="1857" w:type="dxa"/>
            <w:vAlign w:val="top"/>
            <w:tcBorders>
              <w:bottom w:val="single" w:color="000000" w:sz="2" w:space="0"/>
              <w:top w:val="single" w:color="000000" w:sz="2" w:space="0"/>
            </w:tcBorders>
          </w:tcPr>
          <w:p>
            <w:pPr>
              <w:ind w:left="1157"/>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15.45</w:t>
            </w:r>
          </w:p>
        </w:tc>
        <w:tc>
          <w:tcPr>
            <w:tcW w:w="1629" w:type="dxa"/>
            <w:vAlign w:val="top"/>
            <w:tcBorders>
              <w:bottom w:val="single" w:color="000000" w:sz="2" w:space="0"/>
              <w:top w:val="single" w:color="000000" w:sz="2" w:space="0"/>
            </w:tcBorders>
          </w:tcPr>
          <w:p>
            <w:pPr>
              <w:ind w:left="695"/>
              <w:spacing w:before="159"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(0.48)</w:t>
            </w:r>
          </w:p>
        </w:tc>
        <w:tc>
          <w:tcPr>
            <w:tcW w:w="1150" w:type="dxa"/>
            <w:vAlign w:val="top"/>
            <w:tcBorders>
              <w:bottom w:val="single" w:color="000000" w:sz="2" w:space="0"/>
              <w:top w:val="single" w:color="000000" w:sz="2" w:space="0"/>
            </w:tcBorders>
          </w:tcPr>
          <w:p>
            <w:pPr>
              <w:ind w:left="707"/>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15.25</w:t>
            </w:r>
          </w:p>
        </w:tc>
      </w:tr>
      <w:tr>
        <w:trPr>
          <w:trHeight w:val="400" w:hRule="atLeast"/>
        </w:trPr>
        <w:tc>
          <w:tcPr>
            <w:tcW w:w="3618" w:type="dxa"/>
            <w:vAlign w:val="top"/>
            <w:tcBorders>
              <w:bottom w:val="single" w:color="000000" w:sz="2" w:space="0"/>
              <w:top w:val="single" w:color="000000" w:sz="2" w:space="0"/>
            </w:tcBorders>
          </w:tcPr>
          <w:p>
            <w:pPr>
              <w:pStyle w:val="TableText"/>
              <w:ind w:left="81"/>
              <w:spacing w:before="124" w:line="225" w:lineRule="auto"/>
              <w:rPr>
                <w:rFonts w:ascii="Times New Roman" w:hAnsi="Times New Roman" w:eastAsia="Times New Roman" w:cs="Times New Roman"/>
                <w:sz w:val="12"/>
                <w:szCs w:val="12"/>
              </w:rPr>
            </w:pPr>
            <w:r>
              <w:rPr>
                <w:sz w:val="18"/>
                <w:szCs w:val="18"/>
                <w:spacing w:val="-2"/>
              </w:rPr>
              <w:t>一级资本充足率</w:t>
            </w:r>
            <w:r>
              <w:rPr>
                <w:sz w:val="18"/>
                <w:szCs w:val="18"/>
                <w:spacing w:val="-34"/>
              </w:rPr>
              <w:t xml:space="preserve"> </w:t>
            </w:r>
            <w:r>
              <w:rPr>
                <w:rFonts w:ascii="Times New Roman" w:hAnsi="Times New Roman" w:eastAsia="Times New Roman" w:cs="Times New Roman"/>
                <w:sz w:val="12"/>
                <w:szCs w:val="12"/>
                <w:spacing w:val="-2"/>
                <w:position w:val="7"/>
              </w:rPr>
              <w:t>3</w:t>
            </w:r>
          </w:p>
        </w:tc>
        <w:tc>
          <w:tcPr>
            <w:shd w:val="clear" w:fill="DBE5F1"/>
            <w:tcW w:w="604" w:type="dxa"/>
            <w:vAlign w:val="top"/>
            <w:tcBorders>
              <w:bottom w:val="single" w:color="000000" w:sz="2" w:space="0"/>
              <w:top w:val="single" w:color="000000" w:sz="2" w:space="0"/>
            </w:tcBorders>
          </w:tcPr>
          <w:p>
            <w:pPr>
              <w:spacing w:before="4" w:line="385" w:lineRule="exact"/>
              <w:rPr/>
            </w:pPr>
            <w:r>
              <w:rPr>
                <w:position w:val="-8"/>
              </w:rPr>
              <w:pict>
                <v:shape id="_x0000_s98" style="mso-position-vertical-relative:line;mso-position-horizontal-relative:char;width:2.9pt;height:19.8pt;" fillcolor="#DBE5F1" filled="true" stroked="false" coordsize="58,395" coordorigin="0,0" path="m0,395l57,395l57,0l0,0l0,395xe"/>
              </w:pict>
            </w:r>
          </w:p>
        </w:tc>
        <w:tc>
          <w:tcPr>
            <w:shd w:val="clear" w:fill="DBE5F1"/>
            <w:tcW w:w="912" w:type="dxa"/>
            <w:vAlign w:val="top"/>
            <w:tcBorders>
              <w:bottom w:val="single" w:color="000000" w:sz="2" w:space="0"/>
              <w:top w:val="single" w:color="000000" w:sz="2" w:space="0"/>
            </w:tcBorders>
          </w:tcPr>
          <w:p>
            <w:pPr>
              <w:ind w:left="461"/>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12.18</w:t>
            </w:r>
          </w:p>
        </w:tc>
        <w:tc>
          <w:tcPr>
            <w:tcW w:w="1857" w:type="dxa"/>
            <w:vAlign w:val="top"/>
            <w:tcBorders>
              <w:bottom w:val="single" w:color="000000" w:sz="2" w:space="0"/>
              <w:top w:val="single" w:color="000000" w:sz="2" w:space="0"/>
            </w:tcBorders>
          </w:tcPr>
          <w:p>
            <w:pPr>
              <w:ind w:left="1157"/>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13.01</w:t>
            </w:r>
          </w:p>
        </w:tc>
        <w:tc>
          <w:tcPr>
            <w:tcW w:w="1629" w:type="dxa"/>
            <w:vAlign w:val="top"/>
            <w:tcBorders>
              <w:bottom w:val="single" w:color="000000" w:sz="2" w:space="0"/>
              <w:top w:val="single" w:color="000000" w:sz="2" w:space="0"/>
            </w:tcBorders>
          </w:tcPr>
          <w:p>
            <w:pPr>
              <w:ind w:left="695"/>
              <w:spacing w:before="159"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(0.83)</w:t>
            </w:r>
          </w:p>
        </w:tc>
        <w:tc>
          <w:tcPr>
            <w:tcW w:w="1150" w:type="dxa"/>
            <w:vAlign w:val="top"/>
            <w:tcBorders>
              <w:bottom w:val="single" w:color="000000" w:sz="2" w:space="0"/>
              <w:top w:val="single" w:color="000000" w:sz="2" w:space="0"/>
            </w:tcBorders>
          </w:tcPr>
          <w:p>
            <w:pPr>
              <w:ind w:left="707"/>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12.88</w:t>
            </w:r>
          </w:p>
        </w:tc>
      </w:tr>
      <w:tr>
        <w:trPr>
          <w:trHeight w:val="402" w:hRule="atLeast"/>
        </w:trPr>
        <w:tc>
          <w:tcPr>
            <w:tcW w:w="3618" w:type="dxa"/>
            <w:vAlign w:val="top"/>
            <w:tcBorders>
              <w:bottom w:val="single" w:color="000000" w:sz="2" w:space="0"/>
              <w:top w:val="single" w:color="000000" w:sz="2" w:space="0"/>
            </w:tcBorders>
          </w:tcPr>
          <w:p>
            <w:pPr>
              <w:pStyle w:val="TableText"/>
              <w:ind w:left="81"/>
              <w:spacing w:before="125" w:line="225" w:lineRule="auto"/>
              <w:rPr>
                <w:rFonts w:ascii="Times New Roman" w:hAnsi="Times New Roman" w:eastAsia="Times New Roman" w:cs="Times New Roman"/>
                <w:sz w:val="12"/>
                <w:szCs w:val="12"/>
              </w:rPr>
            </w:pPr>
            <w:r>
              <w:rPr>
                <w:sz w:val="18"/>
                <w:szCs w:val="18"/>
                <w:spacing w:val="-1"/>
              </w:rPr>
              <w:t>核心一级资本充足率</w:t>
            </w:r>
            <w:r>
              <w:rPr>
                <w:sz w:val="18"/>
                <w:szCs w:val="18"/>
                <w:spacing w:val="-40"/>
              </w:rPr>
              <w:t xml:space="preserve"> </w:t>
            </w:r>
            <w:r>
              <w:rPr>
                <w:rFonts w:ascii="Times New Roman" w:hAnsi="Times New Roman" w:eastAsia="Times New Roman" w:cs="Times New Roman"/>
                <w:sz w:val="12"/>
                <w:szCs w:val="12"/>
                <w:spacing w:val="-1"/>
                <w:position w:val="7"/>
              </w:rPr>
              <w:t>3</w:t>
            </w:r>
          </w:p>
        </w:tc>
        <w:tc>
          <w:tcPr>
            <w:shd w:val="clear" w:fill="DBE5F1"/>
            <w:tcW w:w="604" w:type="dxa"/>
            <w:vAlign w:val="top"/>
            <w:tcBorders>
              <w:bottom w:val="single" w:color="000000" w:sz="2" w:space="0"/>
              <w:top w:val="single" w:color="000000" w:sz="2" w:space="0"/>
            </w:tcBorders>
          </w:tcPr>
          <w:p>
            <w:pPr>
              <w:spacing w:before="4" w:line="388" w:lineRule="exact"/>
              <w:rPr/>
            </w:pPr>
            <w:r>
              <w:rPr>
                <w:position w:val="-8"/>
              </w:rPr>
              <w:pict>
                <v:shape id="_x0000_s100" style="mso-position-vertical-relative:line;mso-position-horizontal-relative:char;width:2.9pt;height:19.7pt;" fillcolor="#DBE5F1" filled="true" stroked="false" coordsize="58,394" coordorigin="0,0" path="m0,393l57,393l57,0l0,0l0,393xe"/>
              </w:pict>
            </w:r>
          </w:p>
        </w:tc>
        <w:tc>
          <w:tcPr>
            <w:shd w:val="clear" w:fill="DBE5F1"/>
            <w:tcW w:w="912" w:type="dxa"/>
            <w:vAlign w:val="top"/>
            <w:tcBorders>
              <w:bottom w:val="single" w:color="000000" w:sz="2" w:space="0"/>
              <w:top w:val="single" w:color="000000" w:sz="2" w:space="0"/>
            </w:tcBorders>
          </w:tcPr>
          <w:p>
            <w:pPr>
              <w:ind w:left="461"/>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10.06</w:t>
            </w:r>
          </w:p>
        </w:tc>
        <w:tc>
          <w:tcPr>
            <w:tcW w:w="1857" w:type="dxa"/>
            <w:vAlign w:val="top"/>
            <w:tcBorders>
              <w:bottom w:val="single" w:color="000000" w:sz="2" w:space="0"/>
              <w:top w:val="single" w:color="000000" w:sz="2" w:space="0"/>
            </w:tcBorders>
          </w:tcPr>
          <w:p>
            <w:pPr>
              <w:ind w:left="1157"/>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10.62</w:t>
            </w:r>
          </w:p>
        </w:tc>
        <w:tc>
          <w:tcPr>
            <w:tcW w:w="1629" w:type="dxa"/>
            <w:vAlign w:val="top"/>
            <w:tcBorders>
              <w:bottom w:val="single" w:color="000000" w:sz="2" w:space="0"/>
              <w:top w:val="single" w:color="000000" w:sz="2" w:space="0"/>
            </w:tcBorders>
          </w:tcPr>
          <w:p>
            <w:pPr>
              <w:ind w:left="695"/>
              <w:spacing w:before="160"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(0.56)</w:t>
            </w:r>
          </w:p>
        </w:tc>
        <w:tc>
          <w:tcPr>
            <w:tcW w:w="1150" w:type="dxa"/>
            <w:vAlign w:val="top"/>
            <w:tcBorders>
              <w:bottom w:val="single" w:color="000000" w:sz="2" w:space="0"/>
              <w:top w:val="single" w:color="000000" w:sz="2" w:space="0"/>
            </w:tcBorders>
          </w:tcPr>
          <w:p>
            <w:pPr>
              <w:ind w:left="707"/>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10.87</w:t>
            </w:r>
          </w:p>
        </w:tc>
      </w:tr>
    </w:tbl>
    <w:p>
      <w:pPr>
        <w:ind w:left="79"/>
        <w:spacing w:before="36" w:line="225" w:lineRule="auto"/>
        <w:rPr>
          <w:rFonts w:ascii="SimSun" w:hAnsi="SimSun" w:eastAsia="SimSun" w:cs="SimSun"/>
          <w:sz w:val="18"/>
          <w:szCs w:val="18"/>
        </w:rPr>
      </w:pPr>
      <w:r>
        <w:rPr>
          <w:rFonts w:ascii="SimSun" w:hAnsi="SimSun" w:eastAsia="SimSun" w:cs="SimSun"/>
          <w:sz w:val="18"/>
          <w:szCs w:val="18"/>
          <w:spacing w:val="-9"/>
        </w:rPr>
        <w:t>注:</w:t>
      </w:r>
    </w:p>
    <w:p>
      <w:pPr>
        <w:ind w:left="93"/>
        <w:spacing w:before="141" w:line="360" w:lineRule="exact"/>
        <w:rPr>
          <w:rFonts w:ascii="SimSun" w:hAnsi="SimSun" w:eastAsia="SimSun" w:cs="SimSun"/>
          <w:sz w:val="18"/>
          <w:szCs w:val="18"/>
        </w:rPr>
      </w:pPr>
      <w:r>
        <w:rPr>
          <w:rFonts w:ascii="Times New Roman" w:hAnsi="Times New Roman" w:eastAsia="Times New Roman" w:cs="Times New Roman"/>
          <w:sz w:val="18"/>
          <w:szCs w:val="18"/>
          <w:spacing w:val="3"/>
          <w:position w:val="14"/>
        </w:rPr>
        <w:t>1.  </w:t>
      </w:r>
      <w:r>
        <w:rPr>
          <w:rFonts w:ascii="SimSun" w:hAnsi="SimSun" w:eastAsia="SimSun" w:cs="SimSun"/>
          <w:sz w:val="18"/>
          <w:szCs w:val="18"/>
          <w:spacing w:val="3"/>
          <w:position w:val="14"/>
        </w:rPr>
        <w:t>按照证监会《公开发行证券的公司信息披露解释性公告第</w:t>
      </w:r>
      <w:r>
        <w:rPr>
          <w:rFonts w:ascii="Times New Roman" w:hAnsi="Times New Roman" w:eastAsia="Times New Roman" w:cs="Times New Roman"/>
          <w:sz w:val="18"/>
          <w:szCs w:val="18"/>
          <w:spacing w:val="3"/>
          <w:position w:val="14"/>
        </w:rPr>
        <w:t>1</w:t>
      </w:r>
      <w:r>
        <w:rPr>
          <w:rFonts w:ascii="SimSun" w:hAnsi="SimSun" w:eastAsia="SimSun" w:cs="SimSun"/>
          <w:sz w:val="18"/>
          <w:szCs w:val="18"/>
          <w:spacing w:val="3"/>
          <w:position w:val="14"/>
        </w:rPr>
        <w:t>号--</w:t>
      </w:r>
      <w:r>
        <w:rPr>
          <w:rFonts w:ascii="SimSun" w:hAnsi="SimSun" w:eastAsia="SimSun" w:cs="SimSun"/>
          <w:sz w:val="18"/>
          <w:szCs w:val="18"/>
          <w:spacing w:val="2"/>
          <w:position w:val="14"/>
        </w:rPr>
        <w:t>非经常性损益</w:t>
      </w:r>
      <w:r>
        <w:rPr>
          <w:rFonts w:ascii="Times New Roman" w:hAnsi="Times New Roman" w:eastAsia="Times New Roman" w:cs="Times New Roman"/>
          <w:sz w:val="18"/>
          <w:szCs w:val="18"/>
          <w:spacing w:val="2"/>
          <w:position w:val="14"/>
        </w:rPr>
        <w:t>(2008)</w:t>
      </w:r>
      <w:r>
        <w:rPr>
          <w:rFonts w:ascii="SimSun" w:hAnsi="SimSun" w:eastAsia="SimSun" w:cs="SimSun"/>
          <w:sz w:val="18"/>
          <w:szCs w:val="18"/>
          <w:spacing w:val="2"/>
          <w:position w:val="14"/>
        </w:rPr>
        <w:t>》要求计算。</w:t>
      </w:r>
    </w:p>
    <w:p>
      <w:pPr>
        <w:ind w:left="75"/>
        <w:spacing w:line="217" w:lineRule="auto"/>
        <w:rPr>
          <w:rFonts w:ascii="SimSun" w:hAnsi="SimSun" w:eastAsia="SimSun" w:cs="SimSun"/>
          <w:sz w:val="18"/>
          <w:szCs w:val="18"/>
        </w:rPr>
      </w:pPr>
      <w:r>
        <w:rPr>
          <w:rFonts w:ascii="Times New Roman" w:hAnsi="Times New Roman" w:eastAsia="Times New Roman" w:cs="Times New Roman"/>
          <w:sz w:val="18"/>
          <w:szCs w:val="18"/>
          <w:spacing w:val="2"/>
        </w:rPr>
        <w:t>2.  </w:t>
      </w:r>
      <w:r>
        <w:rPr>
          <w:rFonts w:ascii="SimSun" w:hAnsi="SimSun" w:eastAsia="SimSun" w:cs="SimSun"/>
          <w:sz w:val="18"/>
          <w:szCs w:val="18"/>
          <w:spacing w:val="2"/>
        </w:rPr>
        <w:t>客户贷款不含相关贷款应收利息,客户存款包含相关存款应付利息。</w:t>
      </w:r>
    </w:p>
    <w:p>
      <w:pPr>
        <w:ind w:left="79"/>
        <w:spacing w:before="148" w:line="220" w:lineRule="auto"/>
        <w:rPr>
          <w:rFonts w:ascii="SimSun" w:hAnsi="SimSun" w:eastAsia="SimSun" w:cs="SimSun"/>
          <w:sz w:val="18"/>
          <w:szCs w:val="18"/>
        </w:rPr>
      </w:pPr>
      <w:r>
        <w:rPr>
          <w:rFonts w:ascii="Times New Roman" w:hAnsi="Times New Roman" w:eastAsia="Times New Roman" w:cs="Times New Roman"/>
          <w:sz w:val="18"/>
          <w:szCs w:val="18"/>
          <w:spacing w:val="2"/>
        </w:rPr>
        <w:t>3.  </w:t>
      </w:r>
      <w:r>
        <w:rPr>
          <w:rFonts w:ascii="SimSun" w:hAnsi="SimSun" w:eastAsia="SimSun" w:cs="SimSun"/>
          <w:sz w:val="18"/>
          <w:szCs w:val="18"/>
          <w:spacing w:val="2"/>
        </w:rPr>
        <w:t>根据银保监会《商业银行资本管理办法(试行)》计算。</w:t>
      </w:r>
    </w:p>
    <w:p>
      <w:pPr>
        <w:ind w:left="78" w:right="133" w:hanging="4"/>
        <w:spacing w:before="146" w:line="233" w:lineRule="auto"/>
        <w:rPr>
          <w:rFonts w:ascii="SimSun" w:hAnsi="SimSun" w:eastAsia="SimSun" w:cs="SimSun"/>
          <w:sz w:val="18"/>
          <w:szCs w:val="18"/>
        </w:rPr>
      </w:pPr>
      <w:r>
        <w:rPr>
          <w:rFonts w:ascii="Times New Roman" w:hAnsi="Times New Roman" w:eastAsia="Times New Roman" w:cs="Times New Roman"/>
          <w:sz w:val="18"/>
          <w:szCs w:val="18"/>
          <w:spacing w:val="3"/>
        </w:rPr>
        <w:t>4.  </w:t>
      </w:r>
      <w:r>
        <w:rPr>
          <w:rFonts w:ascii="SimSun" w:hAnsi="SimSun" w:eastAsia="SimSun" w:cs="SimSun"/>
          <w:sz w:val="18"/>
          <w:szCs w:val="18"/>
          <w:spacing w:val="3"/>
        </w:rPr>
        <w:t>按照证监会《公开发行证券的公司信息披露编报规则第</w:t>
      </w:r>
      <w:r>
        <w:rPr>
          <w:rFonts w:ascii="Times New Roman" w:hAnsi="Times New Roman" w:eastAsia="Times New Roman" w:cs="Times New Roman"/>
          <w:sz w:val="18"/>
          <w:szCs w:val="18"/>
          <w:spacing w:val="3"/>
        </w:rPr>
        <w:t>9</w:t>
      </w:r>
      <w:r>
        <w:rPr>
          <w:rFonts w:ascii="SimSun" w:hAnsi="SimSun" w:eastAsia="SimSun" w:cs="SimSun"/>
          <w:sz w:val="18"/>
          <w:szCs w:val="18"/>
          <w:spacing w:val="3"/>
        </w:rPr>
        <w:t>号--净资产收益率和每股收益的计算及披露》</w:t>
      </w:r>
      <w:r>
        <w:rPr>
          <w:rFonts w:ascii="SimSun" w:hAnsi="SimSun" w:eastAsia="SimSun" w:cs="SimSun"/>
          <w:sz w:val="18"/>
          <w:szCs w:val="18"/>
          <w:spacing w:val="-22"/>
        </w:rPr>
        <w:t xml:space="preserve"> </w:t>
      </w:r>
      <w:r>
        <w:rPr>
          <w:rFonts w:ascii="SimSun" w:hAnsi="SimSun" w:eastAsia="SimSun" w:cs="SimSun"/>
          <w:sz w:val="18"/>
          <w:szCs w:val="18"/>
          <w:spacing w:val="3"/>
        </w:rPr>
        <w:t>(</w:t>
      </w:r>
      <w:r>
        <w:rPr>
          <w:rFonts w:ascii="Times New Roman" w:hAnsi="Times New Roman" w:eastAsia="Times New Roman" w:cs="Times New Roman"/>
          <w:sz w:val="18"/>
          <w:szCs w:val="18"/>
          <w:spacing w:val="3"/>
        </w:rPr>
        <w:t>2010</w:t>
      </w:r>
      <w:r>
        <w:rPr>
          <w:rFonts w:ascii="SimSun" w:hAnsi="SimSun" w:eastAsia="SimSun" w:cs="SimSun"/>
          <w:sz w:val="18"/>
          <w:szCs w:val="18"/>
          <w:spacing w:val="3"/>
        </w:rPr>
        <w:t>年修订)</w:t>
      </w:r>
      <w:r>
        <w:rPr>
          <w:rFonts w:ascii="SimSun" w:hAnsi="SimSun" w:eastAsia="SimSun" w:cs="SimSun"/>
          <w:sz w:val="18"/>
          <w:szCs w:val="18"/>
        </w:rPr>
        <w:t xml:space="preserve"> </w:t>
      </w:r>
      <w:r>
        <w:rPr>
          <w:rFonts w:ascii="SimSun" w:hAnsi="SimSun" w:eastAsia="SimSun" w:cs="SimSun"/>
          <w:sz w:val="18"/>
          <w:szCs w:val="18"/>
          <w:spacing w:val="-6"/>
        </w:rPr>
        <w:t>要求计算。</w:t>
      </w:r>
    </w:p>
    <w:p>
      <w:pPr>
        <w:ind w:left="80"/>
        <w:spacing w:before="145" w:line="360" w:lineRule="exact"/>
        <w:rPr>
          <w:rFonts w:ascii="SimSun" w:hAnsi="SimSun" w:eastAsia="SimSun" w:cs="SimSun"/>
          <w:sz w:val="18"/>
          <w:szCs w:val="18"/>
        </w:rPr>
      </w:pPr>
      <w:r>
        <w:rPr>
          <w:rFonts w:ascii="Times New Roman" w:hAnsi="Times New Roman" w:eastAsia="Times New Roman" w:cs="Times New Roman"/>
          <w:sz w:val="18"/>
          <w:szCs w:val="18"/>
          <w:spacing w:val="-1"/>
          <w:position w:val="13"/>
        </w:rPr>
        <w:t>5.  </w:t>
      </w:r>
      <w:r>
        <w:rPr>
          <w:rFonts w:ascii="SimSun" w:hAnsi="SimSun" w:eastAsia="SimSun" w:cs="SimSun"/>
          <w:sz w:val="18"/>
          <w:szCs w:val="18"/>
          <w:spacing w:val="-1"/>
          <w:position w:val="13"/>
        </w:rPr>
        <w:t>为期末扣除其他权益工具后的归属于母公司普通股股东的股东权益除以期末普通股股本总数。</w:t>
      </w:r>
    </w:p>
    <w:p>
      <w:pPr>
        <w:ind w:left="79"/>
        <w:spacing w:line="220" w:lineRule="auto"/>
        <w:rPr>
          <w:rFonts w:ascii="SimSun" w:hAnsi="SimSun" w:eastAsia="SimSun" w:cs="SimSun"/>
          <w:sz w:val="18"/>
          <w:szCs w:val="18"/>
        </w:rPr>
      </w:pPr>
      <w:r>
        <w:rPr>
          <w:rFonts w:ascii="Times New Roman" w:hAnsi="Times New Roman" w:eastAsia="Times New Roman" w:cs="Times New Roman"/>
          <w:sz w:val="18"/>
          <w:szCs w:val="18"/>
          <w:spacing w:val="-2"/>
        </w:rPr>
        <w:t>6.  </w:t>
      </w:r>
      <w:r>
        <w:rPr>
          <w:rFonts w:ascii="SimSun" w:hAnsi="SimSun" w:eastAsia="SimSun" w:cs="SimSun"/>
          <w:sz w:val="18"/>
          <w:szCs w:val="18"/>
          <w:spacing w:val="-2"/>
        </w:rPr>
        <w:t>利息净收入与平均生息资产总额的比率。</w:t>
      </w:r>
    </w:p>
    <w:p>
      <w:pPr>
        <w:ind w:left="78"/>
        <w:spacing w:before="145" w:line="220" w:lineRule="auto"/>
        <w:rPr>
          <w:rFonts w:ascii="SimSun" w:hAnsi="SimSun" w:eastAsia="SimSun" w:cs="SimSun"/>
          <w:sz w:val="18"/>
          <w:szCs w:val="18"/>
        </w:rPr>
      </w:pPr>
      <w:r>
        <w:rPr>
          <w:rFonts w:ascii="Times New Roman" w:hAnsi="Times New Roman" w:eastAsia="Times New Roman" w:cs="Times New Roman"/>
          <w:sz w:val="18"/>
          <w:szCs w:val="18"/>
          <w:spacing w:val="-1"/>
        </w:rPr>
        <w:t>7.  </w:t>
      </w:r>
      <w:r>
        <w:rPr>
          <w:rFonts w:ascii="SimSun" w:hAnsi="SimSun" w:eastAsia="SimSun" w:cs="SimSun"/>
          <w:sz w:val="18"/>
          <w:szCs w:val="18"/>
          <w:spacing w:val="-1"/>
        </w:rPr>
        <w:t>根据银保监会监管口径计算。</w:t>
      </w:r>
    </w:p>
    <w:p>
      <w:pPr>
        <w:ind w:left="82"/>
        <w:spacing w:before="146" w:line="217" w:lineRule="auto"/>
        <w:rPr>
          <w:rFonts w:ascii="SimSun" w:hAnsi="SimSun" w:eastAsia="SimSun" w:cs="SimSun"/>
          <w:sz w:val="18"/>
          <w:szCs w:val="18"/>
        </w:rPr>
      </w:pPr>
      <w:r>
        <w:rPr>
          <w:rFonts w:ascii="Times New Roman" w:hAnsi="Times New Roman" w:eastAsia="Times New Roman" w:cs="Times New Roman"/>
          <w:sz w:val="18"/>
          <w:szCs w:val="18"/>
          <w:spacing w:val="1"/>
        </w:rPr>
        <w:t>8.  </w:t>
      </w:r>
      <w:r>
        <w:rPr>
          <w:rFonts w:ascii="SimSun" w:hAnsi="SimSun" w:eastAsia="SimSun" w:cs="SimSun"/>
          <w:sz w:val="18"/>
          <w:szCs w:val="18"/>
          <w:spacing w:val="1"/>
        </w:rPr>
        <w:t>根据业务及管理费除以营业收入计算,同期比较数据已根据当期列报口径进行了重述。</w:t>
      </w:r>
    </w:p>
    <w:p>
      <w:pPr>
        <w:pStyle w:val="BodyText"/>
        <w:spacing w:line="288" w:lineRule="auto"/>
        <w:rPr/>
      </w:pPr>
      <w:r/>
    </w:p>
    <w:p>
      <w:pPr>
        <w:pStyle w:val="BodyText"/>
        <w:spacing w:line="288" w:lineRule="auto"/>
        <w:rPr/>
      </w:pPr>
      <w:r/>
    </w:p>
    <w:p>
      <w:pPr>
        <w:pStyle w:val="BodyText"/>
        <w:spacing w:line="288" w:lineRule="auto"/>
        <w:rPr/>
      </w:pPr>
      <w:r/>
    </w:p>
    <w:p>
      <w:pPr>
        <w:ind w:left="501"/>
        <w:spacing w:before="68" w:line="220" w:lineRule="auto"/>
        <w:rPr>
          <w:rFonts w:ascii="SimSun" w:hAnsi="SimSun" w:eastAsia="SimSun" w:cs="SimSun"/>
          <w:sz w:val="21"/>
          <w:szCs w:val="21"/>
        </w:rPr>
      </w:pPr>
      <w:r>
        <w:rPr>
          <w:rFonts w:ascii="SimSun" w:hAnsi="SimSun" w:eastAsia="SimSun" w:cs="SimSun"/>
          <w:sz w:val="21"/>
          <w:szCs w:val="21"/>
          <w:b/>
          <w:bCs/>
          <w:spacing w:val="-2"/>
        </w:rPr>
        <w:t>报告期内分季度主要会计数据</w:t>
      </w:r>
    </w:p>
    <w:p>
      <w:pPr>
        <w:pStyle w:val="BodyText"/>
        <w:spacing w:line="275" w:lineRule="auto"/>
        <w:rPr/>
      </w:pPr>
      <w:r/>
    </w:p>
    <w:p>
      <w:pPr>
        <w:ind w:left="8374"/>
        <w:spacing w:before="59" w:line="220" w:lineRule="auto"/>
        <w:rPr>
          <w:rFonts w:ascii="SimSun" w:hAnsi="SimSun" w:eastAsia="SimSun" w:cs="SimSun"/>
          <w:sz w:val="18"/>
          <w:szCs w:val="18"/>
        </w:rPr>
      </w:pPr>
      <w:r>
        <w:rPr>
          <w:rFonts w:ascii="SimSun" w:hAnsi="SimSun" w:eastAsia="SimSun" w:cs="SimSun"/>
          <w:sz w:val="18"/>
          <w:szCs w:val="18"/>
        </w:rPr>
        <w:t>(人民币百万元)</w:t>
      </w:r>
    </w:p>
    <w:p>
      <w:pPr>
        <w:spacing w:line="136" w:lineRule="auto"/>
        <w:rPr>
          <w:rFonts w:ascii="Arial"/>
          <w:sz w:val="2"/>
        </w:rPr>
      </w:pPr>
      <w:r>
        <w:rPr>
          <w:rFonts w:ascii="Arial"/>
          <w:sz w:val="2"/>
        </w:rPr>
      </w:r>
    </w:p>
    <w:tbl>
      <w:tblPr>
        <w:tblStyle w:val="TableNormal"/>
        <w:tblW w:w="9570" w:type="dxa"/>
        <w:tblInd w:w="98"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934"/>
        <w:gridCol w:w="1501"/>
        <w:gridCol w:w="1523"/>
        <w:gridCol w:w="1482"/>
        <w:gridCol w:w="1130"/>
      </w:tblGrid>
      <w:tr>
        <w:trPr>
          <w:trHeight w:val="740" w:hRule="atLeast"/>
        </w:trPr>
        <w:tc>
          <w:tcPr>
            <w:tcW w:w="3934" w:type="dxa"/>
            <w:vAlign w:val="top"/>
            <w:tcBorders>
              <w:bottom w:val="single" w:color="000000" w:sz="2" w:space="0"/>
              <w:top w:val="single" w:color="000000" w:sz="2" w:space="0"/>
            </w:tcBorders>
          </w:tcPr>
          <w:p>
            <w:pPr>
              <w:rPr>
                <w:rFonts w:ascii="Arial"/>
                <w:sz w:val="21"/>
              </w:rPr>
            </w:pPr>
            <w:r/>
          </w:p>
          <w:p>
            <w:pPr>
              <w:pStyle w:val="TableText"/>
              <w:ind w:left="80"/>
              <w:spacing w:before="59" w:line="220" w:lineRule="auto"/>
              <w:rPr>
                <w:sz w:val="18"/>
                <w:szCs w:val="18"/>
              </w:rPr>
            </w:pPr>
            <w:r>
              <w:rPr>
                <w:sz w:val="18"/>
                <w:szCs w:val="18"/>
                <w:b/>
                <w:bCs/>
                <w:spacing w:val="-3"/>
              </w:rPr>
              <w:t>主要会计数据</w:t>
            </w:r>
          </w:p>
        </w:tc>
        <w:tc>
          <w:tcPr>
            <w:tcW w:w="1501" w:type="dxa"/>
            <w:vAlign w:val="top"/>
            <w:tcBorders>
              <w:bottom w:val="single" w:color="000000" w:sz="2" w:space="0"/>
              <w:top w:val="single" w:color="000000" w:sz="2" w:space="0"/>
            </w:tcBorders>
          </w:tcPr>
          <w:p>
            <w:pPr>
              <w:pStyle w:val="TableText"/>
              <w:ind w:left="470"/>
              <w:spacing w:before="133" w:line="336" w:lineRule="exact"/>
              <w:rPr>
                <w:sz w:val="18"/>
                <w:szCs w:val="18"/>
              </w:rPr>
            </w:pPr>
            <w:r>
              <w:rPr>
                <w:rFonts w:ascii="Times New Roman" w:hAnsi="Times New Roman" w:eastAsia="Times New Roman" w:cs="Times New Roman"/>
                <w:sz w:val="18"/>
                <w:szCs w:val="18"/>
                <w:b/>
                <w:bCs/>
                <w:spacing w:val="-2"/>
                <w:position w:val="11"/>
              </w:rPr>
              <w:t>2022</w:t>
            </w:r>
            <w:r>
              <w:rPr>
                <w:rFonts w:ascii="Times New Roman" w:hAnsi="Times New Roman" w:eastAsia="Times New Roman" w:cs="Times New Roman"/>
                <w:sz w:val="18"/>
                <w:szCs w:val="18"/>
                <w:b/>
                <w:bCs/>
                <w:spacing w:val="11"/>
                <w:position w:val="11"/>
              </w:rPr>
              <w:t xml:space="preserve"> </w:t>
            </w:r>
            <w:r>
              <w:rPr>
                <w:sz w:val="18"/>
                <w:szCs w:val="18"/>
                <w:b/>
                <w:bCs/>
                <w:spacing w:val="-2"/>
                <w:position w:val="11"/>
              </w:rPr>
              <w:t>年</w:t>
            </w:r>
          </w:p>
          <w:p>
            <w:pPr>
              <w:pStyle w:val="TableText"/>
              <w:ind w:left="598"/>
              <w:spacing w:line="220" w:lineRule="auto"/>
              <w:rPr>
                <w:sz w:val="18"/>
                <w:szCs w:val="18"/>
              </w:rPr>
            </w:pPr>
            <w:r>
              <w:rPr>
                <w:rFonts w:ascii="Times New Roman" w:hAnsi="Times New Roman" w:eastAsia="Times New Roman" w:cs="Times New Roman"/>
                <w:sz w:val="18"/>
                <w:szCs w:val="18"/>
                <w:b/>
                <w:bCs/>
                <w:spacing w:val="-4"/>
              </w:rPr>
              <w:t>1-3</w:t>
            </w:r>
            <w:r>
              <w:rPr>
                <w:rFonts w:ascii="Times New Roman" w:hAnsi="Times New Roman" w:eastAsia="Times New Roman" w:cs="Times New Roman"/>
                <w:sz w:val="18"/>
                <w:szCs w:val="18"/>
                <w:b/>
                <w:bCs/>
                <w:spacing w:val="13"/>
              </w:rPr>
              <w:t xml:space="preserve"> </w:t>
            </w:r>
            <w:r>
              <w:rPr>
                <w:sz w:val="18"/>
                <w:szCs w:val="18"/>
                <w:b/>
                <w:bCs/>
                <w:spacing w:val="-4"/>
              </w:rPr>
              <w:t>月</w:t>
            </w:r>
          </w:p>
        </w:tc>
        <w:tc>
          <w:tcPr>
            <w:tcW w:w="1523" w:type="dxa"/>
            <w:vAlign w:val="top"/>
            <w:tcBorders>
              <w:bottom w:val="single" w:color="000000" w:sz="2" w:space="0"/>
              <w:top w:val="single" w:color="000000" w:sz="2" w:space="0"/>
            </w:tcBorders>
          </w:tcPr>
          <w:p>
            <w:pPr>
              <w:pStyle w:val="TableText"/>
              <w:ind w:left="481"/>
              <w:spacing w:before="133" w:line="336" w:lineRule="exact"/>
              <w:rPr>
                <w:sz w:val="18"/>
                <w:szCs w:val="18"/>
              </w:rPr>
            </w:pPr>
            <w:r>
              <w:rPr>
                <w:rFonts w:ascii="Times New Roman" w:hAnsi="Times New Roman" w:eastAsia="Times New Roman" w:cs="Times New Roman"/>
                <w:sz w:val="18"/>
                <w:szCs w:val="18"/>
                <w:b/>
                <w:bCs/>
                <w:spacing w:val="-2"/>
                <w:position w:val="11"/>
              </w:rPr>
              <w:t>2022</w:t>
            </w:r>
            <w:r>
              <w:rPr>
                <w:rFonts w:ascii="Times New Roman" w:hAnsi="Times New Roman" w:eastAsia="Times New Roman" w:cs="Times New Roman"/>
                <w:sz w:val="18"/>
                <w:szCs w:val="18"/>
                <w:b/>
                <w:bCs/>
                <w:spacing w:val="11"/>
                <w:position w:val="11"/>
              </w:rPr>
              <w:t xml:space="preserve"> </w:t>
            </w:r>
            <w:r>
              <w:rPr>
                <w:sz w:val="18"/>
                <w:szCs w:val="18"/>
                <w:b/>
                <w:bCs/>
                <w:spacing w:val="-2"/>
                <w:position w:val="11"/>
              </w:rPr>
              <w:t>年</w:t>
            </w:r>
          </w:p>
          <w:p>
            <w:pPr>
              <w:pStyle w:val="TableText"/>
              <w:ind w:left="602"/>
              <w:spacing w:line="220" w:lineRule="auto"/>
              <w:rPr>
                <w:sz w:val="18"/>
                <w:szCs w:val="18"/>
              </w:rPr>
            </w:pPr>
            <w:r>
              <w:rPr>
                <w:rFonts w:ascii="Times New Roman" w:hAnsi="Times New Roman" w:eastAsia="Times New Roman" w:cs="Times New Roman"/>
                <w:sz w:val="18"/>
                <w:szCs w:val="18"/>
                <w:b/>
                <w:bCs/>
                <w:spacing w:val="-2"/>
              </w:rPr>
              <w:t>4-6</w:t>
            </w:r>
            <w:r>
              <w:rPr>
                <w:rFonts w:ascii="Times New Roman" w:hAnsi="Times New Roman" w:eastAsia="Times New Roman" w:cs="Times New Roman"/>
                <w:sz w:val="18"/>
                <w:szCs w:val="18"/>
                <w:b/>
                <w:bCs/>
                <w:spacing w:val="12"/>
                <w:w w:val="101"/>
              </w:rPr>
              <w:t xml:space="preserve"> </w:t>
            </w:r>
            <w:r>
              <w:rPr>
                <w:sz w:val="18"/>
                <w:szCs w:val="18"/>
                <w:b/>
                <w:bCs/>
                <w:spacing w:val="-2"/>
              </w:rPr>
              <w:t>月</w:t>
            </w:r>
          </w:p>
        </w:tc>
        <w:tc>
          <w:tcPr>
            <w:tcW w:w="1482" w:type="dxa"/>
            <w:vAlign w:val="top"/>
            <w:tcBorders>
              <w:bottom w:val="single" w:color="000000" w:sz="2" w:space="0"/>
              <w:top w:val="single" w:color="000000" w:sz="2" w:space="0"/>
            </w:tcBorders>
          </w:tcPr>
          <w:p>
            <w:pPr>
              <w:pStyle w:val="TableText"/>
              <w:ind w:left="466"/>
              <w:spacing w:before="133" w:line="336" w:lineRule="exact"/>
              <w:rPr>
                <w:sz w:val="18"/>
                <w:szCs w:val="18"/>
              </w:rPr>
            </w:pPr>
            <w:r>
              <w:rPr>
                <w:rFonts w:ascii="Times New Roman" w:hAnsi="Times New Roman" w:eastAsia="Times New Roman" w:cs="Times New Roman"/>
                <w:sz w:val="18"/>
                <w:szCs w:val="18"/>
                <w:b/>
                <w:bCs/>
                <w:spacing w:val="-2"/>
                <w:position w:val="11"/>
              </w:rPr>
              <w:t>2022</w:t>
            </w:r>
            <w:r>
              <w:rPr>
                <w:rFonts w:ascii="Times New Roman" w:hAnsi="Times New Roman" w:eastAsia="Times New Roman" w:cs="Times New Roman"/>
                <w:sz w:val="18"/>
                <w:szCs w:val="18"/>
                <w:b/>
                <w:bCs/>
                <w:spacing w:val="11"/>
                <w:w w:val="101"/>
                <w:position w:val="11"/>
              </w:rPr>
              <w:t xml:space="preserve"> </w:t>
            </w:r>
            <w:r>
              <w:rPr>
                <w:sz w:val="18"/>
                <w:szCs w:val="18"/>
                <w:b/>
                <w:bCs/>
                <w:spacing w:val="-2"/>
                <w:position w:val="11"/>
              </w:rPr>
              <w:t>年</w:t>
            </w:r>
          </w:p>
          <w:p>
            <w:pPr>
              <w:pStyle w:val="TableText"/>
              <w:ind w:left="587"/>
              <w:spacing w:line="220" w:lineRule="auto"/>
              <w:rPr>
                <w:sz w:val="18"/>
                <w:szCs w:val="18"/>
              </w:rPr>
            </w:pPr>
            <w:r>
              <w:rPr>
                <w:rFonts w:ascii="Times New Roman" w:hAnsi="Times New Roman" w:eastAsia="Times New Roman" w:cs="Times New Roman"/>
                <w:sz w:val="18"/>
                <w:szCs w:val="18"/>
                <w:b/>
                <w:bCs/>
                <w:spacing w:val="-2"/>
              </w:rPr>
              <w:t>7-9</w:t>
            </w:r>
            <w:r>
              <w:rPr>
                <w:rFonts w:ascii="Times New Roman" w:hAnsi="Times New Roman" w:eastAsia="Times New Roman" w:cs="Times New Roman"/>
                <w:sz w:val="18"/>
                <w:szCs w:val="18"/>
                <w:b/>
                <w:bCs/>
                <w:spacing w:val="11"/>
                <w:w w:val="101"/>
              </w:rPr>
              <w:t xml:space="preserve"> </w:t>
            </w:r>
            <w:r>
              <w:rPr>
                <w:sz w:val="18"/>
                <w:szCs w:val="18"/>
                <w:b/>
                <w:bCs/>
                <w:spacing w:val="-2"/>
              </w:rPr>
              <w:t>月</w:t>
            </w:r>
          </w:p>
        </w:tc>
        <w:tc>
          <w:tcPr>
            <w:tcW w:w="1130" w:type="dxa"/>
            <w:vAlign w:val="top"/>
            <w:tcBorders>
              <w:bottom w:val="single" w:color="000000" w:sz="2" w:space="0"/>
              <w:top w:val="single" w:color="000000" w:sz="2" w:space="0"/>
            </w:tcBorders>
          </w:tcPr>
          <w:p>
            <w:pPr>
              <w:pStyle w:val="TableText"/>
              <w:ind w:left="441" w:right="54" w:firstLine="52"/>
              <w:spacing w:before="134" w:line="282" w:lineRule="auto"/>
              <w:rPr>
                <w:sz w:val="18"/>
                <w:szCs w:val="18"/>
              </w:rPr>
            </w:pPr>
            <w:r>
              <w:rPr>
                <w:rFonts w:ascii="Times New Roman" w:hAnsi="Times New Roman" w:eastAsia="Times New Roman" w:cs="Times New Roman"/>
                <w:sz w:val="18"/>
                <w:szCs w:val="18"/>
                <w:b/>
                <w:bCs/>
                <w:spacing w:val="-3"/>
              </w:rPr>
              <w:t>2022</w:t>
            </w:r>
            <w:r>
              <w:rPr>
                <w:rFonts w:ascii="Times New Roman" w:hAnsi="Times New Roman" w:eastAsia="Times New Roman" w:cs="Times New Roman"/>
                <w:sz w:val="18"/>
                <w:szCs w:val="18"/>
                <w:b/>
                <w:bCs/>
                <w:spacing w:val="8"/>
              </w:rPr>
              <w:t xml:space="preserve"> </w:t>
            </w:r>
            <w:r>
              <w:rPr>
                <w:sz w:val="18"/>
                <w:szCs w:val="18"/>
                <w:b/>
                <w:bCs/>
                <w:spacing w:val="-3"/>
              </w:rPr>
              <w:t>年</w:t>
            </w:r>
            <w:r>
              <w:rPr>
                <w:sz w:val="18"/>
                <w:szCs w:val="18"/>
              </w:rPr>
              <w:t xml:space="preserve"> </w:t>
            </w:r>
            <w:r>
              <w:rPr>
                <w:rFonts w:ascii="Times New Roman" w:hAnsi="Times New Roman" w:eastAsia="Times New Roman" w:cs="Times New Roman"/>
                <w:sz w:val="18"/>
                <w:szCs w:val="18"/>
                <w:b/>
                <w:bCs/>
                <w:spacing w:val="-4"/>
              </w:rPr>
              <w:t>10-12</w:t>
            </w:r>
            <w:r>
              <w:rPr>
                <w:rFonts w:ascii="Times New Roman" w:hAnsi="Times New Roman" w:eastAsia="Times New Roman" w:cs="Times New Roman"/>
                <w:sz w:val="18"/>
                <w:szCs w:val="18"/>
                <w:b/>
                <w:bCs/>
                <w:spacing w:val="10"/>
              </w:rPr>
              <w:t xml:space="preserve"> </w:t>
            </w:r>
            <w:r>
              <w:rPr>
                <w:sz w:val="18"/>
                <w:szCs w:val="18"/>
                <w:b/>
                <w:bCs/>
                <w:spacing w:val="-4"/>
              </w:rPr>
              <w:t>月</w:t>
            </w:r>
          </w:p>
        </w:tc>
      </w:tr>
      <w:tr>
        <w:trPr>
          <w:trHeight w:val="400" w:hRule="atLeast"/>
        </w:trPr>
        <w:tc>
          <w:tcPr>
            <w:tcW w:w="3934" w:type="dxa"/>
            <w:vAlign w:val="top"/>
            <w:tcBorders>
              <w:bottom w:val="single" w:color="000000" w:sz="2" w:space="0"/>
              <w:top w:val="single" w:color="000000" w:sz="2" w:space="0"/>
            </w:tcBorders>
          </w:tcPr>
          <w:p>
            <w:pPr>
              <w:pStyle w:val="TableText"/>
              <w:ind w:left="84"/>
              <w:spacing w:before="127" w:line="220" w:lineRule="auto"/>
              <w:rPr>
                <w:sz w:val="18"/>
                <w:szCs w:val="18"/>
              </w:rPr>
            </w:pPr>
            <w:r>
              <w:rPr>
                <w:sz w:val="18"/>
                <w:szCs w:val="18"/>
                <w:spacing w:val="-3"/>
              </w:rPr>
              <w:t>营业收入</w:t>
            </w:r>
          </w:p>
        </w:tc>
        <w:tc>
          <w:tcPr>
            <w:tcW w:w="1501" w:type="dxa"/>
            <w:vAlign w:val="top"/>
            <w:tcBorders>
              <w:bottom w:val="single" w:color="000000" w:sz="2" w:space="0"/>
              <w:top w:val="single" w:color="000000" w:sz="2" w:space="0"/>
            </w:tcBorders>
          </w:tcPr>
          <w:p>
            <w:pPr>
              <w:ind w:left="564"/>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73,608</w:t>
            </w:r>
          </w:p>
        </w:tc>
        <w:tc>
          <w:tcPr>
            <w:tcW w:w="1523" w:type="dxa"/>
            <w:vAlign w:val="top"/>
            <w:tcBorders>
              <w:bottom w:val="single" w:color="000000" w:sz="2" w:space="0"/>
              <w:top w:val="single" w:color="000000" w:sz="2" w:space="0"/>
            </w:tcBorders>
          </w:tcPr>
          <w:p>
            <w:pPr>
              <w:ind w:left="576"/>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69,778</w:t>
            </w:r>
          </w:p>
        </w:tc>
        <w:tc>
          <w:tcPr>
            <w:tcW w:w="1482" w:type="dxa"/>
            <w:vAlign w:val="top"/>
            <w:tcBorders>
              <w:bottom w:val="single" w:color="000000" w:sz="2" w:space="0"/>
              <w:top w:val="single" w:color="000000" w:sz="2" w:space="0"/>
            </w:tcBorders>
          </w:tcPr>
          <w:p>
            <w:pPr>
              <w:ind w:left="560"/>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66,690</w:t>
            </w:r>
          </w:p>
        </w:tc>
        <w:tc>
          <w:tcPr>
            <w:tcW w:w="1130" w:type="dxa"/>
            <w:vAlign w:val="top"/>
            <w:tcBorders>
              <w:bottom w:val="single" w:color="000000" w:sz="2" w:space="0"/>
              <w:top w:val="single" w:color="000000" w:sz="2" w:space="0"/>
            </w:tcBorders>
          </w:tcPr>
          <w:p>
            <w:pPr>
              <w:ind w:left="588"/>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62,902</w:t>
            </w:r>
          </w:p>
        </w:tc>
      </w:tr>
      <w:tr>
        <w:trPr>
          <w:trHeight w:val="397" w:hRule="atLeast"/>
        </w:trPr>
        <w:tc>
          <w:tcPr>
            <w:tcW w:w="3934" w:type="dxa"/>
            <w:vAlign w:val="top"/>
            <w:tcBorders>
              <w:bottom w:val="single" w:color="000000" w:sz="2" w:space="0"/>
              <w:top w:val="single" w:color="000000" w:sz="2" w:space="0"/>
            </w:tcBorders>
          </w:tcPr>
          <w:p>
            <w:pPr>
              <w:pStyle w:val="TableText"/>
              <w:ind w:left="81"/>
              <w:spacing w:before="128" w:line="220" w:lineRule="auto"/>
              <w:rPr>
                <w:sz w:val="18"/>
                <w:szCs w:val="18"/>
              </w:rPr>
            </w:pPr>
            <w:r>
              <w:rPr>
                <w:sz w:val="18"/>
                <w:szCs w:val="18"/>
                <w:spacing w:val="7"/>
              </w:rPr>
              <w:t>净利润(归属于母公司股东)</w:t>
            </w:r>
          </w:p>
        </w:tc>
        <w:tc>
          <w:tcPr>
            <w:tcW w:w="1501" w:type="dxa"/>
            <w:vAlign w:val="top"/>
            <w:tcBorders>
              <w:bottom w:val="single" w:color="000000" w:sz="2" w:space="0"/>
              <w:top w:val="single" w:color="000000" w:sz="2" w:space="0"/>
            </w:tcBorders>
          </w:tcPr>
          <w:p>
            <w:pPr>
              <w:ind w:left="561"/>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23,336</w:t>
            </w:r>
          </w:p>
        </w:tc>
        <w:tc>
          <w:tcPr>
            <w:tcW w:w="1523" w:type="dxa"/>
            <w:vAlign w:val="top"/>
            <w:tcBorders>
              <w:bottom w:val="single" w:color="000000" w:sz="2" w:space="0"/>
              <w:top w:val="single" w:color="000000" w:sz="2" w:space="0"/>
            </w:tcBorders>
          </w:tcPr>
          <w:p>
            <w:pPr>
              <w:ind w:left="572"/>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20,704</w:t>
            </w:r>
          </w:p>
        </w:tc>
        <w:tc>
          <w:tcPr>
            <w:tcW w:w="1482" w:type="dxa"/>
            <w:vAlign w:val="top"/>
            <w:tcBorders>
              <w:bottom w:val="single" w:color="000000" w:sz="2" w:space="0"/>
              <w:top w:val="single" w:color="000000" w:sz="2" w:space="0"/>
            </w:tcBorders>
          </w:tcPr>
          <w:p>
            <w:pPr>
              <w:ind w:left="556"/>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23,843</w:t>
            </w:r>
          </w:p>
        </w:tc>
        <w:tc>
          <w:tcPr>
            <w:tcW w:w="1130" w:type="dxa"/>
            <w:vAlign w:val="top"/>
            <w:tcBorders>
              <w:bottom w:val="single" w:color="000000" w:sz="2" w:space="0"/>
              <w:top w:val="single" w:color="000000" w:sz="2" w:space="0"/>
            </w:tcBorders>
          </w:tcPr>
          <w:p>
            <w:pPr>
              <w:ind w:left="584"/>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24,266</w:t>
            </w:r>
          </w:p>
        </w:tc>
      </w:tr>
      <w:tr>
        <w:trPr>
          <w:trHeight w:val="678" w:hRule="atLeast"/>
        </w:trPr>
        <w:tc>
          <w:tcPr>
            <w:tcW w:w="3934" w:type="dxa"/>
            <w:vAlign w:val="top"/>
            <w:tcBorders>
              <w:bottom w:val="single" w:color="000000" w:sz="2" w:space="0"/>
              <w:top w:val="single" w:color="000000" w:sz="2" w:space="0"/>
            </w:tcBorders>
          </w:tcPr>
          <w:p>
            <w:pPr>
              <w:pStyle w:val="TableText"/>
              <w:ind w:left="85" w:right="458" w:hanging="4"/>
              <w:spacing w:before="128" w:line="253" w:lineRule="auto"/>
              <w:rPr>
                <w:sz w:val="18"/>
                <w:szCs w:val="18"/>
              </w:rPr>
            </w:pPr>
            <w:r>
              <w:rPr>
                <w:sz w:val="18"/>
                <w:szCs w:val="18"/>
                <w:spacing w:val="3"/>
              </w:rPr>
              <w:t>扣除非经常性损益后的净利润(归属于母公</w:t>
            </w:r>
            <w:r>
              <w:rPr>
                <w:sz w:val="18"/>
                <w:szCs w:val="18"/>
                <w:spacing w:val="5"/>
              </w:rPr>
              <w:t xml:space="preserve"> </w:t>
            </w:r>
            <w:r>
              <w:rPr>
                <w:sz w:val="18"/>
                <w:szCs w:val="18"/>
              </w:rPr>
              <w:t>司股东)</w:t>
            </w:r>
          </w:p>
        </w:tc>
        <w:tc>
          <w:tcPr>
            <w:tcW w:w="1501" w:type="dxa"/>
            <w:vAlign w:val="top"/>
            <w:tcBorders>
              <w:bottom w:val="single" w:color="000000" w:sz="2" w:space="0"/>
              <w:top w:val="single" w:color="000000" w:sz="2" w:space="0"/>
            </w:tcBorders>
          </w:tcPr>
          <w:p>
            <w:pPr>
              <w:spacing w:line="248" w:lineRule="auto"/>
              <w:rPr>
                <w:rFonts w:ascii="Arial"/>
                <w:sz w:val="21"/>
              </w:rPr>
            </w:pPr>
            <w:r/>
          </w:p>
          <w:p>
            <w:pPr>
              <w:ind w:left="561"/>
              <w:spacing w:before="5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23,248</w:t>
            </w:r>
          </w:p>
        </w:tc>
        <w:tc>
          <w:tcPr>
            <w:tcW w:w="1523" w:type="dxa"/>
            <w:vAlign w:val="top"/>
            <w:tcBorders>
              <w:bottom w:val="single" w:color="000000" w:sz="2" w:space="0"/>
              <w:top w:val="single" w:color="000000" w:sz="2" w:space="0"/>
            </w:tcBorders>
          </w:tcPr>
          <w:p>
            <w:pPr>
              <w:spacing w:line="248" w:lineRule="auto"/>
              <w:rPr>
                <w:rFonts w:ascii="Arial"/>
                <w:sz w:val="21"/>
              </w:rPr>
            </w:pPr>
            <w:r/>
          </w:p>
          <w:p>
            <w:pPr>
              <w:ind w:left="572"/>
              <w:spacing w:before="5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20,661</w:t>
            </w:r>
          </w:p>
        </w:tc>
        <w:tc>
          <w:tcPr>
            <w:tcW w:w="1482" w:type="dxa"/>
            <w:vAlign w:val="top"/>
            <w:tcBorders>
              <w:bottom w:val="single" w:color="000000" w:sz="2" w:space="0"/>
              <w:top w:val="single" w:color="000000" w:sz="2" w:space="0"/>
            </w:tcBorders>
          </w:tcPr>
          <w:p>
            <w:pPr>
              <w:spacing w:line="248" w:lineRule="auto"/>
              <w:rPr>
                <w:rFonts w:ascii="Arial"/>
                <w:sz w:val="21"/>
              </w:rPr>
            </w:pPr>
            <w:r/>
          </w:p>
          <w:p>
            <w:pPr>
              <w:ind w:left="556"/>
              <w:spacing w:before="5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23,530</w:t>
            </w:r>
          </w:p>
        </w:tc>
        <w:tc>
          <w:tcPr>
            <w:tcW w:w="1130" w:type="dxa"/>
            <w:vAlign w:val="top"/>
            <w:tcBorders>
              <w:bottom w:val="single" w:color="000000" w:sz="2" w:space="0"/>
              <w:top w:val="single" w:color="000000" w:sz="2" w:space="0"/>
            </w:tcBorders>
          </w:tcPr>
          <w:p>
            <w:pPr>
              <w:spacing w:line="248" w:lineRule="auto"/>
              <w:rPr>
                <w:rFonts w:ascii="Arial"/>
                <w:sz w:val="21"/>
              </w:rPr>
            </w:pPr>
            <w:r/>
          </w:p>
          <w:p>
            <w:pPr>
              <w:ind w:left="584"/>
              <w:spacing w:before="5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23,629</w:t>
            </w:r>
          </w:p>
        </w:tc>
      </w:tr>
      <w:tr>
        <w:trPr>
          <w:trHeight w:val="436" w:hRule="atLeast"/>
        </w:trPr>
        <w:tc>
          <w:tcPr>
            <w:tcW w:w="3934" w:type="dxa"/>
            <w:vAlign w:val="top"/>
            <w:tcBorders>
              <w:bottom w:val="single" w:color="000000" w:sz="2" w:space="0"/>
              <w:top w:val="single" w:color="000000" w:sz="2" w:space="0"/>
            </w:tcBorders>
          </w:tcPr>
          <w:p>
            <w:pPr>
              <w:pStyle w:val="TableText"/>
              <w:ind w:left="80"/>
              <w:spacing w:before="147" w:line="220" w:lineRule="auto"/>
              <w:rPr>
                <w:sz w:val="18"/>
                <w:szCs w:val="18"/>
              </w:rPr>
            </w:pPr>
            <w:r>
              <w:rPr>
                <w:sz w:val="18"/>
                <w:szCs w:val="18"/>
                <w:spacing w:val="-1"/>
              </w:rPr>
              <w:t>经营活动产生的现金流量净额</w:t>
            </w:r>
          </w:p>
        </w:tc>
        <w:tc>
          <w:tcPr>
            <w:tcW w:w="1501" w:type="dxa"/>
            <w:vAlign w:val="top"/>
            <w:tcBorders>
              <w:bottom w:val="single" w:color="000000" w:sz="2" w:space="0"/>
              <w:top w:val="single" w:color="000000" w:sz="2" w:space="0"/>
            </w:tcBorders>
          </w:tcPr>
          <w:p>
            <w:pPr>
              <w:ind w:left="487"/>
              <w:spacing w:before="18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101,621</w:t>
            </w:r>
          </w:p>
        </w:tc>
        <w:tc>
          <w:tcPr>
            <w:tcW w:w="1523" w:type="dxa"/>
            <w:vAlign w:val="top"/>
            <w:tcBorders>
              <w:bottom w:val="single" w:color="000000" w:sz="2" w:space="0"/>
              <w:top w:val="single" w:color="000000" w:sz="2" w:space="0"/>
            </w:tcBorders>
          </w:tcPr>
          <w:p>
            <w:pPr>
              <w:ind w:left="456"/>
              <w:spacing w:before="176"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(12,512)</w:t>
            </w:r>
          </w:p>
        </w:tc>
        <w:tc>
          <w:tcPr>
            <w:tcW w:w="1482" w:type="dxa"/>
            <w:vAlign w:val="top"/>
            <w:tcBorders>
              <w:bottom w:val="single" w:color="000000" w:sz="2" w:space="0"/>
              <w:top w:val="single" w:color="000000" w:sz="2" w:space="0"/>
            </w:tcBorders>
          </w:tcPr>
          <w:p>
            <w:pPr>
              <w:ind w:left="797"/>
              <w:spacing w:before="18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193</w:t>
            </w:r>
          </w:p>
        </w:tc>
        <w:tc>
          <w:tcPr>
            <w:tcW w:w="1130" w:type="dxa"/>
            <w:vAlign w:val="top"/>
            <w:tcBorders>
              <w:bottom w:val="single" w:color="000000" w:sz="2" w:space="0"/>
              <w:top w:val="single" w:color="000000" w:sz="2" w:space="0"/>
            </w:tcBorders>
          </w:tcPr>
          <w:p>
            <w:pPr>
              <w:ind w:left="493"/>
              <w:spacing w:before="158"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278,919</w:t>
            </w:r>
          </w:p>
        </w:tc>
      </w:tr>
    </w:tbl>
    <w:p>
      <w:pPr>
        <w:pStyle w:val="BodyText"/>
        <w:rPr/>
      </w:pPr>
      <w:r/>
    </w:p>
    <w:p>
      <w:pPr>
        <w:sectPr>
          <w:footerReference w:type="default" r:id="rId13"/>
          <w:pgSz w:w="11907" w:h="16839"/>
          <w:pgMar w:top="1431" w:right="1075" w:bottom="1375" w:left="1060" w:header="0" w:footer="1211" w:gutter="0"/>
        </w:sectPr>
        <w:rPr/>
      </w:pPr>
    </w:p>
    <w:p>
      <w:pPr>
        <w:ind w:left="506"/>
        <w:spacing w:before="42" w:line="222" w:lineRule="auto"/>
        <w:outlineLvl w:val="0"/>
        <w:rPr>
          <w:rFonts w:ascii="SimSun" w:hAnsi="SimSun" w:eastAsia="SimSun" w:cs="SimSun"/>
          <w:sz w:val="21"/>
          <w:szCs w:val="21"/>
        </w:rPr>
      </w:pPr>
      <w:r>
        <w:rPr>
          <w:rFonts w:ascii="SimSun" w:hAnsi="SimSun" w:eastAsia="SimSun" w:cs="SimSun"/>
          <w:sz w:val="21"/>
          <w:szCs w:val="21"/>
          <w:b/>
          <w:bCs/>
          <w:spacing w:val="-3"/>
        </w:rPr>
        <w:t>二、非经常性损益项目</w:t>
      </w:r>
    </w:p>
    <w:p>
      <w:pPr>
        <w:pStyle w:val="BodyText"/>
        <w:spacing w:line="275" w:lineRule="auto"/>
        <w:rPr/>
      </w:pPr>
      <w:r/>
    </w:p>
    <w:p>
      <w:pPr>
        <w:ind w:left="8374"/>
        <w:spacing w:before="59" w:line="220" w:lineRule="auto"/>
        <w:rPr>
          <w:rFonts w:ascii="SimSun" w:hAnsi="SimSun" w:eastAsia="SimSun" w:cs="SimSun"/>
          <w:sz w:val="18"/>
          <w:szCs w:val="18"/>
        </w:rPr>
      </w:pPr>
      <w:r>
        <w:rPr>
          <w:rFonts w:ascii="SimSun" w:hAnsi="SimSun" w:eastAsia="SimSun" w:cs="SimSun"/>
          <w:sz w:val="18"/>
          <w:szCs w:val="18"/>
        </w:rPr>
        <w:t>(人民币百万元)</w:t>
      </w:r>
    </w:p>
    <w:p>
      <w:pPr>
        <w:spacing w:line="211" w:lineRule="exact"/>
        <w:rPr/>
      </w:pPr>
      <w:r/>
    </w:p>
    <w:tbl>
      <w:tblPr>
        <w:tblStyle w:val="TableNormal"/>
        <w:tblW w:w="9769"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4976"/>
        <w:gridCol w:w="530"/>
        <w:gridCol w:w="1068"/>
        <w:gridCol w:w="2086"/>
        <w:gridCol w:w="1109"/>
      </w:tblGrid>
      <w:tr>
        <w:trPr>
          <w:trHeight w:val="405" w:hRule="atLeast"/>
        </w:trPr>
        <w:tc>
          <w:tcPr>
            <w:tcW w:w="4976" w:type="dxa"/>
            <w:vAlign w:val="top"/>
            <w:tcBorders>
              <w:bottom w:val="single" w:color="000000" w:sz="2" w:space="0"/>
              <w:top w:val="single" w:color="000000" w:sz="2" w:space="0"/>
            </w:tcBorders>
          </w:tcPr>
          <w:p>
            <w:pPr>
              <w:pStyle w:val="TableText"/>
              <w:ind w:left="81"/>
              <w:spacing w:before="130" w:line="221" w:lineRule="auto"/>
              <w:rPr>
                <w:sz w:val="18"/>
                <w:szCs w:val="18"/>
              </w:rPr>
            </w:pPr>
            <w:r>
              <w:rPr>
                <w:sz w:val="18"/>
                <w:szCs w:val="18"/>
                <w:b/>
                <w:bCs/>
                <w:spacing w:val="-3"/>
              </w:rPr>
              <w:t>非经常性损益项目</w:t>
            </w:r>
          </w:p>
        </w:tc>
        <w:tc>
          <w:tcPr>
            <w:shd w:val="clear" w:fill="DBE5F1"/>
            <w:tcW w:w="530" w:type="dxa"/>
            <w:vAlign w:val="top"/>
            <w:tcBorders>
              <w:bottom w:val="single" w:color="000000" w:sz="2" w:space="0"/>
              <w:top w:val="single" w:color="000000" w:sz="2" w:space="0"/>
            </w:tcBorders>
          </w:tcPr>
          <w:p>
            <w:pPr>
              <w:spacing w:before="4" w:line="390" w:lineRule="exact"/>
              <w:rPr/>
            </w:pPr>
            <w:r>
              <w:rPr>
                <w:position w:val="-8"/>
              </w:rPr>
              <w:pict>
                <v:shape id="_x0000_s102" style="mso-position-vertical-relative:line;mso-position-horizontal-relative:char;width:2.8pt;height:19.8pt;" fillcolor="#DBE5F1" filled="true" stroked="false" coordsize="55,395" coordorigin="0,0" path="m0,395l55,395l55,0l0,0l0,395xe"/>
              </w:pict>
            </w:r>
          </w:p>
        </w:tc>
        <w:tc>
          <w:tcPr>
            <w:shd w:val="clear" w:fill="DBE5F1"/>
            <w:tcW w:w="1068" w:type="dxa"/>
            <w:vAlign w:val="top"/>
            <w:tcBorders>
              <w:bottom w:val="single" w:color="000000" w:sz="2" w:space="0"/>
              <w:top w:val="single" w:color="000000" w:sz="2" w:space="0"/>
            </w:tcBorders>
          </w:tcPr>
          <w:p>
            <w:pPr>
              <w:pStyle w:val="TableText"/>
              <w:ind w:left="475"/>
              <w:spacing w:before="131" w:line="220" w:lineRule="auto"/>
              <w:rPr>
                <w:sz w:val="18"/>
                <w:szCs w:val="18"/>
              </w:rPr>
            </w:pPr>
            <w:r>
              <w:rPr>
                <w:rFonts w:ascii="Times New Roman" w:hAnsi="Times New Roman" w:eastAsia="Times New Roman" w:cs="Times New Roman"/>
                <w:sz w:val="18"/>
                <w:szCs w:val="18"/>
                <w:b/>
                <w:bCs/>
                <w:spacing w:val="-2"/>
              </w:rPr>
              <w:t>2022</w:t>
            </w:r>
            <w:r>
              <w:rPr>
                <w:sz w:val="18"/>
                <w:szCs w:val="18"/>
                <w:b/>
                <w:bCs/>
                <w:spacing w:val="-2"/>
              </w:rPr>
              <w:t>年</w:t>
            </w:r>
          </w:p>
        </w:tc>
        <w:tc>
          <w:tcPr>
            <w:tcW w:w="2086" w:type="dxa"/>
            <w:vAlign w:val="top"/>
            <w:tcBorders>
              <w:bottom w:val="single" w:color="000000" w:sz="2" w:space="0"/>
              <w:top w:val="single" w:color="000000" w:sz="2" w:space="0"/>
            </w:tcBorders>
          </w:tcPr>
          <w:p>
            <w:pPr>
              <w:pStyle w:val="TableText"/>
              <w:ind w:left="1039"/>
              <w:spacing w:before="131" w:line="220" w:lineRule="auto"/>
              <w:rPr>
                <w:sz w:val="18"/>
                <w:szCs w:val="18"/>
              </w:rPr>
            </w:pPr>
            <w:r>
              <w:rPr>
                <w:rFonts w:ascii="Times New Roman" w:hAnsi="Times New Roman" w:eastAsia="Times New Roman" w:cs="Times New Roman"/>
                <w:sz w:val="18"/>
                <w:szCs w:val="18"/>
                <w:b/>
                <w:bCs/>
                <w:spacing w:val="-2"/>
              </w:rPr>
              <w:t>2021</w:t>
            </w:r>
            <w:r>
              <w:rPr>
                <w:sz w:val="18"/>
                <w:szCs w:val="18"/>
                <w:b/>
                <w:bCs/>
                <w:spacing w:val="-2"/>
              </w:rPr>
              <w:t>年</w:t>
            </w:r>
          </w:p>
        </w:tc>
        <w:tc>
          <w:tcPr>
            <w:tcW w:w="1109" w:type="dxa"/>
            <w:vAlign w:val="top"/>
            <w:tcBorders>
              <w:bottom w:val="single" w:color="000000" w:sz="2" w:space="0"/>
              <w:top w:val="single" w:color="000000" w:sz="2" w:space="0"/>
            </w:tcBorders>
          </w:tcPr>
          <w:p>
            <w:pPr>
              <w:pStyle w:val="TableText"/>
              <w:ind w:left="516"/>
              <w:spacing w:before="131" w:line="220" w:lineRule="auto"/>
              <w:rPr>
                <w:sz w:val="18"/>
                <w:szCs w:val="18"/>
              </w:rPr>
            </w:pPr>
            <w:r>
              <w:rPr>
                <w:rFonts w:ascii="Times New Roman" w:hAnsi="Times New Roman" w:eastAsia="Times New Roman" w:cs="Times New Roman"/>
                <w:sz w:val="18"/>
                <w:szCs w:val="18"/>
                <w:b/>
                <w:bCs/>
                <w:spacing w:val="-2"/>
              </w:rPr>
              <w:t>2020</w:t>
            </w:r>
            <w:r>
              <w:rPr>
                <w:sz w:val="18"/>
                <w:szCs w:val="18"/>
                <w:b/>
                <w:bCs/>
                <w:spacing w:val="-2"/>
              </w:rPr>
              <w:t>年</w:t>
            </w:r>
          </w:p>
        </w:tc>
      </w:tr>
      <w:tr>
        <w:trPr>
          <w:trHeight w:val="398" w:hRule="atLeast"/>
        </w:trPr>
        <w:tc>
          <w:tcPr>
            <w:tcW w:w="4976" w:type="dxa"/>
            <w:vAlign w:val="top"/>
            <w:tcBorders>
              <w:bottom w:val="single" w:color="000000" w:sz="2" w:space="0"/>
              <w:top w:val="single" w:color="000000" w:sz="2" w:space="0"/>
            </w:tcBorders>
          </w:tcPr>
          <w:p>
            <w:pPr>
              <w:pStyle w:val="TableText"/>
              <w:ind w:left="81"/>
              <w:spacing w:before="126" w:line="220" w:lineRule="auto"/>
              <w:rPr>
                <w:sz w:val="18"/>
                <w:szCs w:val="18"/>
              </w:rPr>
            </w:pPr>
            <w:r>
              <w:rPr>
                <w:sz w:val="18"/>
                <w:szCs w:val="18"/>
                <w:spacing w:val="-1"/>
              </w:rPr>
              <w:t>非流动性资产处置损益</w:t>
            </w:r>
          </w:p>
        </w:tc>
        <w:tc>
          <w:tcPr>
            <w:shd w:val="clear" w:fill="DBE5F1"/>
            <w:tcW w:w="530" w:type="dxa"/>
            <w:vAlign w:val="top"/>
            <w:tcBorders>
              <w:bottom w:val="single" w:color="000000" w:sz="2" w:space="0"/>
              <w:top w:val="single" w:color="000000" w:sz="2" w:space="0"/>
            </w:tcBorders>
          </w:tcPr>
          <w:p>
            <w:pPr>
              <w:spacing w:line="388" w:lineRule="exact"/>
              <w:rPr/>
            </w:pPr>
            <w:r>
              <w:rPr>
                <w:position w:val="-8"/>
              </w:rPr>
              <w:pict>
                <v:shape id="_x0000_s104" style="mso-position-vertical-relative:line;mso-position-horizontal-relative:char;width:2.8pt;height:19.7pt;" fillcolor="#DBE5F1" filled="true" stroked="false" coordsize="55,394" coordorigin="0,0" path="m0,393l55,393l55,0l0,0l0,393xe"/>
              </w:pict>
            </w:r>
          </w:p>
        </w:tc>
        <w:tc>
          <w:tcPr>
            <w:shd w:val="clear" w:fill="DBE5F1"/>
            <w:tcW w:w="1068" w:type="dxa"/>
            <w:vAlign w:val="top"/>
            <w:tcBorders>
              <w:bottom w:val="single" w:color="000000" w:sz="2" w:space="0"/>
              <w:top w:val="single" w:color="000000" w:sz="2" w:space="0"/>
            </w:tcBorders>
          </w:tcPr>
          <w:p>
            <w:pPr>
              <w:ind w:left="744"/>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430</w:t>
            </w:r>
          </w:p>
        </w:tc>
        <w:tc>
          <w:tcPr>
            <w:tcW w:w="2086" w:type="dxa"/>
            <w:vAlign w:val="top"/>
            <w:tcBorders>
              <w:bottom w:val="single" w:color="000000" w:sz="2" w:space="0"/>
              <w:top w:val="single" w:color="000000" w:sz="2" w:space="0"/>
            </w:tcBorders>
          </w:tcPr>
          <w:p>
            <w:pPr>
              <w:ind w:left="1325"/>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160</w:t>
            </w:r>
          </w:p>
        </w:tc>
        <w:tc>
          <w:tcPr>
            <w:tcW w:w="1109" w:type="dxa"/>
            <w:vAlign w:val="top"/>
            <w:tcBorders>
              <w:bottom w:val="single" w:color="000000" w:sz="2" w:space="0"/>
              <w:top w:val="single" w:color="000000" w:sz="2" w:space="0"/>
            </w:tcBorders>
          </w:tcPr>
          <w:p>
            <w:pPr>
              <w:ind w:left="784"/>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247</w:t>
            </w:r>
          </w:p>
        </w:tc>
      </w:tr>
      <w:tr>
        <w:trPr>
          <w:trHeight w:val="678" w:hRule="atLeast"/>
        </w:trPr>
        <w:tc>
          <w:tcPr>
            <w:tcW w:w="4976" w:type="dxa"/>
            <w:vAlign w:val="top"/>
            <w:tcBorders>
              <w:bottom w:val="single" w:color="000000" w:sz="2" w:space="0"/>
              <w:top w:val="single" w:color="000000" w:sz="2" w:space="0"/>
            </w:tcBorders>
          </w:tcPr>
          <w:p>
            <w:pPr>
              <w:pStyle w:val="TableText"/>
              <w:ind w:left="79" w:right="223" w:hanging="1"/>
              <w:spacing w:before="126" w:line="253" w:lineRule="auto"/>
              <w:rPr>
                <w:sz w:val="18"/>
                <w:szCs w:val="18"/>
              </w:rPr>
            </w:pPr>
            <w:r>
              <w:rPr>
                <w:sz w:val="18"/>
                <w:szCs w:val="18"/>
                <w:spacing w:val="-1"/>
              </w:rPr>
              <w:t>采用公允价值模式进行后续计量的投资性房地产公允价值变</w:t>
            </w:r>
            <w:r>
              <w:rPr>
                <w:sz w:val="18"/>
                <w:szCs w:val="18"/>
                <w:spacing w:val="18"/>
              </w:rPr>
              <w:t xml:space="preserve"> </w:t>
            </w:r>
            <w:r>
              <w:rPr>
                <w:sz w:val="18"/>
                <w:szCs w:val="18"/>
                <w:spacing w:val="-2"/>
              </w:rPr>
              <w:t>动产生的损益</w:t>
            </w:r>
          </w:p>
        </w:tc>
        <w:tc>
          <w:tcPr>
            <w:shd w:val="clear" w:fill="DBE5F1"/>
            <w:tcW w:w="1598" w:type="dxa"/>
            <w:vAlign w:val="top"/>
            <w:gridSpan w:val="2"/>
            <w:tcBorders>
              <w:bottom w:val="single" w:color="000000" w:sz="2" w:space="0"/>
              <w:top w:val="single" w:color="000000" w:sz="2" w:space="0"/>
            </w:tcBorders>
          </w:tcPr>
          <w:p>
            <w:pPr>
              <w:spacing w:line="245" w:lineRule="auto"/>
              <w:rPr>
                <w:rFonts w:ascii="Arial"/>
                <w:sz w:val="21"/>
              </w:rPr>
            </w:pPr>
            <w:r/>
          </w:p>
          <w:p>
            <w:pPr>
              <w:ind w:left="1282"/>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166</w:t>
            </w:r>
          </w:p>
        </w:tc>
        <w:tc>
          <w:tcPr>
            <w:tcW w:w="2086" w:type="dxa"/>
            <w:vAlign w:val="top"/>
            <w:tcBorders>
              <w:bottom w:val="single" w:color="000000" w:sz="2" w:space="0"/>
              <w:top w:val="single" w:color="000000" w:sz="2" w:space="0"/>
            </w:tcBorders>
          </w:tcPr>
          <w:p>
            <w:pPr>
              <w:spacing w:line="245" w:lineRule="auto"/>
              <w:rPr>
                <w:rFonts w:ascii="Arial"/>
                <w:sz w:val="21"/>
              </w:rPr>
            </w:pPr>
            <w:r/>
          </w:p>
          <w:p>
            <w:pPr>
              <w:ind w:left="1325"/>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183</w:t>
            </w:r>
          </w:p>
        </w:tc>
        <w:tc>
          <w:tcPr>
            <w:tcW w:w="1109" w:type="dxa"/>
            <w:vAlign w:val="top"/>
            <w:tcBorders>
              <w:bottom w:val="single" w:color="000000" w:sz="2" w:space="0"/>
              <w:top w:val="single" w:color="000000" w:sz="2" w:space="0"/>
            </w:tcBorders>
          </w:tcPr>
          <w:p>
            <w:pPr>
              <w:spacing w:line="245" w:lineRule="auto"/>
              <w:rPr>
                <w:rFonts w:ascii="Arial"/>
                <w:sz w:val="21"/>
              </w:rPr>
            </w:pPr>
            <w:r/>
          </w:p>
          <w:p>
            <w:pPr>
              <w:ind w:left="802"/>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180</w:t>
            </w:r>
          </w:p>
        </w:tc>
      </w:tr>
      <w:tr>
        <w:trPr>
          <w:trHeight w:val="397" w:hRule="atLeast"/>
        </w:trPr>
        <w:tc>
          <w:tcPr>
            <w:tcW w:w="4976" w:type="dxa"/>
            <w:vAlign w:val="top"/>
            <w:tcBorders>
              <w:bottom w:val="single" w:color="000000" w:sz="2" w:space="0"/>
              <w:top w:val="single" w:color="000000" w:sz="2" w:space="0"/>
            </w:tcBorders>
          </w:tcPr>
          <w:p>
            <w:pPr>
              <w:pStyle w:val="TableText"/>
              <w:ind w:left="79"/>
              <w:spacing w:before="127" w:line="220" w:lineRule="auto"/>
              <w:rPr>
                <w:sz w:val="18"/>
                <w:szCs w:val="18"/>
              </w:rPr>
            </w:pPr>
            <w:r>
              <w:rPr>
                <w:sz w:val="18"/>
                <w:szCs w:val="18"/>
                <w:spacing w:val="-1"/>
              </w:rPr>
              <w:t>其他非经常性损益净额</w:t>
            </w:r>
          </w:p>
        </w:tc>
        <w:tc>
          <w:tcPr>
            <w:shd w:val="clear" w:fill="DBE5F1"/>
            <w:tcW w:w="530" w:type="dxa"/>
            <w:vAlign w:val="top"/>
            <w:tcBorders>
              <w:bottom w:val="single" w:color="000000" w:sz="2" w:space="0"/>
              <w:top w:val="single" w:color="000000" w:sz="2" w:space="0"/>
            </w:tcBorders>
          </w:tcPr>
          <w:p>
            <w:pPr>
              <w:spacing w:before="1" w:line="385" w:lineRule="exact"/>
              <w:rPr/>
            </w:pPr>
            <w:r>
              <w:rPr>
                <w:position w:val="-8"/>
              </w:rPr>
              <w:pict>
                <v:shape id="_x0000_s106" style="mso-position-vertical-relative:line;mso-position-horizontal-relative:char;width:2.8pt;height:19.7pt;" fillcolor="#DBE5F1" filled="true" stroked="false" coordsize="55,394" coordorigin="0,0" path="m0,393l55,393l55,0l0,0l0,393xe"/>
              </w:pict>
            </w:r>
          </w:p>
        </w:tc>
        <w:tc>
          <w:tcPr>
            <w:shd w:val="clear" w:fill="DBE5F1"/>
            <w:tcW w:w="1068" w:type="dxa"/>
            <w:vAlign w:val="top"/>
            <w:tcBorders>
              <w:bottom w:val="single" w:color="000000" w:sz="2" w:space="0"/>
              <w:top w:val="single" w:color="000000" w:sz="2" w:space="0"/>
            </w:tcBorders>
          </w:tcPr>
          <w:p>
            <w:pPr>
              <w:ind w:left="745"/>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909</w:t>
            </w:r>
          </w:p>
        </w:tc>
        <w:tc>
          <w:tcPr>
            <w:tcW w:w="2086" w:type="dxa"/>
            <w:vAlign w:val="top"/>
            <w:tcBorders>
              <w:bottom w:val="single" w:color="000000" w:sz="2" w:space="0"/>
              <w:top w:val="single" w:color="000000" w:sz="2" w:space="0"/>
            </w:tcBorders>
          </w:tcPr>
          <w:p>
            <w:pPr>
              <w:ind w:left="1313"/>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545</w:t>
            </w:r>
          </w:p>
        </w:tc>
        <w:tc>
          <w:tcPr>
            <w:tcW w:w="1109" w:type="dxa"/>
            <w:vAlign w:val="top"/>
            <w:tcBorders>
              <w:bottom w:val="single" w:color="000000" w:sz="2" w:space="0"/>
              <w:top w:val="single" w:color="000000" w:sz="2" w:space="0"/>
            </w:tcBorders>
          </w:tcPr>
          <w:p>
            <w:pPr>
              <w:ind w:left="792"/>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803</w:t>
            </w:r>
          </w:p>
        </w:tc>
      </w:tr>
      <w:tr>
        <w:trPr>
          <w:trHeight w:val="400" w:hRule="atLeast"/>
        </w:trPr>
        <w:tc>
          <w:tcPr>
            <w:tcW w:w="4976" w:type="dxa"/>
            <w:vAlign w:val="top"/>
            <w:tcBorders>
              <w:bottom w:val="single" w:color="000000" w:sz="2" w:space="0"/>
              <w:top w:val="single" w:color="000000" w:sz="2" w:space="0"/>
            </w:tcBorders>
          </w:tcPr>
          <w:p>
            <w:pPr>
              <w:pStyle w:val="TableText"/>
              <w:ind w:left="81"/>
              <w:spacing w:before="129" w:line="220" w:lineRule="auto"/>
              <w:rPr>
                <w:sz w:val="18"/>
                <w:szCs w:val="18"/>
              </w:rPr>
            </w:pPr>
            <w:r>
              <w:rPr>
                <w:sz w:val="18"/>
                <w:szCs w:val="18"/>
                <w:spacing w:val="-1"/>
              </w:rPr>
              <w:t>非经常性损益的所得税影响</w:t>
            </w:r>
          </w:p>
        </w:tc>
        <w:tc>
          <w:tcPr>
            <w:shd w:val="clear" w:fill="DBE5F1"/>
            <w:tcW w:w="530" w:type="dxa"/>
            <w:vAlign w:val="top"/>
            <w:tcBorders>
              <w:bottom w:val="single" w:color="000000" w:sz="2" w:space="0"/>
              <w:top w:val="single" w:color="000000" w:sz="2" w:space="0"/>
            </w:tcBorders>
          </w:tcPr>
          <w:p>
            <w:pPr>
              <w:spacing w:before="2" w:line="387" w:lineRule="exact"/>
              <w:rPr/>
            </w:pPr>
            <w:r>
              <w:rPr>
                <w:position w:val="-8"/>
              </w:rPr>
              <w:pict>
                <v:shape id="_x0000_s108" style="mso-position-vertical-relative:line;mso-position-horizontal-relative:char;width:2.8pt;height:19.8pt;" fillcolor="#DBE5F1" filled="true" stroked="false" coordsize="55,395" coordorigin="0,0" path="m0,395l55,395l55,0l0,0l0,395xe"/>
              </w:pict>
            </w:r>
          </w:p>
        </w:tc>
        <w:tc>
          <w:tcPr>
            <w:shd w:val="clear" w:fill="DBE5F1"/>
            <w:tcW w:w="1068" w:type="dxa"/>
            <w:vAlign w:val="top"/>
            <w:tcBorders>
              <w:bottom w:val="single" w:color="000000" w:sz="2" w:space="0"/>
              <w:top w:val="single" w:color="000000" w:sz="2" w:space="0"/>
            </w:tcBorders>
          </w:tcPr>
          <w:p>
            <w:pPr>
              <w:ind w:left="629"/>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(386)</w:t>
            </w:r>
          </w:p>
        </w:tc>
        <w:tc>
          <w:tcPr>
            <w:tcW w:w="2086" w:type="dxa"/>
            <w:vAlign w:val="top"/>
            <w:tcBorders>
              <w:bottom w:val="single" w:color="000000" w:sz="2" w:space="0"/>
              <w:top w:val="single" w:color="000000" w:sz="2" w:space="0"/>
            </w:tcBorders>
          </w:tcPr>
          <w:p>
            <w:pPr>
              <w:ind w:left="1193"/>
              <w:spacing w:before="158"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(266)</w:t>
            </w:r>
          </w:p>
        </w:tc>
        <w:tc>
          <w:tcPr>
            <w:tcW w:w="1109" w:type="dxa"/>
            <w:vAlign w:val="top"/>
            <w:tcBorders>
              <w:bottom w:val="single" w:color="000000" w:sz="2" w:space="0"/>
              <w:top w:val="single" w:color="000000" w:sz="2" w:space="0"/>
            </w:tcBorders>
          </w:tcPr>
          <w:p>
            <w:pPr>
              <w:ind w:left="670"/>
              <w:spacing w:before="158"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(330)</w:t>
            </w:r>
          </w:p>
        </w:tc>
      </w:tr>
      <w:tr>
        <w:trPr>
          <w:trHeight w:val="398" w:hRule="atLeast"/>
        </w:trPr>
        <w:tc>
          <w:tcPr>
            <w:tcW w:w="4976" w:type="dxa"/>
            <w:vAlign w:val="top"/>
            <w:tcBorders>
              <w:bottom w:val="single" w:color="000000" w:sz="2" w:space="0"/>
              <w:top w:val="single" w:color="000000" w:sz="2" w:space="0"/>
            </w:tcBorders>
          </w:tcPr>
          <w:p>
            <w:pPr>
              <w:pStyle w:val="TableText"/>
              <w:ind w:left="79"/>
              <w:spacing w:before="102" w:line="251" w:lineRule="exact"/>
              <w:rPr>
                <w:rFonts w:ascii="Times New Roman" w:hAnsi="Times New Roman" w:eastAsia="Times New Roman" w:cs="Times New Roman"/>
                <w:sz w:val="18"/>
                <w:szCs w:val="18"/>
              </w:rPr>
            </w:pPr>
            <w:r>
              <w:rPr>
                <w:sz w:val="18"/>
                <w:szCs w:val="18"/>
                <w:spacing w:val="-1"/>
                <w:position w:val="2"/>
              </w:rPr>
              <w:t>少数股东权益影响额</w:t>
            </w:r>
            <w:r>
              <w:rPr>
                <w:rFonts w:ascii="Times New Roman" w:hAnsi="Times New Roman" w:eastAsia="Times New Roman" w:cs="Times New Roman"/>
                <w:sz w:val="18"/>
                <w:szCs w:val="18"/>
                <w:spacing w:val="-1"/>
                <w:position w:val="2"/>
              </w:rPr>
              <w:t>(</w:t>
            </w:r>
            <w:r>
              <w:rPr>
                <w:sz w:val="18"/>
                <w:szCs w:val="18"/>
                <w:spacing w:val="-1"/>
                <w:position w:val="2"/>
              </w:rPr>
              <w:t>税后</w:t>
            </w:r>
            <w:r>
              <w:rPr>
                <w:rFonts w:ascii="Times New Roman" w:hAnsi="Times New Roman" w:eastAsia="Times New Roman" w:cs="Times New Roman"/>
                <w:sz w:val="18"/>
                <w:szCs w:val="18"/>
                <w:spacing w:val="-1"/>
                <w:position w:val="2"/>
              </w:rPr>
              <w:t>)</w:t>
            </w:r>
          </w:p>
        </w:tc>
        <w:tc>
          <w:tcPr>
            <w:shd w:val="clear" w:fill="DBE5F1"/>
            <w:tcW w:w="530" w:type="dxa"/>
            <w:vAlign w:val="top"/>
            <w:tcBorders>
              <w:bottom w:val="single" w:color="000000" w:sz="2" w:space="0"/>
              <w:top w:val="single" w:color="000000" w:sz="2" w:space="0"/>
            </w:tcBorders>
          </w:tcPr>
          <w:p>
            <w:pPr>
              <w:spacing w:before="3" w:line="385" w:lineRule="exact"/>
              <w:rPr/>
            </w:pPr>
            <w:r>
              <w:rPr>
                <w:position w:val="-8"/>
              </w:rPr>
              <w:pict>
                <v:shape id="_x0000_s110" style="mso-position-vertical-relative:line;mso-position-horizontal-relative:char;width:2.8pt;height:19.75pt;" fillcolor="#DBE5F1" filled="true" stroked="false" coordsize="55,395" coordorigin="0,0" path="m0,394l55,394l55,0l0,0l0,394xe"/>
              </w:pict>
            </w:r>
          </w:p>
        </w:tc>
        <w:tc>
          <w:tcPr>
            <w:shd w:val="clear" w:fill="DBE5F1"/>
            <w:tcW w:w="1068" w:type="dxa"/>
            <w:vAlign w:val="top"/>
            <w:tcBorders>
              <w:bottom w:val="single" w:color="000000" w:sz="2" w:space="0"/>
              <w:top w:val="single" w:color="000000" w:sz="2" w:space="0"/>
            </w:tcBorders>
          </w:tcPr>
          <w:p>
            <w:pPr>
              <w:ind w:left="718"/>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(38)</w:t>
            </w:r>
          </w:p>
        </w:tc>
        <w:tc>
          <w:tcPr>
            <w:tcW w:w="2086" w:type="dxa"/>
            <w:vAlign w:val="top"/>
            <w:tcBorders>
              <w:bottom w:val="single" w:color="000000" w:sz="2" w:space="0"/>
              <w:top w:val="single" w:color="000000" w:sz="2" w:space="0"/>
            </w:tcBorders>
          </w:tcPr>
          <w:p>
            <w:pPr>
              <w:ind w:left="1283"/>
              <w:spacing w:before="158"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(32)</w:t>
            </w:r>
          </w:p>
        </w:tc>
        <w:tc>
          <w:tcPr>
            <w:tcW w:w="1109" w:type="dxa"/>
            <w:vAlign w:val="top"/>
            <w:tcBorders>
              <w:bottom w:val="single" w:color="000000" w:sz="2" w:space="0"/>
              <w:top w:val="single" w:color="000000" w:sz="2" w:space="0"/>
            </w:tcBorders>
          </w:tcPr>
          <w:p>
            <w:pPr>
              <w:ind w:left="759"/>
              <w:spacing w:before="158"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(21)</w:t>
            </w:r>
          </w:p>
        </w:tc>
      </w:tr>
      <w:tr>
        <w:trPr>
          <w:trHeight w:val="402" w:hRule="atLeast"/>
        </w:trPr>
        <w:tc>
          <w:tcPr>
            <w:tcW w:w="4976" w:type="dxa"/>
            <w:vAlign w:val="top"/>
            <w:tcBorders>
              <w:bottom w:val="single" w:color="000000" w:sz="2" w:space="0"/>
              <w:top w:val="single" w:color="000000" w:sz="2" w:space="0"/>
            </w:tcBorders>
          </w:tcPr>
          <w:p>
            <w:pPr>
              <w:pStyle w:val="TableText"/>
              <w:ind w:left="86"/>
              <w:spacing w:before="130" w:line="220" w:lineRule="auto"/>
              <w:rPr>
                <w:sz w:val="18"/>
                <w:szCs w:val="18"/>
              </w:rPr>
            </w:pPr>
            <w:r>
              <w:rPr>
                <w:sz w:val="18"/>
                <w:szCs w:val="18"/>
                <w:spacing w:val="-1"/>
              </w:rPr>
              <w:t>归属于公司普通股股东的非经常性损益合计</w:t>
            </w:r>
          </w:p>
        </w:tc>
        <w:tc>
          <w:tcPr>
            <w:shd w:val="clear" w:fill="DBE5F1"/>
            <w:tcW w:w="530" w:type="dxa"/>
            <w:vAlign w:val="top"/>
            <w:tcBorders>
              <w:bottom w:val="single" w:color="000000" w:sz="2" w:space="0"/>
              <w:top w:val="single" w:color="000000" w:sz="2" w:space="0"/>
            </w:tcBorders>
          </w:tcPr>
          <w:p>
            <w:pPr>
              <w:spacing w:before="3" w:line="388" w:lineRule="exact"/>
              <w:rPr/>
            </w:pPr>
            <w:r>
              <w:rPr>
                <w:position w:val="-8"/>
              </w:rPr>
              <w:pict>
                <v:shape id="_x0000_s112" style="mso-position-vertical-relative:line;mso-position-horizontal-relative:char;width:2.8pt;height:19.7pt;" fillcolor="#DBE5F1" filled="true" stroked="false" coordsize="55,394" coordorigin="0,0" path="m0,393l55,393l55,0l0,0l0,393xe"/>
              </w:pict>
            </w:r>
          </w:p>
        </w:tc>
        <w:tc>
          <w:tcPr>
            <w:shd w:val="clear" w:fill="DBE5F1"/>
            <w:tcW w:w="1068" w:type="dxa"/>
            <w:vAlign w:val="top"/>
            <w:tcBorders>
              <w:bottom w:val="single" w:color="000000" w:sz="2" w:space="0"/>
              <w:top w:val="single" w:color="000000" w:sz="2" w:space="0"/>
            </w:tcBorders>
          </w:tcPr>
          <w:p>
            <w:pPr>
              <w:ind w:left="617"/>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1,081</w:t>
            </w:r>
          </w:p>
        </w:tc>
        <w:tc>
          <w:tcPr>
            <w:tcW w:w="2086" w:type="dxa"/>
            <w:vAlign w:val="top"/>
            <w:tcBorders>
              <w:bottom w:val="single" w:color="000000" w:sz="2" w:space="0"/>
              <w:top w:val="single" w:color="000000" w:sz="2" w:space="0"/>
            </w:tcBorders>
          </w:tcPr>
          <w:p>
            <w:pPr>
              <w:ind w:left="1313"/>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590</w:t>
            </w:r>
          </w:p>
        </w:tc>
        <w:tc>
          <w:tcPr>
            <w:tcW w:w="1109" w:type="dxa"/>
            <w:vAlign w:val="top"/>
            <w:tcBorders>
              <w:bottom w:val="single" w:color="000000" w:sz="2" w:space="0"/>
              <w:top w:val="single" w:color="000000" w:sz="2" w:space="0"/>
            </w:tcBorders>
          </w:tcPr>
          <w:p>
            <w:pPr>
              <w:ind w:left="792"/>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879</w:t>
            </w:r>
          </w:p>
        </w:tc>
      </w:tr>
    </w:tbl>
    <w:p>
      <w:pPr>
        <w:pStyle w:val="BodyText"/>
        <w:rPr/>
      </w:pPr>
      <w:r/>
    </w:p>
    <w:p>
      <w:pPr>
        <w:sectPr>
          <w:footerReference w:type="default" r:id="rId14"/>
          <w:pgSz w:w="11907" w:h="16839"/>
          <w:pgMar w:top="1196" w:right="1075" w:bottom="1374" w:left="1060" w:header="0" w:footer="1211" w:gutter="0"/>
        </w:sectPr>
        <w:rPr/>
      </w:pPr>
    </w:p>
    <w:p>
      <w:pPr>
        <w:ind w:left="3732"/>
        <w:spacing w:before="81" w:line="221" w:lineRule="auto"/>
        <w:rPr>
          <w:rFonts w:ascii="SimSun" w:hAnsi="SimSun" w:eastAsia="SimSun" w:cs="SimSun"/>
          <w:sz w:val="40"/>
          <w:szCs w:val="40"/>
        </w:rPr>
      </w:pPr>
      <w:bookmarkStart w:name="bookmark7" w:id="7"/>
      <w:bookmarkEnd w:id="7"/>
      <w:r>
        <w:rPr>
          <w:rFonts w:ascii="SimSun" w:hAnsi="SimSun" w:eastAsia="SimSun" w:cs="SimSun"/>
          <w:sz w:val="40"/>
          <w:szCs w:val="40"/>
          <w:b/>
          <w:bCs/>
          <w:spacing w:val="-7"/>
        </w:rPr>
        <w:t>董事长致辞</w:t>
      </w:r>
    </w:p>
    <w:p>
      <w:pPr>
        <w:ind w:right="2" w:firstLine="416"/>
        <w:spacing w:before="303" w:line="297" w:lineRule="auto"/>
        <w:rPr>
          <w:rFonts w:ascii="SimSun" w:hAnsi="SimSun" w:eastAsia="SimSun" w:cs="SimSun"/>
          <w:sz w:val="21"/>
          <w:szCs w:val="21"/>
        </w:rPr>
      </w:pPr>
      <w:r>
        <w:rPr>
          <w:rFonts w:ascii="Times New Roman" w:hAnsi="Times New Roman" w:eastAsia="Times New Roman" w:cs="Times New Roman"/>
          <w:sz w:val="21"/>
          <w:szCs w:val="21"/>
          <w:spacing w:val="-1"/>
        </w:rPr>
        <w:t>2022 </w:t>
      </w:r>
      <w:r>
        <w:rPr>
          <w:rFonts w:ascii="SimSun" w:hAnsi="SimSun" w:eastAsia="SimSun" w:cs="SimSun"/>
          <w:sz w:val="21"/>
          <w:szCs w:val="21"/>
          <w:spacing w:val="-1"/>
        </w:rPr>
        <w:t>年是极不平凡的一年。党的二十大</w:t>
      </w:r>
      <w:r>
        <w:rPr>
          <w:rFonts w:ascii="SimSun" w:hAnsi="SimSun" w:eastAsia="SimSun" w:cs="SimSun"/>
          <w:sz w:val="21"/>
          <w:szCs w:val="21"/>
          <w:spacing w:val="-2"/>
        </w:rPr>
        <w:t>胜利召开, 摹绘了以中国式现代化全面推进中华民族伟大复兴</w:t>
      </w:r>
      <w:r>
        <w:rPr>
          <w:rFonts w:ascii="SimSun" w:hAnsi="SimSun" w:eastAsia="SimSun" w:cs="SimSun"/>
          <w:sz w:val="21"/>
          <w:szCs w:val="21"/>
        </w:rPr>
        <w:t xml:space="preserve"> </w:t>
      </w:r>
      <w:r>
        <w:rPr>
          <w:rFonts w:ascii="SimSun" w:hAnsi="SimSun" w:eastAsia="SimSun" w:cs="SimSun"/>
          <w:sz w:val="21"/>
          <w:szCs w:val="21"/>
          <w:spacing w:val="-1"/>
        </w:rPr>
        <w:t>的宏伟蓝图。百年未有之大变局加速演进,</w:t>
      </w:r>
      <w:r>
        <w:rPr>
          <w:rFonts w:ascii="SimSun" w:hAnsi="SimSun" w:eastAsia="SimSun" w:cs="SimSun"/>
          <w:sz w:val="21"/>
          <w:szCs w:val="21"/>
          <w:spacing w:val="28"/>
        </w:rPr>
        <w:t xml:space="preserve"> </w:t>
      </w:r>
      <w:r>
        <w:rPr>
          <w:rFonts w:ascii="SimSun" w:hAnsi="SimSun" w:eastAsia="SimSun" w:cs="SimSun"/>
          <w:sz w:val="21"/>
          <w:szCs w:val="21"/>
          <w:spacing w:val="-1"/>
        </w:rPr>
        <w:t>外部环境深刻变化, 全球经济和金融</w:t>
      </w:r>
      <w:r>
        <w:rPr>
          <w:rFonts w:ascii="SimSun" w:hAnsi="SimSun" w:eastAsia="SimSun" w:cs="SimSun"/>
          <w:sz w:val="21"/>
          <w:szCs w:val="21"/>
          <w:spacing w:val="-2"/>
        </w:rPr>
        <w:t>市场面临诸多挑战。交行</w:t>
      </w:r>
      <w:r>
        <w:rPr>
          <w:rFonts w:ascii="SimSun" w:hAnsi="SimSun" w:eastAsia="SimSun" w:cs="SimSun"/>
          <w:sz w:val="21"/>
          <w:szCs w:val="21"/>
        </w:rPr>
        <w:t xml:space="preserve"> </w:t>
      </w:r>
      <w:r>
        <w:rPr>
          <w:rFonts w:ascii="SimSun" w:hAnsi="SimSun" w:eastAsia="SimSun" w:cs="SimSun"/>
          <w:sz w:val="21"/>
          <w:szCs w:val="21"/>
          <w:spacing w:val="-3"/>
        </w:rPr>
        <w:t>高效统筹经营发展和疫情防控, 紧紧围绕金融工作三大任务, 保持了</w:t>
      </w:r>
      <w:r>
        <w:rPr>
          <w:rFonts w:ascii="SimSun" w:hAnsi="SimSun" w:eastAsia="SimSun" w:cs="SimSun"/>
          <w:sz w:val="21"/>
          <w:szCs w:val="21"/>
          <w:spacing w:val="-55"/>
        </w:rPr>
        <w:t xml:space="preserve"> </w:t>
      </w:r>
      <w:r>
        <w:rPr>
          <w:rFonts w:ascii="SimSun" w:hAnsi="SimSun" w:eastAsia="SimSun" w:cs="SimSun"/>
          <w:sz w:val="21"/>
          <w:szCs w:val="21"/>
          <w:spacing w:val="-3"/>
        </w:rPr>
        <w:t>"稳中有进、稳中提质"</w:t>
      </w:r>
      <w:r>
        <w:rPr>
          <w:rFonts w:ascii="SimSun" w:hAnsi="SimSun" w:eastAsia="SimSun" w:cs="SimSun"/>
          <w:sz w:val="21"/>
          <w:szCs w:val="21"/>
          <w:spacing w:val="-55"/>
        </w:rPr>
        <w:t xml:space="preserve"> </w:t>
      </w:r>
      <w:r>
        <w:rPr>
          <w:rFonts w:ascii="SimSun" w:hAnsi="SimSun" w:eastAsia="SimSun" w:cs="SimSun"/>
          <w:sz w:val="21"/>
          <w:szCs w:val="21"/>
          <w:spacing w:val="-3"/>
        </w:rPr>
        <w:t>的</w:t>
      </w:r>
      <w:r>
        <w:rPr>
          <w:rFonts w:ascii="SimSun" w:hAnsi="SimSun" w:eastAsia="SimSun" w:cs="SimSun"/>
          <w:sz w:val="21"/>
          <w:szCs w:val="21"/>
          <w:spacing w:val="-4"/>
        </w:rPr>
        <w:t>发展态势,</w:t>
      </w:r>
      <w:r>
        <w:rPr>
          <w:rFonts w:ascii="SimSun" w:hAnsi="SimSun" w:eastAsia="SimSun" w:cs="SimSun"/>
          <w:sz w:val="21"/>
          <w:szCs w:val="21"/>
        </w:rPr>
        <w:t xml:space="preserve">  </w:t>
      </w:r>
      <w:r>
        <w:rPr>
          <w:rFonts w:ascii="SimSun" w:hAnsi="SimSun" w:eastAsia="SimSun" w:cs="SimSun"/>
          <w:sz w:val="21"/>
          <w:szCs w:val="21"/>
        </w:rPr>
        <w:t>全面完成年度经营目标。董事会建议每股分配现</w:t>
      </w:r>
      <w:r>
        <w:rPr>
          <w:rFonts w:ascii="SimSun" w:hAnsi="SimSun" w:eastAsia="SimSun" w:cs="SimSun"/>
          <w:sz w:val="21"/>
          <w:szCs w:val="21"/>
          <w:spacing w:val="-1"/>
        </w:rPr>
        <w:t>金股利人民币</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1"/>
        </w:rPr>
        <w:t>0.373 </w:t>
      </w:r>
      <w:r>
        <w:rPr>
          <w:rFonts w:ascii="SimSun" w:hAnsi="SimSun" w:eastAsia="SimSun" w:cs="SimSun"/>
          <w:sz w:val="21"/>
          <w:szCs w:val="21"/>
          <w:spacing w:val="-1"/>
        </w:rPr>
        <w:t>元(含税), 共计人民币</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1"/>
        </w:rPr>
        <w:t>277 </w:t>
      </w:r>
      <w:r>
        <w:rPr>
          <w:rFonts w:ascii="SimSun" w:hAnsi="SimSun" w:eastAsia="SimSun" w:cs="SimSun"/>
          <w:sz w:val="21"/>
          <w:szCs w:val="21"/>
          <w:spacing w:val="-1"/>
        </w:rPr>
        <w:t>亿元,</w:t>
      </w:r>
      <w:r>
        <w:rPr>
          <w:rFonts w:ascii="SimSun" w:hAnsi="SimSun" w:eastAsia="SimSun" w:cs="SimSun"/>
          <w:sz w:val="21"/>
          <w:szCs w:val="21"/>
          <w:spacing w:val="45"/>
        </w:rPr>
        <w:t xml:space="preserve"> </w:t>
      </w:r>
      <w:r>
        <w:rPr>
          <w:rFonts w:ascii="SimSun" w:hAnsi="SimSun" w:eastAsia="SimSun" w:cs="SimSun"/>
          <w:sz w:val="21"/>
          <w:szCs w:val="21"/>
          <w:spacing w:val="-1"/>
        </w:rPr>
        <w:t>占</w:t>
      </w:r>
      <w:r>
        <w:rPr>
          <w:rFonts w:ascii="SimSun" w:hAnsi="SimSun" w:eastAsia="SimSun" w:cs="SimSun"/>
          <w:sz w:val="21"/>
          <w:szCs w:val="21"/>
        </w:rPr>
        <w:t xml:space="preserve"> </w:t>
      </w:r>
      <w:r>
        <w:rPr>
          <w:rFonts w:ascii="SimSun" w:hAnsi="SimSun" w:eastAsia="SimSun" w:cs="SimSun"/>
          <w:sz w:val="21"/>
          <w:szCs w:val="21"/>
          <w:spacing w:val="-1"/>
        </w:rPr>
        <w:t>归属于母公司普通股股东净利润的</w:t>
      </w:r>
      <w:r>
        <w:rPr>
          <w:rFonts w:ascii="SimSun" w:hAnsi="SimSun" w:eastAsia="SimSun" w:cs="SimSun"/>
          <w:sz w:val="21"/>
          <w:szCs w:val="21"/>
          <w:spacing w:val="-34"/>
        </w:rPr>
        <w:t xml:space="preserve"> </w:t>
      </w:r>
      <w:r>
        <w:rPr>
          <w:rFonts w:ascii="Times New Roman" w:hAnsi="Times New Roman" w:eastAsia="Times New Roman" w:cs="Times New Roman"/>
          <w:sz w:val="21"/>
          <w:szCs w:val="21"/>
          <w:spacing w:val="-1"/>
        </w:rPr>
        <w:t>32.72%</w:t>
      </w:r>
      <w:r>
        <w:rPr>
          <w:rFonts w:ascii="SimSun" w:hAnsi="SimSun" w:eastAsia="SimSun" w:cs="SimSun"/>
          <w:sz w:val="21"/>
          <w:szCs w:val="21"/>
          <w:spacing w:val="-1"/>
        </w:rPr>
        <w:t>。</w:t>
      </w:r>
    </w:p>
    <w:p>
      <w:pPr>
        <w:ind w:left="1" w:firstLine="420"/>
        <w:spacing w:before="303" w:line="303" w:lineRule="auto"/>
        <w:jc w:val="both"/>
        <w:rPr>
          <w:rFonts w:ascii="SimSun" w:hAnsi="SimSun" w:eastAsia="SimSun" w:cs="SimSun"/>
          <w:sz w:val="21"/>
          <w:szCs w:val="21"/>
        </w:rPr>
      </w:pPr>
      <w:r>
        <w:rPr>
          <w:rFonts w:ascii="SimSun" w:hAnsi="SimSun" w:eastAsia="SimSun" w:cs="SimSun"/>
          <w:sz w:val="21"/>
          <w:szCs w:val="21"/>
          <w:spacing w:val="-1"/>
        </w:rPr>
        <w:t>新时代十年来,</w:t>
      </w:r>
      <w:r>
        <w:rPr>
          <w:rFonts w:ascii="SimSun" w:hAnsi="SimSun" w:eastAsia="SimSun" w:cs="SimSun"/>
          <w:sz w:val="21"/>
          <w:szCs w:val="21"/>
          <w:spacing w:val="30"/>
        </w:rPr>
        <w:t xml:space="preserve"> </w:t>
      </w:r>
      <w:r>
        <w:rPr>
          <w:rFonts w:ascii="SimSun" w:hAnsi="SimSun" w:eastAsia="SimSun" w:cs="SimSun"/>
          <w:sz w:val="21"/>
          <w:szCs w:val="21"/>
          <w:spacing w:val="-1"/>
        </w:rPr>
        <w:t>交行在积极服务国家战略的同时, 规模实力显著</w:t>
      </w:r>
      <w:r>
        <w:rPr>
          <w:rFonts w:ascii="SimSun" w:hAnsi="SimSun" w:eastAsia="SimSun" w:cs="SimSun"/>
          <w:sz w:val="21"/>
          <w:szCs w:val="21"/>
          <w:spacing w:val="-2"/>
        </w:rPr>
        <w:t>增强、发展质量稳中向好、价值创造</w:t>
      </w:r>
      <w:r>
        <w:rPr>
          <w:rFonts w:ascii="SimSun" w:hAnsi="SimSun" w:eastAsia="SimSun" w:cs="SimSun"/>
          <w:sz w:val="21"/>
          <w:szCs w:val="21"/>
        </w:rPr>
        <w:t xml:space="preserve"> </w:t>
      </w:r>
      <w:r>
        <w:rPr>
          <w:rFonts w:ascii="SimSun" w:hAnsi="SimSun" w:eastAsia="SimSun" w:cs="SimSun"/>
          <w:sz w:val="21"/>
          <w:szCs w:val="21"/>
          <w:spacing w:val="-3"/>
        </w:rPr>
        <w:t>能力保持稳健。截至</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3"/>
        </w:rPr>
        <w:t>2022 </w:t>
      </w:r>
      <w:r>
        <w:rPr>
          <w:rFonts w:ascii="SimSun" w:hAnsi="SimSun" w:eastAsia="SimSun" w:cs="SimSun"/>
          <w:sz w:val="21"/>
          <w:szCs w:val="21"/>
          <w:spacing w:val="-3"/>
        </w:rPr>
        <w:t>年末,</w:t>
      </w:r>
      <w:r>
        <w:rPr>
          <w:rFonts w:ascii="SimSun" w:hAnsi="SimSun" w:eastAsia="SimSun" w:cs="SimSun"/>
          <w:sz w:val="21"/>
          <w:szCs w:val="21"/>
          <w:spacing w:val="30"/>
        </w:rPr>
        <w:t xml:space="preserve"> </w:t>
      </w:r>
      <w:r>
        <w:rPr>
          <w:rFonts w:ascii="SimSun" w:hAnsi="SimSun" w:eastAsia="SimSun" w:cs="SimSun"/>
          <w:sz w:val="21"/>
          <w:szCs w:val="21"/>
          <w:spacing w:val="-3"/>
        </w:rPr>
        <w:t>交行资产规模近</w:t>
      </w:r>
      <w:r>
        <w:rPr>
          <w:rFonts w:ascii="SimSun" w:hAnsi="SimSun" w:eastAsia="SimSun" w:cs="SimSun"/>
          <w:sz w:val="21"/>
          <w:szCs w:val="21"/>
          <w:spacing w:val="-29"/>
        </w:rPr>
        <w:t xml:space="preserve"> </w:t>
      </w:r>
      <w:r>
        <w:rPr>
          <w:rFonts w:ascii="Times New Roman" w:hAnsi="Times New Roman" w:eastAsia="Times New Roman" w:cs="Times New Roman"/>
          <w:sz w:val="21"/>
          <w:szCs w:val="21"/>
          <w:spacing w:val="-3"/>
        </w:rPr>
        <w:t>13 </w:t>
      </w:r>
      <w:r>
        <w:rPr>
          <w:rFonts w:ascii="SimSun" w:hAnsi="SimSun" w:eastAsia="SimSun" w:cs="SimSun"/>
          <w:sz w:val="21"/>
          <w:szCs w:val="21"/>
          <w:spacing w:val="-3"/>
        </w:rPr>
        <w:t>万亿元,</w:t>
      </w:r>
      <w:r>
        <w:rPr>
          <w:rFonts w:ascii="SimSun" w:hAnsi="SimSun" w:eastAsia="SimSun" w:cs="SimSun"/>
          <w:sz w:val="21"/>
          <w:szCs w:val="21"/>
          <w:spacing w:val="27"/>
        </w:rPr>
        <w:t xml:space="preserve"> </w:t>
      </w:r>
      <w:r>
        <w:rPr>
          <w:rFonts w:ascii="SimSun" w:hAnsi="SimSun" w:eastAsia="SimSun" w:cs="SimSun"/>
          <w:sz w:val="21"/>
          <w:szCs w:val="21"/>
          <w:spacing w:val="-3"/>
        </w:rPr>
        <w:t>一级资本排名</w:t>
      </w:r>
      <w:r>
        <w:rPr>
          <w:rFonts w:ascii="SimSun" w:hAnsi="SimSun" w:eastAsia="SimSun" w:cs="SimSun"/>
          <w:sz w:val="21"/>
          <w:szCs w:val="21"/>
          <w:spacing w:val="-4"/>
        </w:rPr>
        <w:t>提升到全球第十位,</w:t>
      </w:r>
      <w:r>
        <w:rPr>
          <w:rFonts w:ascii="SimSun" w:hAnsi="SimSun" w:eastAsia="SimSun" w:cs="SimSun"/>
          <w:sz w:val="21"/>
          <w:szCs w:val="21"/>
          <w:spacing w:val="47"/>
        </w:rPr>
        <w:t xml:space="preserve"> </w:t>
      </w:r>
      <w:r>
        <w:rPr>
          <w:rFonts w:ascii="SimSun" w:hAnsi="SimSun" w:eastAsia="SimSun" w:cs="SimSun"/>
          <w:sz w:val="21"/>
          <w:szCs w:val="21"/>
          <w:spacing w:val="-4"/>
        </w:rPr>
        <w:t>已成为一</w:t>
      </w:r>
      <w:r>
        <w:rPr>
          <w:rFonts w:ascii="SimSun" w:hAnsi="SimSun" w:eastAsia="SimSun" w:cs="SimSun"/>
          <w:sz w:val="21"/>
          <w:szCs w:val="21"/>
        </w:rPr>
        <w:t xml:space="preserve"> </w:t>
      </w:r>
      <w:r>
        <w:rPr>
          <w:rFonts w:ascii="SimSun" w:hAnsi="SimSun" w:eastAsia="SimSun" w:cs="SimSun"/>
          <w:sz w:val="21"/>
          <w:szCs w:val="21"/>
          <w:spacing w:val="-1"/>
        </w:rPr>
        <w:t>家资本实力雄厚的世界级大银行。但我们清醒地认识到,</w:t>
      </w:r>
      <w:r>
        <w:rPr>
          <w:rFonts w:ascii="SimSun" w:hAnsi="SimSun" w:eastAsia="SimSun" w:cs="SimSun"/>
          <w:sz w:val="21"/>
          <w:szCs w:val="21"/>
          <w:spacing w:val="29"/>
        </w:rPr>
        <w:t xml:space="preserve"> </w:t>
      </w:r>
      <w:r>
        <w:rPr>
          <w:rFonts w:ascii="SimSun" w:hAnsi="SimSun" w:eastAsia="SimSun" w:cs="SimSun"/>
          <w:sz w:val="21"/>
          <w:szCs w:val="21"/>
          <w:spacing w:val="-1"/>
        </w:rPr>
        <w:t>与世界一流银行相比还有一定</w:t>
      </w:r>
      <w:r>
        <w:rPr>
          <w:rFonts w:ascii="SimSun" w:hAnsi="SimSun" w:eastAsia="SimSun" w:cs="SimSun"/>
          <w:sz w:val="21"/>
          <w:szCs w:val="21"/>
          <w:spacing w:val="-2"/>
        </w:rPr>
        <w:t>差距。新发展阶段</w:t>
      </w:r>
      <w:r>
        <w:rPr>
          <w:rFonts w:ascii="SimSun" w:hAnsi="SimSun" w:eastAsia="SimSun" w:cs="SimSun"/>
          <w:sz w:val="21"/>
          <w:szCs w:val="21"/>
        </w:rPr>
        <w:t xml:space="preserve"> </w:t>
      </w:r>
      <w:r>
        <w:rPr>
          <w:rFonts w:ascii="SimSun" w:hAnsi="SimSun" w:eastAsia="SimSun" w:cs="SimSun"/>
          <w:sz w:val="21"/>
          <w:szCs w:val="21"/>
          <w:spacing w:val="-1"/>
        </w:rPr>
        <w:t>的历史方位, 为我们带来了追赶超越的难得机遇</w:t>
      </w:r>
      <w:r>
        <w:rPr>
          <w:rFonts w:ascii="SimSun" w:hAnsi="SimSun" w:eastAsia="SimSun" w:cs="SimSun"/>
          <w:sz w:val="21"/>
          <w:szCs w:val="21"/>
          <w:spacing w:val="-2"/>
        </w:rPr>
        <w:t>。</w:t>
      </w:r>
      <w:r>
        <w:rPr>
          <w:rFonts w:ascii="Times New Roman" w:hAnsi="Times New Roman" w:eastAsia="Times New Roman" w:cs="Times New Roman"/>
          <w:sz w:val="21"/>
          <w:szCs w:val="21"/>
          <w:spacing w:val="-2"/>
        </w:rPr>
        <w:t>2022 </w:t>
      </w:r>
      <w:r>
        <w:rPr>
          <w:rFonts w:ascii="SimSun" w:hAnsi="SimSun" w:eastAsia="SimSun" w:cs="SimSun"/>
          <w:sz w:val="21"/>
          <w:szCs w:val="21"/>
          <w:spacing w:val="-2"/>
        </w:rPr>
        <w:t>年, 董事会结合经济发展、自身资源禀赋和发展实</w:t>
      </w:r>
      <w:r>
        <w:rPr>
          <w:rFonts w:ascii="SimSun" w:hAnsi="SimSun" w:eastAsia="SimSun" w:cs="SimSun"/>
          <w:sz w:val="21"/>
          <w:szCs w:val="21"/>
        </w:rPr>
        <w:t xml:space="preserve"> </w:t>
      </w:r>
      <w:r>
        <w:rPr>
          <w:rFonts w:ascii="SimSun" w:hAnsi="SimSun" w:eastAsia="SimSun" w:cs="SimSun"/>
          <w:sz w:val="21"/>
          <w:szCs w:val="21"/>
          <w:spacing w:val="-1"/>
        </w:rPr>
        <w:t>际,</w:t>
      </w:r>
      <w:r>
        <w:rPr>
          <w:rFonts w:ascii="SimSun" w:hAnsi="SimSun" w:eastAsia="SimSun" w:cs="SimSun"/>
          <w:sz w:val="21"/>
          <w:szCs w:val="21"/>
          <w:spacing w:val="43"/>
        </w:rPr>
        <w:t xml:space="preserve"> </w:t>
      </w:r>
      <w:r>
        <w:rPr>
          <w:rFonts w:ascii="SimSun" w:hAnsi="SimSun" w:eastAsia="SimSun" w:cs="SimSun"/>
          <w:sz w:val="21"/>
          <w:szCs w:val="21"/>
          <w:spacing w:val="-1"/>
        </w:rPr>
        <w:t>修订完善 "十四五"</w:t>
      </w:r>
      <w:r>
        <w:rPr>
          <w:rFonts w:ascii="SimSun" w:hAnsi="SimSun" w:eastAsia="SimSun" w:cs="SimSun"/>
          <w:sz w:val="21"/>
          <w:szCs w:val="21"/>
          <w:spacing w:val="-21"/>
        </w:rPr>
        <w:t xml:space="preserve"> </w:t>
      </w:r>
      <w:r>
        <w:rPr>
          <w:rFonts w:ascii="SimSun" w:hAnsi="SimSun" w:eastAsia="SimSun" w:cs="SimSun"/>
          <w:sz w:val="21"/>
          <w:szCs w:val="21"/>
          <w:spacing w:val="-1"/>
        </w:rPr>
        <w:t>时期发展规划纲要, 进一步校准了发展方向。在保持战略稳定性和连续性的基础</w:t>
      </w:r>
      <w:r>
        <w:rPr>
          <w:rFonts w:ascii="SimSun" w:hAnsi="SimSun" w:eastAsia="SimSun" w:cs="SimSun"/>
          <w:sz w:val="21"/>
          <w:szCs w:val="21"/>
        </w:rPr>
        <w:t xml:space="preserve"> </w:t>
      </w:r>
      <w:r>
        <w:rPr>
          <w:rFonts w:ascii="SimSun" w:hAnsi="SimSun" w:eastAsia="SimSun" w:cs="SimSun"/>
          <w:sz w:val="21"/>
          <w:szCs w:val="21"/>
          <w:spacing w:val="-2"/>
        </w:rPr>
        <w:t>上,</w:t>
      </w:r>
      <w:r>
        <w:rPr>
          <w:rFonts w:ascii="SimSun" w:hAnsi="SimSun" w:eastAsia="SimSun" w:cs="SimSun"/>
          <w:sz w:val="21"/>
          <w:szCs w:val="21"/>
          <w:spacing w:val="31"/>
        </w:rPr>
        <w:t xml:space="preserve"> </w:t>
      </w:r>
      <w:r>
        <w:rPr>
          <w:rFonts w:ascii="SimSun" w:hAnsi="SimSun" w:eastAsia="SimSun" w:cs="SimSun"/>
          <w:sz w:val="21"/>
          <w:szCs w:val="21"/>
          <w:spacing w:val="-2"/>
        </w:rPr>
        <w:t>以</w:t>
      </w:r>
      <w:r>
        <w:rPr>
          <w:rFonts w:ascii="Times New Roman" w:hAnsi="Times New Roman" w:eastAsia="Times New Roman" w:cs="Times New Roman"/>
          <w:sz w:val="21"/>
          <w:szCs w:val="21"/>
          <w:spacing w:val="-2"/>
        </w:rPr>
        <w:t>"</w:t>
      </w:r>
      <w:r>
        <w:rPr>
          <w:rFonts w:ascii="SimSun" w:hAnsi="SimSun" w:eastAsia="SimSun" w:cs="SimSun"/>
          <w:sz w:val="21"/>
          <w:szCs w:val="21"/>
          <w:spacing w:val="-2"/>
        </w:rPr>
        <w:t>建设具有特色优势的世界一流银行集团</w:t>
      </w:r>
      <w:r>
        <w:rPr>
          <w:rFonts w:ascii="Times New Roman" w:hAnsi="Times New Roman" w:eastAsia="Times New Roman" w:cs="Times New Roman"/>
          <w:sz w:val="21"/>
          <w:szCs w:val="21"/>
          <w:spacing w:val="-2"/>
        </w:rPr>
        <w:t>"</w:t>
      </w:r>
      <w:r>
        <w:rPr>
          <w:rFonts w:ascii="SimSun" w:hAnsi="SimSun" w:eastAsia="SimSun" w:cs="SimSun"/>
          <w:sz w:val="21"/>
          <w:szCs w:val="21"/>
          <w:spacing w:val="-2"/>
        </w:rPr>
        <w:t>为中长期战略目标, 致力于打造</w:t>
      </w:r>
      <w:r>
        <w:rPr>
          <w:rFonts w:ascii="Times New Roman" w:hAnsi="Times New Roman" w:eastAsia="Times New Roman" w:cs="Times New Roman"/>
          <w:sz w:val="21"/>
          <w:szCs w:val="21"/>
          <w:spacing w:val="-2"/>
        </w:rPr>
        <w:t>"</w:t>
      </w:r>
      <w:r>
        <w:rPr>
          <w:rFonts w:ascii="SimSun" w:hAnsi="SimSun" w:eastAsia="SimSun" w:cs="SimSun"/>
          <w:sz w:val="21"/>
          <w:szCs w:val="21"/>
          <w:spacing w:val="-3"/>
        </w:rPr>
        <w:t>产品卓越、品牌卓著、创</w:t>
      </w:r>
      <w:r>
        <w:rPr>
          <w:rFonts w:ascii="SimSun" w:hAnsi="SimSun" w:eastAsia="SimSun" w:cs="SimSun"/>
          <w:sz w:val="21"/>
          <w:szCs w:val="21"/>
        </w:rPr>
        <w:t xml:space="preserve"> </w:t>
      </w:r>
      <w:r>
        <w:rPr>
          <w:rFonts w:ascii="SimSun" w:hAnsi="SimSun" w:eastAsia="SimSun" w:cs="SimSun"/>
          <w:sz w:val="21"/>
          <w:szCs w:val="21"/>
          <w:spacing w:val="-2"/>
        </w:rPr>
        <w:t>新领先、治理现代</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spacing w:val="-29"/>
        </w:rPr>
        <w:t xml:space="preserve"> </w:t>
      </w:r>
      <w:r>
        <w:rPr>
          <w:rFonts w:ascii="SimSun" w:hAnsi="SimSun" w:eastAsia="SimSun" w:cs="SimSun"/>
          <w:sz w:val="21"/>
          <w:szCs w:val="21"/>
          <w:spacing w:val="-2"/>
        </w:rPr>
        <w:t>的大型银行集团,</w:t>
      </w:r>
      <w:r>
        <w:rPr>
          <w:rFonts w:ascii="SimSun" w:hAnsi="SimSun" w:eastAsia="SimSun" w:cs="SimSun"/>
          <w:sz w:val="21"/>
          <w:szCs w:val="21"/>
          <w:spacing w:val="31"/>
        </w:rPr>
        <w:t xml:space="preserve"> </w:t>
      </w:r>
      <w:r>
        <w:rPr>
          <w:rFonts w:ascii="SimSun" w:hAnsi="SimSun" w:eastAsia="SimSun" w:cs="SimSun"/>
          <w:sz w:val="21"/>
          <w:szCs w:val="21"/>
          <w:spacing w:val="-2"/>
        </w:rPr>
        <w:t>为股东及相关各方创造长期共同价值。</w:t>
      </w:r>
    </w:p>
    <w:p>
      <w:pPr>
        <w:pStyle w:val="BodyText"/>
        <w:spacing w:line="242" w:lineRule="auto"/>
        <w:rPr/>
      </w:pPr>
      <w:r/>
    </w:p>
    <w:p>
      <w:pPr>
        <w:ind w:firstLine="423"/>
        <w:spacing w:before="69" w:line="306" w:lineRule="auto"/>
        <w:jc w:val="both"/>
        <w:rPr>
          <w:rFonts w:ascii="SimSun" w:hAnsi="SimSun" w:eastAsia="SimSun" w:cs="SimSun"/>
          <w:sz w:val="21"/>
          <w:szCs w:val="21"/>
        </w:rPr>
      </w:pPr>
      <w:r>
        <w:rPr>
          <w:rFonts w:ascii="SimSun" w:hAnsi="SimSun" w:eastAsia="SimSun" w:cs="SimSun"/>
          <w:sz w:val="21"/>
          <w:szCs w:val="21"/>
          <w:spacing w:val="-5"/>
        </w:rPr>
        <w:t>我们深知,</w:t>
      </w:r>
      <w:r>
        <w:rPr>
          <w:rFonts w:ascii="SimSun" w:hAnsi="SimSun" w:eastAsia="SimSun" w:cs="SimSun"/>
          <w:sz w:val="21"/>
          <w:szCs w:val="21"/>
          <w:spacing w:val="29"/>
        </w:rPr>
        <w:t xml:space="preserve"> </w:t>
      </w:r>
      <w:r>
        <w:rPr>
          <w:rFonts w:ascii="SimSun" w:hAnsi="SimSun" w:eastAsia="SimSun" w:cs="SimSun"/>
          <w:sz w:val="21"/>
          <w:szCs w:val="21"/>
          <w:b/>
          <w:bCs/>
          <w:spacing w:val="-5"/>
        </w:rPr>
        <w:t>战略推进需要把握趋势,</w:t>
      </w:r>
      <w:r>
        <w:rPr>
          <w:rFonts w:ascii="SimSun" w:hAnsi="SimSun" w:eastAsia="SimSun" w:cs="SimSun"/>
          <w:sz w:val="21"/>
          <w:szCs w:val="21"/>
          <w:spacing w:val="-5"/>
        </w:rPr>
        <w:t xml:space="preserve"> </w:t>
      </w:r>
      <w:r>
        <w:rPr>
          <w:rFonts w:ascii="SimSun" w:hAnsi="SimSun" w:eastAsia="SimSun" w:cs="SimSun"/>
          <w:sz w:val="21"/>
          <w:szCs w:val="21"/>
          <w:b/>
          <w:bCs/>
          <w:spacing w:val="-5"/>
        </w:rPr>
        <w:t>打造特色。</w:t>
      </w:r>
      <w:r>
        <w:rPr>
          <w:rFonts w:ascii="SimSun" w:hAnsi="SimSun" w:eastAsia="SimSun" w:cs="SimSun"/>
          <w:sz w:val="21"/>
          <w:szCs w:val="21"/>
          <w:spacing w:val="29"/>
        </w:rPr>
        <w:t xml:space="preserve"> </w:t>
      </w:r>
      <w:r>
        <w:rPr>
          <w:rFonts w:ascii="SimSun" w:hAnsi="SimSun" w:eastAsia="SimSun" w:cs="SimSun"/>
          <w:sz w:val="21"/>
          <w:szCs w:val="21"/>
          <w:spacing w:val="-5"/>
        </w:rPr>
        <w:t>我们将发展战略深度融入构建新发展格局和中国式现</w:t>
      </w:r>
      <w:r>
        <w:rPr>
          <w:rFonts w:ascii="SimSun" w:hAnsi="SimSun" w:eastAsia="SimSun" w:cs="SimSun"/>
          <w:sz w:val="21"/>
          <w:szCs w:val="21"/>
        </w:rPr>
        <w:t xml:space="preserve"> </w:t>
      </w:r>
      <w:r>
        <w:rPr>
          <w:rFonts w:ascii="SimSun" w:hAnsi="SimSun" w:eastAsia="SimSun" w:cs="SimSun"/>
          <w:sz w:val="21"/>
          <w:szCs w:val="21"/>
          <w:spacing w:val="4"/>
        </w:rPr>
        <w:t>代化建设, 提出打造"普惠金融、贸易金融、科技金融、财富金融" 四大业务特色, 把"绿色金融"</w:t>
      </w:r>
      <w:r>
        <w:rPr>
          <w:rFonts w:ascii="SimSun" w:hAnsi="SimSun" w:eastAsia="SimSun" w:cs="SimSun"/>
          <w:sz w:val="21"/>
          <w:szCs w:val="21"/>
          <w:spacing w:val="-11"/>
        </w:rPr>
        <w:t xml:space="preserve"> </w:t>
      </w:r>
      <w:r>
        <w:rPr>
          <w:rFonts w:ascii="SimSun" w:hAnsi="SimSun" w:eastAsia="SimSun" w:cs="SimSun"/>
          <w:sz w:val="21"/>
          <w:szCs w:val="21"/>
          <w:spacing w:val="4"/>
        </w:rPr>
        <w:t>作为</w:t>
      </w:r>
      <w:r>
        <w:rPr>
          <w:rFonts w:ascii="SimSun" w:hAnsi="SimSun" w:eastAsia="SimSun" w:cs="SimSun"/>
          <w:sz w:val="21"/>
          <w:szCs w:val="21"/>
        </w:rPr>
        <w:t xml:space="preserve"> </w:t>
      </w:r>
      <w:r>
        <w:rPr>
          <w:rFonts w:ascii="SimSun" w:hAnsi="SimSun" w:eastAsia="SimSun" w:cs="SimSun"/>
          <w:sz w:val="21"/>
          <w:szCs w:val="21"/>
        </w:rPr>
        <w:t>全集团业务经营发展的底色。我们着力提升金融服务</w:t>
      </w:r>
      <w:r>
        <w:rPr>
          <w:rFonts w:ascii="SimSun" w:hAnsi="SimSun" w:eastAsia="SimSun" w:cs="SimSun"/>
          <w:sz w:val="21"/>
          <w:szCs w:val="21"/>
          <w:spacing w:val="-1"/>
        </w:rPr>
        <w:t>的覆盖面和可得性, 大力发展零售信贷和服务普惠小</w:t>
      </w:r>
      <w:r>
        <w:rPr>
          <w:rFonts w:ascii="SimSun" w:hAnsi="SimSun" w:eastAsia="SimSun" w:cs="SimSun"/>
          <w:sz w:val="21"/>
          <w:szCs w:val="21"/>
        </w:rPr>
        <w:t xml:space="preserve"> </w:t>
      </w:r>
      <w:r>
        <w:rPr>
          <w:rFonts w:ascii="SimSun" w:hAnsi="SimSun" w:eastAsia="SimSun" w:cs="SimSun"/>
          <w:sz w:val="21"/>
          <w:szCs w:val="21"/>
          <w:spacing w:val="4"/>
        </w:rPr>
        <w:t>微。我们紧跟"双循环"发展趋势,</w:t>
      </w:r>
      <w:r>
        <w:rPr>
          <w:rFonts w:ascii="SimSun" w:hAnsi="SimSun" w:eastAsia="SimSun" w:cs="SimSun"/>
          <w:sz w:val="21"/>
          <w:szCs w:val="21"/>
          <w:spacing w:val="46"/>
        </w:rPr>
        <w:t xml:space="preserve"> </w:t>
      </w:r>
      <w:r>
        <w:rPr>
          <w:rFonts w:ascii="SimSun" w:hAnsi="SimSun" w:eastAsia="SimSun" w:cs="SimSun"/>
          <w:sz w:val="21"/>
          <w:szCs w:val="21"/>
          <w:spacing w:val="4"/>
        </w:rPr>
        <w:t>发展贸易金融,</w:t>
      </w:r>
      <w:r>
        <w:rPr>
          <w:rFonts w:ascii="SimSun" w:hAnsi="SimSun" w:eastAsia="SimSun" w:cs="SimSun"/>
          <w:sz w:val="21"/>
          <w:szCs w:val="21"/>
          <w:spacing w:val="34"/>
        </w:rPr>
        <w:t xml:space="preserve"> </w:t>
      </w:r>
      <w:r>
        <w:rPr>
          <w:rFonts w:ascii="SimSun" w:hAnsi="SimSun" w:eastAsia="SimSun" w:cs="SimSun"/>
          <w:sz w:val="21"/>
          <w:szCs w:val="21"/>
          <w:spacing w:val="4"/>
        </w:rPr>
        <w:t>增强客户黏性。我们服务科技强国、制造强国建设,</w:t>
      </w:r>
      <w:r>
        <w:rPr>
          <w:rFonts w:ascii="SimSun" w:hAnsi="SimSun" w:eastAsia="SimSun" w:cs="SimSun"/>
          <w:sz w:val="21"/>
          <w:szCs w:val="21"/>
        </w:rPr>
        <w:t xml:space="preserve"> </w:t>
      </w:r>
      <w:r>
        <w:rPr>
          <w:rFonts w:ascii="SimSun" w:hAnsi="SimSun" w:eastAsia="SimSun" w:cs="SimSun"/>
          <w:sz w:val="21"/>
          <w:szCs w:val="21"/>
          <w:spacing w:val="2"/>
        </w:rPr>
        <w:t>打造商行和投行一体化的科技金融服务体系。我们抓住共同富裕带来的财富管</w:t>
      </w:r>
      <w:r>
        <w:rPr>
          <w:rFonts w:ascii="SimSun" w:hAnsi="SimSun" w:eastAsia="SimSun" w:cs="SimSun"/>
          <w:sz w:val="21"/>
          <w:szCs w:val="21"/>
          <w:spacing w:val="1"/>
        </w:rPr>
        <w:t>理业务发展机遇, 完善"全</w:t>
      </w:r>
      <w:r>
        <w:rPr>
          <w:rFonts w:ascii="SimSun" w:hAnsi="SimSun" w:eastAsia="SimSun" w:cs="SimSun"/>
          <w:sz w:val="21"/>
          <w:szCs w:val="21"/>
        </w:rPr>
        <w:t xml:space="preserve"> </w:t>
      </w:r>
      <w:r>
        <w:rPr>
          <w:rFonts w:ascii="SimSun" w:hAnsi="SimSun" w:eastAsia="SimSun" w:cs="SimSun"/>
          <w:sz w:val="21"/>
          <w:szCs w:val="21"/>
          <w:spacing w:val="-1"/>
        </w:rPr>
        <w:t>链条"</w:t>
      </w:r>
      <w:r>
        <w:rPr>
          <w:rFonts w:ascii="SimSun" w:hAnsi="SimSun" w:eastAsia="SimSun" w:cs="SimSun"/>
          <w:sz w:val="21"/>
          <w:szCs w:val="21"/>
          <w:spacing w:val="-30"/>
        </w:rPr>
        <w:t xml:space="preserve"> </w:t>
      </w:r>
      <w:r>
        <w:rPr>
          <w:rFonts w:ascii="SimSun" w:hAnsi="SimSun" w:eastAsia="SimSun" w:cs="SimSun"/>
          <w:sz w:val="21"/>
          <w:szCs w:val="21"/>
          <w:spacing w:val="-1"/>
        </w:rPr>
        <w:t>财富金融体系。</w:t>
      </w:r>
      <w:r>
        <w:rPr>
          <w:rFonts w:ascii="Times New Roman" w:hAnsi="Times New Roman" w:eastAsia="Times New Roman" w:cs="Times New Roman"/>
          <w:sz w:val="21"/>
          <w:szCs w:val="21"/>
          <w:spacing w:val="-1"/>
        </w:rPr>
        <w:t>2022 </w:t>
      </w:r>
      <w:r>
        <w:rPr>
          <w:rFonts w:ascii="SimSun" w:hAnsi="SimSun" w:eastAsia="SimSun" w:cs="SimSun"/>
          <w:sz w:val="21"/>
          <w:szCs w:val="21"/>
          <w:spacing w:val="-1"/>
        </w:rPr>
        <w:t>年, 交行四大业务特色打造取得积极进展, 普惠型小微贷款、消费贷款、产业</w:t>
      </w:r>
      <w:r>
        <w:rPr>
          <w:rFonts w:ascii="SimSun" w:hAnsi="SimSun" w:eastAsia="SimSun" w:cs="SimSun"/>
          <w:sz w:val="21"/>
          <w:szCs w:val="21"/>
        </w:rPr>
        <w:t xml:space="preserve"> </w:t>
      </w:r>
      <w:r>
        <w:rPr>
          <w:rFonts w:ascii="SimSun" w:hAnsi="SimSun" w:eastAsia="SimSun" w:cs="SimSun"/>
          <w:sz w:val="21"/>
          <w:szCs w:val="21"/>
          <w:spacing w:val="-1"/>
        </w:rPr>
        <w:t>链金融业务量、战略性新兴产业贷款等增速均超过</w:t>
      </w:r>
      <w:r>
        <w:rPr>
          <w:rFonts w:ascii="SimSun" w:hAnsi="SimSun" w:eastAsia="SimSun" w:cs="SimSun"/>
          <w:sz w:val="21"/>
          <w:szCs w:val="21"/>
          <w:spacing w:val="-46"/>
        </w:rPr>
        <w:t xml:space="preserve"> </w:t>
      </w:r>
      <w:r>
        <w:rPr>
          <w:rFonts w:ascii="Times New Roman" w:hAnsi="Times New Roman" w:eastAsia="Times New Roman" w:cs="Times New Roman"/>
          <w:sz w:val="21"/>
          <w:szCs w:val="21"/>
          <w:spacing w:val="-1"/>
        </w:rPr>
        <w:t>30%</w:t>
      </w:r>
      <w:r>
        <w:rPr>
          <w:rFonts w:ascii="SimSun" w:hAnsi="SimSun" w:eastAsia="SimSun" w:cs="SimSun"/>
          <w:sz w:val="21"/>
          <w:szCs w:val="21"/>
          <w:spacing w:val="-1"/>
        </w:rPr>
        <w:t>, 信贷结构持续优化; 财富管理客群和规</w:t>
      </w:r>
      <w:r>
        <w:rPr>
          <w:rFonts w:ascii="SimSun" w:hAnsi="SimSun" w:eastAsia="SimSun" w:cs="SimSun"/>
          <w:sz w:val="21"/>
          <w:szCs w:val="21"/>
          <w:spacing w:val="-2"/>
        </w:rPr>
        <w:t>模稳步增</w:t>
      </w:r>
      <w:r>
        <w:rPr>
          <w:rFonts w:ascii="SimSun" w:hAnsi="SimSun" w:eastAsia="SimSun" w:cs="SimSun"/>
          <w:sz w:val="21"/>
          <w:szCs w:val="21"/>
        </w:rPr>
        <w:t xml:space="preserve"> </w:t>
      </w:r>
      <w:r>
        <w:rPr>
          <w:rFonts w:ascii="SimSun" w:hAnsi="SimSun" w:eastAsia="SimSun" w:cs="SimSun"/>
          <w:sz w:val="21"/>
          <w:szCs w:val="21"/>
          <w:spacing w:val="-2"/>
        </w:rPr>
        <w:t>长, 养老客群客户增长迅速;</w:t>
      </w:r>
      <w:r>
        <w:rPr>
          <w:rFonts w:ascii="SimSun" w:hAnsi="SimSun" w:eastAsia="SimSun" w:cs="SimSun"/>
          <w:sz w:val="21"/>
          <w:szCs w:val="21"/>
          <w:spacing w:val="37"/>
        </w:rPr>
        <w:t xml:space="preserve"> </w:t>
      </w:r>
      <w:r>
        <w:rPr>
          <w:rFonts w:ascii="SimSun" w:hAnsi="SimSun" w:eastAsia="SimSun" w:cs="SimSun"/>
          <w:sz w:val="21"/>
          <w:szCs w:val="21"/>
          <w:spacing w:val="-2"/>
        </w:rPr>
        <w:t>绿色金融服务市场影响力提升,</w:t>
      </w:r>
      <w:r>
        <w:rPr>
          <w:rFonts w:ascii="SimSun" w:hAnsi="SimSun" w:eastAsia="SimSun" w:cs="SimSun"/>
          <w:sz w:val="21"/>
          <w:szCs w:val="21"/>
          <w:spacing w:val="28"/>
        </w:rPr>
        <w:t xml:space="preserve"> </w:t>
      </w:r>
      <w:r>
        <w:rPr>
          <w:rFonts w:ascii="SimSun" w:hAnsi="SimSun" w:eastAsia="SimSun" w:cs="SimSun"/>
          <w:sz w:val="21"/>
          <w:szCs w:val="21"/>
          <w:spacing w:val="-2"/>
        </w:rPr>
        <w:t>绿色贷款余额、主承销绿色债券金额分别比</w:t>
      </w:r>
      <w:r>
        <w:rPr>
          <w:rFonts w:ascii="SimSun" w:hAnsi="SimSun" w:eastAsia="SimSun" w:cs="SimSun"/>
          <w:sz w:val="21"/>
          <w:szCs w:val="21"/>
        </w:rPr>
        <w:t xml:space="preserve"> </w:t>
      </w:r>
      <w:r>
        <w:rPr>
          <w:rFonts w:ascii="SimSun" w:hAnsi="SimSun" w:eastAsia="SimSun" w:cs="SimSun"/>
          <w:sz w:val="21"/>
          <w:szCs w:val="21"/>
          <w:spacing w:val="-3"/>
        </w:rPr>
        <w:t>上年增长</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3"/>
        </w:rPr>
        <w:t>33%</w:t>
      </w:r>
      <w:r>
        <w:rPr>
          <w:rFonts w:ascii="Times New Roman" w:hAnsi="Times New Roman" w:eastAsia="Times New Roman" w:cs="Times New Roman"/>
          <w:sz w:val="21"/>
          <w:szCs w:val="21"/>
          <w:spacing w:val="-31"/>
        </w:rPr>
        <w:t xml:space="preserve"> </w:t>
      </w:r>
      <w:r>
        <w:rPr>
          <w:rFonts w:ascii="SimSun" w:hAnsi="SimSun" w:eastAsia="SimSun" w:cs="SimSun"/>
          <w:sz w:val="21"/>
          <w:szCs w:val="21"/>
          <w:spacing w:val="-3"/>
        </w:rPr>
        <w:t>、</w:t>
      </w:r>
      <w:r>
        <w:rPr>
          <w:rFonts w:ascii="Times New Roman" w:hAnsi="Times New Roman" w:eastAsia="Times New Roman" w:cs="Times New Roman"/>
          <w:sz w:val="21"/>
          <w:szCs w:val="21"/>
          <w:spacing w:val="-3"/>
        </w:rPr>
        <w:t>46%</w:t>
      </w:r>
      <w:r>
        <w:rPr>
          <w:rFonts w:ascii="SimSun" w:hAnsi="SimSun" w:eastAsia="SimSun" w:cs="SimSun"/>
          <w:sz w:val="21"/>
          <w:szCs w:val="21"/>
          <w:spacing w:val="-3"/>
        </w:rPr>
        <w:t>。</w:t>
      </w:r>
    </w:p>
    <w:p>
      <w:pPr>
        <w:ind w:firstLine="422"/>
        <w:spacing w:before="305" w:line="308" w:lineRule="auto"/>
        <w:jc w:val="both"/>
        <w:rPr>
          <w:rFonts w:ascii="SimSun" w:hAnsi="SimSun" w:eastAsia="SimSun" w:cs="SimSun"/>
          <w:sz w:val="21"/>
          <w:szCs w:val="21"/>
        </w:rPr>
      </w:pPr>
      <w:r>
        <w:rPr>
          <w:rFonts w:ascii="SimSun" w:hAnsi="SimSun" w:eastAsia="SimSun" w:cs="SimSun"/>
          <w:sz w:val="21"/>
          <w:szCs w:val="21"/>
          <w:spacing w:val="1"/>
        </w:rPr>
        <w:t>我们深知,</w:t>
      </w:r>
      <w:r>
        <w:rPr>
          <w:rFonts w:ascii="SimSun" w:hAnsi="SimSun" w:eastAsia="SimSun" w:cs="SimSun"/>
          <w:sz w:val="21"/>
          <w:szCs w:val="21"/>
          <w:spacing w:val="33"/>
        </w:rPr>
        <w:t xml:space="preserve"> </w:t>
      </w:r>
      <w:r>
        <w:rPr>
          <w:rFonts w:ascii="SimSun" w:hAnsi="SimSun" w:eastAsia="SimSun" w:cs="SimSun"/>
          <w:sz w:val="21"/>
          <w:szCs w:val="21"/>
          <w:b/>
          <w:bCs/>
          <w:spacing w:val="1"/>
        </w:rPr>
        <w:t>战略推进需要立足资源禀赋,</w:t>
      </w:r>
      <w:r>
        <w:rPr>
          <w:rFonts w:ascii="SimSun" w:hAnsi="SimSun" w:eastAsia="SimSun" w:cs="SimSun"/>
          <w:sz w:val="21"/>
          <w:szCs w:val="21"/>
          <w:spacing w:val="1"/>
        </w:rPr>
        <w:t xml:space="preserve"> </w:t>
      </w:r>
      <w:r>
        <w:rPr>
          <w:rFonts w:ascii="SimSun" w:hAnsi="SimSun" w:eastAsia="SimSun" w:cs="SimSun"/>
          <w:sz w:val="21"/>
          <w:szCs w:val="21"/>
          <w:b/>
          <w:bCs/>
          <w:spacing w:val="1"/>
        </w:rPr>
        <w:t>形成突破。</w:t>
      </w:r>
      <w:r>
        <w:rPr>
          <w:rFonts w:ascii="SimSun" w:hAnsi="SimSun" w:eastAsia="SimSun" w:cs="SimSun"/>
          <w:sz w:val="21"/>
          <w:szCs w:val="21"/>
          <w:spacing w:val="1"/>
        </w:rPr>
        <w:t>我们提出要在"上海主</w:t>
      </w:r>
      <w:r>
        <w:rPr>
          <w:rFonts w:ascii="SimSun" w:hAnsi="SimSun" w:eastAsia="SimSun" w:cs="SimSun"/>
          <w:sz w:val="21"/>
          <w:szCs w:val="21"/>
        </w:rPr>
        <w:t>场"</w:t>
      </w:r>
      <w:r>
        <w:rPr>
          <w:rFonts w:ascii="SimSun" w:hAnsi="SimSun" w:eastAsia="SimSun" w:cs="SimSun"/>
          <w:sz w:val="21"/>
          <w:szCs w:val="21"/>
          <w:spacing w:val="-28"/>
        </w:rPr>
        <w:t xml:space="preserve"> </w:t>
      </w:r>
      <w:r>
        <w:rPr>
          <w:rFonts w:ascii="SimSun" w:hAnsi="SimSun" w:eastAsia="SimSun" w:cs="SimSun"/>
          <w:sz w:val="21"/>
          <w:szCs w:val="21"/>
        </w:rPr>
        <w:t>建设、数字化转型两 </w:t>
      </w:r>
      <w:r>
        <w:rPr>
          <w:rFonts w:ascii="SimSun" w:hAnsi="SimSun" w:eastAsia="SimSun" w:cs="SimSun"/>
          <w:sz w:val="21"/>
          <w:szCs w:val="21"/>
        </w:rPr>
        <w:t>大重点领域率先实现创新突破。充分发挥总部在沪</w:t>
      </w:r>
      <w:r>
        <w:rPr>
          <w:rFonts w:ascii="SimSun" w:hAnsi="SimSun" w:eastAsia="SimSun" w:cs="SimSun"/>
          <w:sz w:val="21"/>
          <w:szCs w:val="21"/>
          <w:spacing w:val="-1"/>
        </w:rPr>
        <w:t>的主场优势, 紧紧抓住上海国际金融中心建设和长三角</w:t>
      </w:r>
      <w:r>
        <w:rPr>
          <w:rFonts w:ascii="SimSun" w:hAnsi="SimSun" w:eastAsia="SimSun" w:cs="SimSun"/>
          <w:sz w:val="21"/>
          <w:szCs w:val="21"/>
        </w:rPr>
        <w:t xml:space="preserve"> </w:t>
      </w:r>
      <w:r>
        <w:rPr>
          <w:rFonts w:ascii="SimSun" w:hAnsi="SimSun" w:eastAsia="SimSun" w:cs="SimSun"/>
          <w:sz w:val="21"/>
          <w:szCs w:val="21"/>
        </w:rPr>
        <w:t>一体化发展带来的重大机遇, 探索开展产品、流程</w:t>
      </w:r>
      <w:r>
        <w:rPr>
          <w:rFonts w:ascii="SimSun" w:hAnsi="SimSun" w:eastAsia="SimSun" w:cs="SimSun"/>
          <w:sz w:val="21"/>
          <w:szCs w:val="21"/>
          <w:spacing w:val="-1"/>
        </w:rPr>
        <w:t>以及体制机制的全方位创新, 把上海打造成为集团的创</w:t>
      </w:r>
      <w:r>
        <w:rPr>
          <w:rFonts w:ascii="SimSun" w:hAnsi="SimSun" w:eastAsia="SimSun" w:cs="SimSun"/>
          <w:sz w:val="21"/>
          <w:szCs w:val="21"/>
        </w:rPr>
        <w:t xml:space="preserve"> </w:t>
      </w:r>
      <w:r>
        <w:rPr>
          <w:rFonts w:ascii="SimSun" w:hAnsi="SimSun" w:eastAsia="SimSun" w:cs="SimSun"/>
          <w:sz w:val="21"/>
          <w:szCs w:val="21"/>
          <w:spacing w:val="-2"/>
        </w:rPr>
        <w:t>新策源功能区, 并将成功经验向其他区域推广复制,</w:t>
      </w:r>
      <w:r>
        <w:rPr>
          <w:rFonts w:ascii="SimSun" w:hAnsi="SimSun" w:eastAsia="SimSun" w:cs="SimSun"/>
          <w:sz w:val="21"/>
          <w:szCs w:val="21"/>
          <w:spacing w:val="27"/>
        </w:rPr>
        <w:t xml:space="preserve"> </w:t>
      </w:r>
      <w:r>
        <w:rPr>
          <w:rFonts w:ascii="SimSun" w:hAnsi="SimSun" w:eastAsia="SimSun" w:cs="SimSun"/>
          <w:sz w:val="21"/>
          <w:szCs w:val="21"/>
          <w:spacing w:val="-2"/>
        </w:rPr>
        <w:t>引领集团高质量发展。</w:t>
      </w:r>
      <w:r>
        <w:rPr>
          <w:rFonts w:ascii="Times New Roman" w:hAnsi="Times New Roman" w:eastAsia="Times New Roman" w:cs="Times New Roman"/>
          <w:sz w:val="21"/>
          <w:szCs w:val="21"/>
          <w:spacing w:val="-2"/>
        </w:rPr>
        <w:t>2022 </w:t>
      </w:r>
      <w:r>
        <w:rPr>
          <w:rFonts w:ascii="SimSun" w:hAnsi="SimSun" w:eastAsia="SimSun" w:cs="SimSun"/>
          <w:sz w:val="21"/>
          <w:szCs w:val="21"/>
          <w:spacing w:val="-2"/>
        </w:rPr>
        <w:t>年, 上海主场</w:t>
      </w:r>
      <w:r>
        <w:rPr>
          <w:rFonts w:ascii="SimSun" w:hAnsi="SimSun" w:eastAsia="SimSun" w:cs="SimSun"/>
          <w:sz w:val="21"/>
          <w:szCs w:val="21"/>
          <w:spacing w:val="-3"/>
        </w:rPr>
        <w:t>贡献度和显</w:t>
      </w:r>
      <w:r>
        <w:rPr>
          <w:rFonts w:ascii="SimSun" w:hAnsi="SimSun" w:eastAsia="SimSun" w:cs="SimSun"/>
          <w:sz w:val="21"/>
          <w:szCs w:val="21"/>
        </w:rPr>
        <w:t xml:space="preserve"> </w:t>
      </w:r>
      <w:r>
        <w:rPr>
          <w:rFonts w:ascii="SimSun" w:hAnsi="SimSun" w:eastAsia="SimSun" w:cs="SimSun"/>
          <w:sz w:val="21"/>
          <w:szCs w:val="21"/>
          <w:spacing w:val="-1"/>
        </w:rPr>
        <w:t>示度稳步提升,</w:t>
      </w:r>
      <w:r>
        <w:rPr>
          <w:rFonts w:ascii="SimSun" w:hAnsi="SimSun" w:eastAsia="SimSun" w:cs="SimSun"/>
          <w:sz w:val="21"/>
          <w:szCs w:val="21"/>
          <w:spacing w:val="52"/>
        </w:rPr>
        <w:t xml:space="preserve"> </w:t>
      </w:r>
      <w:r>
        <w:rPr>
          <w:rFonts w:ascii="SimSun" w:hAnsi="SimSun" w:eastAsia="SimSun" w:cs="SimSun"/>
          <w:sz w:val="21"/>
          <w:szCs w:val="21"/>
          <w:spacing w:val="-1"/>
        </w:rPr>
        <w:t>以 "一件事"</w:t>
      </w:r>
      <w:r>
        <w:rPr>
          <w:rFonts w:ascii="SimSun" w:hAnsi="SimSun" w:eastAsia="SimSun" w:cs="SimSun"/>
          <w:sz w:val="21"/>
          <w:szCs w:val="21"/>
          <w:spacing w:val="-32"/>
        </w:rPr>
        <w:t xml:space="preserve"> </w:t>
      </w:r>
      <w:r>
        <w:rPr>
          <w:rFonts w:ascii="SimSun" w:hAnsi="SimSun" w:eastAsia="SimSun" w:cs="SimSun"/>
          <w:sz w:val="21"/>
          <w:szCs w:val="21"/>
          <w:spacing w:val="-1"/>
        </w:rPr>
        <w:t>机制推动战略重点领域创新策源成效初显。我们持续加大资源投入和人才建</w:t>
      </w:r>
      <w:r>
        <w:rPr>
          <w:rFonts w:ascii="SimSun" w:hAnsi="SimSun" w:eastAsia="SimSun" w:cs="SimSun"/>
          <w:sz w:val="21"/>
          <w:szCs w:val="21"/>
        </w:rPr>
        <w:t xml:space="preserve"> </w:t>
      </w:r>
      <w:r>
        <w:rPr>
          <w:rFonts w:ascii="SimSun" w:hAnsi="SimSun" w:eastAsia="SimSun" w:cs="SimSun"/>
          <w:sz w:val="21"/>
          <w:szCs w:val="21"/>
          <w:spacing w:val="2"/>
        </w:rPr>
        <w:t>设力度, 加快数字化新交行建设,</w:t>
      </w:r>
      <w:r>
        <w:rPr>
          <w:rFonts w:ascii="SimSun" w:hAnsi="SimSun" w:eastAsia="SimSun" w:cs="SimSun"/>
          <w:sz w:val="21"/>
          <w:szCs w:val="21"/>
          <w:spacing w:val="29"/>
        </w:rPr>
        <w:t xml:space="preserve"> </w:t>
      </w:r>
      <w:r>
        <w:rPr>
          <w:rFonts w:ascii="SimSun" w:hAnsi="SimSun" w:eastAsia="SimSun" w:cs="SimSun"/>
          <w:sz w:val="21"/>
          <w:szCs w:val="21"/>
          <w:spacing w:val="2"/>
        </w:rPr>
        <w:t>坚定推动以"平台、</w:t>
      </w:r>
      <w:r>
        <w:rPr>
          <w:rFonts w:ascii="SimSun" w:hAnsi="SimSun" w:eastAsia="SimSun" w:cs="SimSun"/>
          <w:sz w:val="21"/>
          <w:szCs w:val="21"/>
          <w:spacing w:val="1"/>
        </w:rPr>
        <w:t>开放、智能、企业级、重塑"</w:t>
      </w:r>
      <w:r>
        <w:rPr>
          <w:rFonts w:ascii="SimSun" w:hAnsi="SimSun" w:eastAsia="SimSun" w:cs="SimSun"/>
          <w:sz w:val="21"/>
          <w:szCs w:val="21"/>
          <w:spacing w:val="-26"/>
        </w:rPr>
        <w:t xml:space="preserve"> </w:t>
      </w:r>
      <w:r>
        <w:rPr>
          <w:rFonts w:ascii="SimSun" w:hAnsi="SimSun" w:eastAsia="SimSun" w:cs="SimSun"/>
          <w:sz w:val="21"/>
          <w:szCs w:val="21"/>
          <w:spacing w:val="1"/>
        </w:rPr>
        <w:t>为核心的金融科技发</w:t>
      </w:r>
      <w:r>
        <w:rPr>
          <w:rFonts w:ascii="SimSun" w:hAnsi="SimSun" w:eastAsia="SimSun" w:cs="SimSun"/>
          <w:sz w:val="21"/>
          <w:szCs w:val="21"/>
        </w:rPr>
        <w:t xml:space="preserve"> </w:t>
      </w:r>
      <w:r>
        <w:rPr>
          <w:rFonts w:ascii="SimSun" w:hAnsi="SimSun" w:eastAsia="SimSun" w:cs="SimSun"/>
          <w:sz w:val="21"/>
          <w:szCs w:val="21"/>
          <w:spacing w:val="-1"/>
        </w:rPr>
        <w:t>展愿景落地, 将数字化思维和运营贯穿经营管理全过程。过去三年科技投入年均增速接近</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1"/>
        </w:rPr>
        <w:t>30%</w:t>
      </w:r>
      <w:r>
        <w:rPr>
          <w:rFonts w:ascii="SimSun" w:hAnsi="SimSun" w:eastAsia="SimSun" w:cs="SimSun"/>
          <w:sz w:val="21"/>
          <w:szCs w:val="21"/>
          <w:spacing w:val="-1"/>
        </w:rPr>
        <w:t>;</w:t>
      </w:r>
      <w:r>
        <w:rPr>
          <w:rFonts w:ascii="SimSun" w:hAnsi="SimSun" w:eastAsia="SimSun" w:cs="SimSun"/>
          <w:sz w:val="21"/>
          <w:szCs w:val="21"/>
          <w:spacing w:val="-2"/>
        </w:rPr>
        <w:t xml:space="preserve"> 推进金融</w:t>
      </w:r>
      <w:r>
        <w:rPr>
          <w:rFonts w:ascii="SimSun" w:hAnsi="SimSun" w:eastAsia="SimSun" w:cs="SimSun"/>
          <w:sz w:val="21"/>
          <w:szCs w:val="21"/>
        </w:rPr>
        <w:t xml:space="preserve"> </w:t>
      </w:r>
      <w:r>
        <w:rPr>
          <w:rFonts w:ascii="SimSun" w:hAnsi="SimSun" w:eastAsia="SimSun" w:cs="SimSun"/>
          <w:sz w:val="21"/>
          <w:szCs w:val="21"/>
          <w:spacing w:val="-2"/>
        </w:rPr>
        <w:t>科技万人计划, 金融科技人员数量较三年前增长近</w:t>
      </w:r>
      <w:r>
        <w:rPr>
          <w:rFonts w:ascii="SimSun" w:hAnsi="SimSun" w:eastAsia="SimSun" w:cs="SimSun"/>
          <w:sz w:val="21"/>
          <w:szCs w:val="21"/>
          <w:spacing w:val="-46"/>
        </w:rPr>
        <w:t xml:space="preserve"> </w:t>
      </w:r>
      <w:r>
        <w:rPr>
          <w:rFonts w:ascii="Times New Roman" w:hAnsi="Times New Roman" w:eastAsia="Times New Roman" w:cs="Times New Roman"/>
          <w:sz w:val="21"/>
          <w:szCs w:val="21"/>
          <w:spacing w:val="-2"/>
        </w:rPr>
        <w:t>70%</w:t>
      </w:r>
      <w:r>
        <w:rPr>
          <w:rFonts w:ascii="SimSun" w:hAnsi="SimSun" w:eastAsia="SimSun" w:cs="SimSun"/>
          <w:sz w:val="21"/>
          <w:szCs w:val="21"/>
          <w:spacing w:val="-2"/>
        </w:rPr>
        <w:t>。</w:t>
      </w:r>
      <w:r>
        <w:rPr>
          <w:rFonts w:ascii="Times New Roman" w:hAnsi="Times New Roman" w:eastAsia="Times New Roman" w:cs="Times New Roman"/>
          <w:sz w:val="21"/>
          <w:szCs w:val="21"/>
          <w:spacing w:val="-2"/>
        </w:rPr>
        <w:t>2022 </w:t>
      </w:r>
      <w:r>
        <w:rPr>
          <w:rFonts w:ascii="SimSun" w:hAnsi="SimSun" w:eastAsia="SimSun" w:cs="SimSun"/>
          <w:sz w:val="21"/>
          <w:szCs w:val="21"/>
          <w:spacing w:val="-2"/>
        </w:rPr>
        <w:t>年, 数字化转型率先在零售转型、供应链金</w:t>
      </w:r>
      <w:r>
        <w:rPr>
          <w:rFonts w:ascii="SimSun" w:hAnsi="SimSun" w:eastAsia="SimSun" w:cs="SimSun"/>
          <w:sz w:val="21"/>
          <w:szCs w:val="21"/>
        </w:rPr>
        <w:t xml:space="preserve"> </w:t>
      </w:r>
      <w:r>
        <w:rPr>
          <w:rFonts w:ascii="SimSun" w:hAnsi="SimSun" w:eastAsia="SimSun" w:cs="SimSun"/>
          <w:sz w:val="21"/>
          <w:szCs w:val="21"/>
          <w:spacing w:val="5"/>
        </w:rPr>
        <w:t>融、金融生态圈布局等领域实现突破,积极推进</w:t>
      </w:r>
      <w:r>
        <w:rPr>
          <w:rFonts w:ascii="Times New Roman" w:hAnsi="Times New Roman" w:eastAsia="Times New Roman" w:cs="Times New Roman"/>
          <w:sz w:val="21"/>
          <w:szCs w:val="21"/>
          <w:spacing w:val="5"/>
        </w:rPr>
        <w:t>"</w:t>
      </w:r>
      <w:r>
        <w:rPr>
          <w:rFonts w:ascii="SimSun" w:hAnsi="SimSun" w:eastAsia="SimSun" w:cs="SimSun"/>
          <w:sz w:val="21"/>
          <w:szCs w:val="21"/>
          <w:spacing w:val="5"/>
        </w:rPr>
        <w:t>机构在线、员工在线、产品</w:t>
      </w:r>
      <w:r>
        <w:rPr>
          <w:rFonts w:ascii="SimSun" w:hAnsi="SimSun" w:eastAsia="SimSun" w:cs="SimSun"/>
          <w:sz w:val="21"/>
          <w:szCs w:val="21"/>
          <w:spacing w:val="4"/>
        </w:rPr>
        <w:t>在线、服务在线</w:t>
      </w:r>
      <w:r>
        <w:rPr>
          <w:rFonts w:ascii="Times New Roman" w:hAnsi="Times New Roman" w:eastAsia="Times New Roman" w:cs="Times New Roman"/>
          <w:sz w:val="21"/>
          <w:szCs w:val="21"/>
          <w:spacing w:val="4"/>
        </w:rPr>
        <w:t>"</w:t>
      </w:r>
      <w:r>
        <w:rPr>
          <w:rFonts w:ascii="SimSun" w:hAnsi="SimSun" w:eastAsia="SimSun" w:cs="SimSun"/>
          <w:sz w:val="21"/>
          <w:szCs w:val="21"/>
          <w:spacing w:val="4"/>
        </w:rPr>
        <w:t>,全面提升</w:t>
      </w:r>
      <w:r>
        <w:rPr>
          <w:rFonts w:ascii="SimSun" w:hAnsi="SimSun" w:eastAsia="SimSun" w:cs="SimSun"/>
          <w:sz w:val="21"/>
          <w:szCs w:val="21"/>
        </w:rPr>
        <w:t xml:space="preserve"> </w:t>
      </w:r>
      <w:r>
        <w:rPr>
          <w:rFonts w:ascii="SimSun" w:hAnsi="SimSun" w:eastAsia="SimSun" w:cs="SimSun"/>
          <w:sz w:val="21"/>
          <w:szCs w:val="21"/>
          <w:spacing w:val="-2"/>
        </w:rPr>
        <w:t>线上化、数字化业务经营和内部管理能力。零售信贷和</w:t>
      </w:r>
      <w:r>
        <w:rPr>
          <w:rFonts w:ascii="SimSun" w:hAnsi="SimSun" w:eastAsia="SimSun" w:cs="SimSun"/>
          <w:sz w:val="21"/>
          <w:szCs w:val="21"/>
          <w:spacing w:val="-49"/>
        </w:rPr>
        <w:t xml:space="preserve"> </w:t>
      </w:r>
      <w:r>
        <w:rPr>
          <w:rFonts w:ascii="Times New Roman" w:hAnsi="Times New Roman" w:eastAsia="Times New Roman" w:cs="Times New Roman"/>
          <w:sz w:val="21"/>
          <w:szCs w:val="21"/>
          <w:spacing w:val="-2"/>
        </w:rPr>
        <w:t>B2B </w:t>
      </w:r>
      <w:r>
        <w:rPr>
          <w:rFonts w:ascii="SimSun" w:hAnsi="SimSun" w:eastAsia="SimSun" w:cs="SimSun"/>
          <w:sz w:val="21"/>
          <w:szCs w:val="21"/>
          <w:spacing w:val="-2"/>
        </w:rPr>
        <w:t>支付两个企业架构试点项目顺利上线, 中台和</w:t>
      </w:r>
      <w:r>
        <w:rPr>
          <w:rFonts w:ascii="SimSun" w:hAnsi="SimSun" w:eastAsia="SimSun" w:cs="SimSun"/>
          <w:sz w:val="21"/>
          <w:szCs w:val="21"/>
        </w:rPr>
        <w:t xml:space="preserve"> </w:t>
      </w:r>
      <w:r>
        <w:rPr>
          <w:rFonts w:ascii="SimSun" w:hAnsi="SimSun" w:eastAsia="SimSun" w:cs="SimSun"/>
          <w:sz w:val="21"/>
          <w:szCs w:val="21"/>
          <w:spacing w:val="-1"/>
        </w:rPr>
        <w:t>企业架构建设支撑业务创新作用逐步凸显。</w:t>
      </w:r>
    </w:p>
    <w:p>
      <w:pPr>
        <w:ind w:right="2" w:firstLine="423"/>
        <w:spacing w:before="307" w:line="284" w:lineRule="auto"/>
        <w:rPr>
          <w:rFonts w:ascii="SimSun" w:hAnsi="SimSun" w:eastAsia="SimSun" w:cs="SimSun"/>
          <w:sz w:val="21"/>
          <w:szCs w:val="21"/>
        </w:rPr>
      </w:pPr>
      <w:r>
        <w:rPr>
          <w:rFonts w:ascii="SimSun" w:hAnsi="SimSun" w:eastAsia="SimSun" w:cs="SimSun"/>
          <w:sz w:val="21"/>
          <w:szCs w:val="21"/>
          <w:spacing w:val="-5"/>
        </w:rPr>
        <w:t>我们深知,</w:t>
      </w:r>
      <w:r>
        <w:rPr>
          <w:rFonts w:ascii="SimSun" w:hAnsi="SimSun" w:eastAsia="SimSun" w:cs="SimSun"/>
          <w:sz w:val="21"/>
          <w:szCs w:val="21"/>
          <w:spacing w:val="26"/>
        </w:rPr>
        <w:t xml:space="preserve"> </w:t>
      </w:r>
      <w:r>
        <w:rPr>
          <w:rFonts w:ascii="SimSun" w:hAnsi="SimSun" w:eastAsia="SimSun" w:cs="SimSun"/>
          <w:sz w:val="21"/>
          <w:szCs w:val="21"/>
          <w:b/>
          <w:bCs/>
          <w:spacing w:val="-5"/>
        </w:rPr>
        <w:t>战略推进需要以稳健经营为基石,</w:t>
      </w:r>
      <w:r>
        <w:rPr>
          <w:rFonts w:ascii="SimSun" w:hAnsi="SimSun" w:eastAsia="SimSun" w:cs="SimSun"/>
          <w:sz w:val="21"/>
          <w:szCs w:val="21"/>
          <w:spacing w:val="28"/>
        </w:rPr>
        <w:t xml:space="preserve"> </w:t>
      </w:r>
      <w:r>
        <w:rPr>
          <w:rFonts w:ascii="SimSun" w:hAnsi="SimSun" w:eastAsia="SimSun" w:cs="SimSun"/>
          <w:sz w:val="21"/>
          <w:szCs w:val="21"/>
          <w:b/>
          <w:bCs/>
          <w:spacing w:val="-5"/>
        </w:rPr>
        <w:t>穿越周期。</w:t>
      </w:r>
      <w:r>
        <w:rPr>
          <w:rFonts w:ascii="SimSun" w:hAnsi="SimSun" w:eastAsia="SimSun" w:cs="SimSun"/>
          <w:sz w:val="21"/>
          <w:szCs w:val="21"/>
          <w:spacing w:val="-5"/>
        </w:rPr>
        <w:t xml:space="preserve"> 只有经受经济周期检验的银</w:t>
      </w:r>
      <w:r>
        <w:rPr>
          <w:rFonts w:ascii="SimSun" w:hAnsi="SimSun" w:eastAsia="SimSun" w:cs="SimSun"/>
          <w:sz w:val="21"/>
          <w:szCs w:val="21"/>
          <w:spacing w:val="-6"/>
        </w:rPr>
        <w:t>行才能更好创造</w:t>
      </w:r>
      <w:r>
        <w:rPr>
          <w:rFonts w:ascii="SimSun" w:hAnsi="SimSun" w:eastAsia="SimSun" w:cs="SimSun"/>
          <w:sz w:val="21"/>
          <w:szCs w:val="21"/>
        </w:rPr>
        <w:t xml:space="preserve"> </w:t>
      </w:r>
      <w:r>
        <w:rPr>
          <w:rFonts w:ascii="SimSun" w:hAnsi="SimSun" w:eastAsia="SimSun" w:cs="SimSun"/>
          <w:sz w:val="21"/>
          <w:szCs w:val="21"/>
          <w:spacing w:val="-3"/>
        </w:rPr>
        <w:t>共同价值。我们践行稳健的风险文化和风控策略,</w:t>
      </w:r>
      <w:r>
        <w:rPr>
          <w:rFonts w:ascii="SimSun" w:hAnsi="SimSun" w:eastAsia="SimSun" w:cs="SimSun"/>
          <w:sz w:val="21"/>
          <w:szCs w:val="21"/>
          <w:spacing w:val="-48"/>
        </w:rPr>
        <w:t xml:space="preserve"> </w:t>
      </w:r>
      <w:r>
        <w:rPr>
          <w:rFonts w:ascii="SimSun" w:hAnsi="SimSun" w:eastAsia="SimSun" w:cs="SimSun"/>
          <w:sz w:val="21"/>
          <w:szCs w:val="21"/>
          <w:spacing w:val="-3"/>
        </w:rPr>
        <w:t>加快健全集团</w:t>
      </w:r>
      <w:r>
        <w:rPr>
          <w:rFonts w:ascii="SimSun" w:hAnsi="SimSun" w:eastAsia="SimSun" w:cs="SimSun"/>
          <w:sz w:val="21"/>
          <w:szCs w:val="21"/>
          <w:spacing w:val="-4"/>
        </w:rPr>
        <w:t>统一风险管理体系,</w:t>
      </w:r>
      <w:r>
        <w:rPr>
          <w:rFonts w:ascii="SimSun" w:hAnsi="SimSun" w:eastAsia="SimSun" w:cs="SimSun"/>
          <w:sz w:val="21"/>
          <w:szCs w:val="21"/>
          <w:spacing w:val="-48"/>
        </w:rPr>
        <w:t xml:space="preserve"> </w:t>
      </w:r>
      <w:r>
        <w:rPr>
          <w:rFonts w:ascii="SimSun" w:hAnsi="SimSun" w:eastAsia="SimSun" w:cs="SimSun"/>
          <w:sz w:val="21"/>
          <w:szCs w:val="21"/>
          <w:spacing w:val="-4"/>
        </w:rPr>
        <w:t>加强风险计量与监测,</w:t>
      </w:r>
      <w:r>
        <w:rPr>
          <w:rFonts w:ascii="SimSun" w:hAnsi="SimSun" w:eastAsia="SimSun" w:cs="SimSun"/>
          <w:sz w:val="21"/>
          <w:szCs w:val="21"/>
        </w:rPr>
        <w:t xml:space="preserve">  </w:t>
      </w:r>
      <w:r>
        <w:rPr>
          <w:rFonts w:ascii="SimSun" w:hAnsi="SimSun" w:eastAsia="SimSun" w:cs="SimSun"/>
          <w:sz w:val="21"/>
          <w:szCs w:val="21"/>
          <w:spacing w:val="-1"/>
        </w:rPr>
        <w:t>风险管理数字化转型持续推进,</w:t>
      </w:r>
      <w:r>
        <w:rPr>
          <w:rFonts w:ascii="SimSun" w:hAnsi="SimSun" w:eastAsia="SimSun" w:cs="SimSun"/>
          <w:sz w:val="21"/>
          <w:szCs w:val="21"/>
          <w:spacing w:val="28"/>
        </w:rPr>
        <w:t xml:space="preserve"> </w:t>
      </w:r>
      <w:r>
        <w:rPr>
          <w:rFonts w:ascii="SimSun" w:hAnsi="SimSun" w:eastAsia="SimSun" w:cs="SimSun"/>
          <w:sz w:val="21"/>
          <w:szCs w:val="21"/>
          <w:spacing w:val="-1"/>
        </w:rPr>
        <w:t>完善常态化、制度化检查机制, 全面开展重点领域风险</w:t>
      </w:r>
      <w:r>
        <w:rPr>
          <w:rFonts w:ascii="SimSun" w:hAnsi="SimSun" w:eastAsia="SimSun" w:cs="SimSun"/>
          <w:sz w:val="21"/>
          <w:szCs w:val="21"/>
          <w:spacing w:val="-2"/>
        </w:rPr>
        <w:t>排查。通过持续的</w:t>
      </w:r>
    </w:p>
    <w:p>
      <w:pPr>
        <w:spacing w:line="284" w:lineRule="auto"/>
        <w:sectPr>
          <w:footerReference w:type="default" r:id="rId15"/>
          <w:pgSz w:w="11907" w:h="16839"/>
          <w:pgMar w:top="1164" w:right="1128" w:bottom="1375" w:left="1140" w:header="0" w:footer="1211" w:gutter="0"/>
        </w:sectPr>
        <w:rPr>
          <w:rFonts w:ascii="SimSun" w:hAnsi="SimSun" w:eastAsia="SimSun" w:cs="SimSun"/>
          <w:sz w:val="21"/>
          <w:szCs w:val="21"/>
        </w:rPr>
      </w:pPr>
    </w:p>
    <w:p>
      <w:pPr>
        <w:ind w:left="89"/>
        <w:spacing w:before="42" w:line="218" w:lineRule="auto"/>
        <w:rPr>
          <w:rFonts w:ascii="SimSun" w:hAnsi="SimSun" w:eastAsia="SimSun" w:cs="SimSun"/>
          <w:sz w:val="21"/>
          <w:szCs w:val="21"/>
        </w:rPr>
      </w:pPr>
      <w:r>
        <w:rPr>
          <w:rFonts w:ascii="SimSun" w:hAnsi="SimSun" w:eastAsia="SimSun" w:cs="SimSun"/>
          <w:sz w:val="21"/>
          <w:szCs w:val="21"/>
          <w:spacing w:val="2"/>
        </w:rPr>
        <w:t>"控增量、优存量",三年资产质量攻坚战圆满收官, </w:t>
      </w:r>
      <w:r>
        <w:rPr>
          <w:rFonts w:ascii="Times New Roman" w:hAnsi="Times New Roman" w:eastAsia="Times New Roman" w:cs="Times New Roman"/>
          <w:sz w:val="21"/>
          <w:szCs w:val="21"/>
          <w:spacing w:val="2"/>
        </w:rPr>
        <w:t>2022 </w:t>
      </w:r>
      <w:r>
        <w:rPr>
          <w:rFonts w:ascii="SimSun" w:hAnsi="SimSun" w:eastAsia="SimSun" w:cs="SimSun"/>
          <w:sz w:val="21"/>
          <w:szCs w:val="21"/>
          <w:spacing w:val="2"/>
        </w:rPr>
        <w:t>年末不良贷款率降至</w:t>
      </w:r>
      <w:r>
        <w:rPr>
          <w:rFonts w:ascii="SimSun" w:hAnsi="SimSun" w:eastAsia="SimSun" w:cs="SimSun"/>
          <w:sz w:val="21"/>
          <w:szCs w:val="21"/>
          <w:spacing w:val="-40"/>
        </w:rPr>
        <w:t xml:space="preserve"> </w:t>
      </w:r>
      <w:r>
        <w:rPr>
          <w:rFonts w:ascii="Times New Roman" w:hAnsi="Times New Roman" w:eastAsia="Times New Roman" w:cs="Times New Roman"/>
          <w:sz w:val="21"/>
          <w:szCs w:val="21"/>
          <w:spacing w:val="2"/>
        </w:rPr>
        <w:t>2015 </w:t>
      </w:r>
      <w:r>
        <w:rPr>
          <w:rFonts w:ascii="SimSun" w:hAnsi="SimSun" w:eastAsia="SimSun" w:cs="SimSun"/>
          <w:sz w:val="21"/>
          <w:szCs w:val="21"/>
          <w:spacing w:val="2"/>
        </w:rPr>
        <w:t>年以来最好水平。</w:t>
      </w:r>
    </w:p>
    <w:p>
      <w:pPr>
        <w:pStyle w:val="BodyText"/>
        <w:spacing w:line="243" w:lineRule="auto"/>
        <w:rPr/>
      </w:pPr>
      <w:r/>
    </w:p>
    <w:p>
      <w:pPr>
        <w:ind w:left="1" w:firstLine="421"/>
        <w:spacing w:before="68" w:line="284" w:lineRule="auto"/>
        <w:jc w:val="both"/>
        <w:rPr>
          <w:rFonts w:ascii="SimSun" w:hAnsi="SimSun" w:eastAsia="SimSun" w:cs="SimSun"/>
          <w:sz w:val="21"/>
          <w:szCs w:val="21"/>
        </w:rPr>
      </w:pPr>
      <w:r>
        <w:rPr>
          <w:rFonts w:ascii="SimSun" w:hAnsi="SimSun" w:eastAsia="SimSun" w:cs="SimSun"/>
          <w:sz w:val="21"/>
          <w:szCs w:val="21"/>
          <w:spacing w:val="-3"/>
        </w:rPr>
        <w:t>我们也深知,</w:t>
      </w:r>
      <w:r>
        <w:rPr>
          <w:rFonts w:ascii="SimSun" w:hAnsi="SimSun" w:eastAsia="SimSun" w:cs="SimSun"/>
          <w:sz w:val="21"/>
          <w:szCs w:val="21"/>
          <w:spacing w:val="30"/>
        </w:rPr>
        <w:t xml:space="preserve"> </w:t>
      </w:r>
      <w:r>
        <w:rPr>
          <w:rFonts w:ascii="SimSun" w:hAnsi="SimSun" w:eastAsia="SimSun" w:cs="SimSun"/>
          <w:sz w:val="21"/>
          <w:szCs w:val="21"/>
          <w:b/>
          <w:bCs/>
          <w:spacing w:val="-3"/>
        </w:rPr>
        <w:t>作为国有大行要积极履行好社会责任,展现担当。</w:t>
      </w:r>
      <w:r>
        <w:rPr>
          <w:rFonts w:ascii="SimSun" w:hAnsi="SimSun" w:eastAsia="SimSun" w:cs="SimSun"/>
          <w:sz w:val="21"/>
          <w:szCs w:val="21"/>
          <w:spacing w:val="35"/>
        </w:rPr>
        <w:t xml:space="preserve"> </w:t>
      </w:r>
      <w:r>
        <w:rPr>
          <w:rFonts w:ascii="Times New Roman" w:hAnsi="Times New Roman" w:eastAsia="Times New Roman" w:cs="Times New Roman"/>
          <w:sz w:val="21"/>
          <w:szCs w:val="21"/>
          <w:spacing w:val="-3"/>
        </w:rPr>
        <w:t>2022</w:t>
      </w:r>
      <w:r>
        <w:rPr>
          <w:rFonts w:ascii="Times New Roman" w:hAnsi="Times New Roman" w:eastAsia="Times New Roman" w:cs="Times New Roman"/>
          <w:sz w:val="21"/>
          <w:szCs w:val="21"/>
          <w:spacing w:val="31"/>
          <w:w w:val="101"/>
        </w:rPr>
        <w:t xml:space="preserve"> </w:t>
      </w:r>
      <w:r>
        <w:rPr>
          <w:rFonts w:ascii="SimSun" w:hAnsi="SimSun" w:eastAsia="SimSun" w:cs="SimSun"/>
          <w:sz w:val="21"/>
          <w:szCs w:val="21"/>
          <w:spacing w:val="-4"/>
        </w:rPr>
        <w:t>年公益捐赠支出</w:t>
      </w:r>
      <w:r>
        <w:rPr>
          <w:rFonts w:ascii="SimSun" w:hAnsi="SimSun" w:eastAsia="SimSun" w:cs="SimSun"/>
          <w:sz w:val="21"/>
          <w:szCs w:val="21"/>
          <w:spacing w:val="-22"/>
        </w:rPr>
        <w:t xml:space="preserve"> </w:t>
      </w:r>
      <w:r>
        <w:rPr>
          <w:rFonts w:ascii="Times New Roman" w:hAnsi="Times New Roman" w:eastAsia="Times New Roman" w:cs="Times New Roman"/>
          <w:sz w:val="21"/>
          <w:szCs w:val="21"/>
          <w:spacing w:val="-4"/>
        </w:rPr>
        <w:t>6,000</w:t>
      </w:r>
      <w:r>
        <w:rPr>
          <w:rFonts w:ascii="Times New Roman" w:hAnsi="Times New Roman" w:eastAsia="Times New Roman" w:cs="Times New Roman"/>
          <w:sz w:val="21"/>
          <w:szCs w:val="21"/>
          <w:spacing w:val="38"/>
          <w:w w:val="101"/>
        </w:rPr>
        <w:t xml:space="preserve"> </w:t>
      </w:r>
      <w:r>
        <w:rPr>
          <w:rFonts w:ascii="SimSun" w:hAnsi="SimSun" w:eastAsia="SimSun" w:cs="SimSun"/>
          <w:sz w:val="21"/>
          <w:szCs w:val="21"/>
          <w:spacing w:val="-4"/>
        </w:rPr>
        <w:t>多万元,</w:t>
      </w:r>
      <w:r>
        <w:rPr>
          <w:rFonts w:ascii="SimSun" w:hAnsi="SimSun" w:eastAsia="SimSun" w:cs="SimSun"/>
          <w:sz w:val="21"/>
          <w:szCs w:val="21"/>
        </w:rPr>
        <w:t xml:space="preserve"> </w:t>
      </w:r>
      <w:r>
        <w:rPr>
          <w:rFonts w:ascii="SimSun" w:hAnsi="SimSun" w:eastAsia="SimSun" w:cs="SimSun"/>
          <w:sz w:val="21"/>
          <w:szCs w:val="21"/>
        </w:rPr>
        <w:t>重点支持巩固脱贫攻坚成果及乡村振兴、长期公</w:t>
      </w:r>
      <w:r>
        <w:rPr>
          <w:rFonts w:ascii="SimSun" w:hAnsi="SimSun" w:eastAsia="SimSun" w:cs="SimSun"/>
          <w:sz w:val="21"/>
          <w:szCs w:val="21"/>
          <w:spacing w:val="-1"/>
        </w:rPr>
        <w:t>益项目等。持续加强消费者权益保护, 在人民银行与银保</w:t>
      </w:r>
      <w:r>
        <w:rPr>
          <w:rFonts w:ascii="SimSun" w:hAnsi="SimSun" w:eastAsia="SimSun" w:cs="SimSun"/>
          <w:sz w:val="21"/>
          <w:szCs w:val="21"/>
        </w:rPr>
        <w:t xml:space="preserve"> </w:t>
      </w:r>
      <w:r>
        <w:rPr>
          <w:rFonts w:ascii="SimSun" w:hAnsi="SimSun" w:eastAsia="SimSun" w:cs="SimSun"/>
          <w:sz w:val="21"/>
          <w:szCs w:val="21"/>
          <w:spacing w:val="-2"/>
        </w:rPr>
        <w:t>监会分别开展的消费者权益保护评价中,</w:t>
      </w:r>
      <w:r>
        <w:rPr>
          <w:rFonts w:ascii="SimSun" w:hAnsi="SimSun" w:eastAsia="SimSun" w:cs="SimSun"/>
          <w:sz w:val="21"/>
          <w:szCs w:val="21"/>
          <w:spacing w:val="48"/>
        </w:rPr>
        <w:t xml:space="preserve"> </w:t>
      </w:r>
      <w:r>
        <w:rPr>
          <w:rFonts w:ascii="SimSun" w:hAnsi="SimSun" w:eastAsia="SimSun" w:cs="SimSun"/>
          <w:sz w:val="21"/>
          <w:szCs w:val="21"/>
          <w:spacing w:val="-2"/>
        </w:rPr>
        <w:t>交行均位列首位。</w:t>
      </w:r>
    </w:p>
    <w:p>
      <w:pPr>
        <w:pStyle w:val="BodyText"/>
        <w:rPr/>
      </w:pPr>
      <w:r/>
    </w:p>
    <w:p>
      <w:pPr>
        <w:ind w:firstLine="417"/>
        <w:spacing w:before="69" w:line="292" w:lineRule="auto"/>
        <w:jc w:val="both"/>
        <w:rPr>
          <w:rFonts w:ascii="SimSun" w:hAnsi="SimSun" w:eastAsia="SimSun" w:cs="SimSun"/>
          <w:sz w:val="21"/>
          <w:szCs w:val="21"/>
        </w:rPr>
      </w:pPr>
      <w:r>
        <w:rPr>
          <w:rFonts w:ascii="Times New Roman" w:hAnsi="Times New Roman" w:eastAsia="Times New Roman" w:cs="Times New Roman"/>
          <w:sz w:val="21"/>
          <w:szCs w:val="21"/>
          <w:spacing w:val="-1"/>
        </w:rPr>
        <w:t>2022 </w:t>
      </w:r>
      <w:r>
        <w:rPr>
          <w:rFonts w:ascii="SimSun" w:hAnsi="SimSun" w:eastAsia="SimSun" w:cs="SimSun"/>
          <w:sz w:val="21"/>
          <w:szCs w:val="21"/>
          <w:spacing w:val="-1"/>
        </w:rPr>
        <w:t>年, 董事会顺利完成换届选举, 组建第十届</w:t>
      </w:r>
      <w:r>
        <w:rPr>
          <w:rFonts w:ascii="SimSun" w:hAnsi="SimSun" w:eastAsia="SimSun" w:cs="SimSun"/>
          <w:sz w:val="21"/>
          <w:szCs w:val="21"/>
          <w:spacing w:val="-2"/>
        </w:rPr>
        <w:t>董事会。我们按照发挥董事专业特长等原则, 组建新</w:t>
      </w:r>
      <w:r>
        <w:rPr>
          <w:rFonts w:ascii="SimSun" w:hAnsi="SimSun" w:eastAsia="SimSun" w:cs="SimSun"/>
          <w:sz w:val="21"/>
          <w:szCs w:val="21"/>
        </w:rPr>
        <w:t xml:space="preserve"> </w:t>
      </w:r>
      <w:r>
        <w:rPr>
          <w:rFonts w:ascii="SimSun" w:hAnsi="SimSun" w:eastAsia="SimSun" w:cs="SimSun"/>
          <w:sz w:val="21"/>
          <w:szCs w:val="21"/>
          <w:spacing w:val="-2"/>
        </w:rPr>
        <w:t>的各专门委员会,</w:t>
      </w:r>
      <w:r>
        <w:rPr>
          <w:rFonts w:ascii="SimSun" w:hAnsi="SimSun" w:eastAsia="SimSun" w:cs="SimSun"/>
          <w:sz w:val="21"/>
          <w:szCs w:val="21"/>
          <w:spacing w:val="29"/>
        </w:rPr>
        <w:t xml:space="preserve"> </w:t>
      </w:r>
      <w:r>
        <w:rPr>
          <w:rFonts w:ascii="SimSun" w:hAnsi="SimSun" w:eastAsia="SimSun" w:cs="SimSun"/>
          <w:sz w:val="21"/>
          <w:szCs w:val="21"/>
          <w:spacing w:val="-2"/>
        </w:rPr>
        <w:t>更好发挥专委会咨询作用。在此,</w:t>
      </w:r>
      <w:r>
        <w:rPr>
          <w:rFonts w:ascii="SimSun" w:hAnsi="SimSun" w:eastAsia="SimSun" w:cs="SimSun"/>
          <w:sz w:val="21"/>
          <w:szCs w:val="21"/>
          <w:spacing w:val="25"/>
        </w:rPr>
        <w:t xml:space="preserve"> </w:t>
      </w:r>
      <w:r>
        <w:rPr>
          <w:rFonts w:ascii="SimSun" w:hAnsi="SimSun" w:eastAsia="SimSun" w:cs="SimSun"/>
          <w:sz w:val="21"/>
          <w:szCs w:val="21"/>
          <w:spacing w:val="-2"/>
        </w:rPr>
        <w:t>对第九届董事会的辛勤付</w:t>
      </w:r>
      <w:r>
        <w:rPr>
          <w:rFonts w:ascii="SimSun" w:hAnsi="SimSun" w:eastAsia="SimSun" w:cs="SimSun"/>
          <w:sz w:val="21"/>
          <w:szCs w:val="21"/>
          <w:spacing w:val="-3"/>
        </w:rPr>
        <w:t>出表示诚挚谢意。同时,</w:t>
      </w:r>
      <w:r>
        <w:rPr>
          <w:rFonts w:ascii="SimSun" w:hAnsi="SimSun" w:eastAsia="SimSun" w:cs="SimSun"/>
          <w:sz w:val="21"/>
          <w:szCs w:val="21"/>
          <w:spacing w:val="26"/>
        </w:rPr>
        <w:t xml:space="preserve"> </w:t>
      </w:r>
      <w:r>
        <w:rPr>
          <w:rFonts w:ascii="SimSun" w:hAnsi="SimSun" w:eastAsia="SimSun" w:cs="SimSun"/>
          <w:sz w:val="21"/>
          <w:szCs w:val="21"/>
          <w:spacing w:val="-3"/>
        </w:rPr>
        <w:t>对</w:t>
      </w:r>
      <w:r>
        <w:rPr>
          <w:rFonts w:ascii="SimSun" w:hAnsi="SimSun" w:eastAsia="SimSun" w:cs="SimSun"/>
          <w:sz w:val="21"/>
          <w:szCs w:val="21"/>
        </w:rPr>
        <w:t xml:space="preserve"> </w:t>
      </w:r>
      <w:r>
        <w:rPr>
          <w:rFonts w:ascii="SimSun" w:hAnsi="SimSun" w:eastAsia="SimSun" w:cs="SimSun"/>
          <w:sz w:val="21"/>
          <w:szCs w:val="21"/>
        </w:rPr>
        <w:t>照监管法规等规定要求, 我们系统修订公司章程等系列</w:t>
      </w:r>
      <w:r>
        <w:rPr>
          <w:rFonts w:ascii="SimSun" w:hAnsi="SimSun" w:eastAsia="SimSun" w:cs="SimSun"/>
          <w:sz w:val="21"/>
          <w:szCs w:val="21"/>
          <w:spacing w:val="-1"/>
        </w:rPr>
        <w:t>制度, 进一步厘清各治理主体职责边界, 健全决策</w:t>
      </w:r>
      <w:r>
        <w:rPr>
          <w:rFonts w:ascii="SimSun" w:hAnsi="SimSun" w:eastAsia="SimSun" w:cs="SimSun"/>
          <w:sz w:val="21"/>
          <w:szCs w:val="21"/>
        </w:rPr>
        <w:t xml:space="preserve"> </w:t>
      </w:r>
      <w:r>
        <w:rPr>
          <w:rFonts w:ascii="SimSun" w:hAnsi="SimSun" w:eastAsia="SimSun" w:cs="SimSun"/>
          <w:sz w:val="21"/>
          <w:szCs w:val="21"/>
          <w:spacing w:val="-3"/>
        </w:rPr>
        <w:t>机制,</w:t>
      </w:r>
      <w:r>
        <w:rPr>
          <w:rFonts w:ascii="SimSun" w:hAnsi="SimSun" w:eastAsia="SimSun" w:cs="SimSun"/>
          <w:sz w:val="21"/>
          <w:szCs w:val="21"/>
          <w:spacing w:val="41"/>
        </w:rPr>
        <w:t xml:space="preserve"> </w:t>
      </w:r>
      <w:r>
        <w:rPr>
          <w:rFonts w:ascii="SimSun" w:hAnsi="SimSun" w:eastAsia="SimSun" w:cs="SimSun"/>
          <w:sz w:val="21"/>
          <w:szCs w:val="21"/>
          <w:spacing w:val="-3"/>
        </w:rPr>
        <w:t>公司治理体系进一步完善。</w:t>
      </w:r>
    </w:p>
    <w:p>
      <w:pPr>
        <w:ind w:firstLine="416"/>
        <w:spacing w:before="308" w:line="301" w:lineRule="auto"/>
        <w:jc w:val="both"/>
        <w:rPr>
          <w:rFonts w:ascii="SimSun" w:hAnsi="SimSun" w:eastAsia="SimSun" w:cs="SimSun"/>
          <w:sz w:val="21"/>
          <w:szCs w:val="21"/>
        </w:rPr>
      </w:pPr>
      <w:r>
        <w:rPr>
          <w:rFonts w:ascii="Times New Roman" w:hAnsi="Times New Roman" w:eastAsia="Times New Roman" w:cs="Times New Roman"/>
          <w:sz w:val="21"/>
          <w:szCs w:val="21"/>
          <w:spacing w:val="-2"/>
        </w:rPr>
        <w:t>2023 </w:t>
      </w:r>
      <w:r>
        <w:rPr>
          <w:rFonts w:ascii="SimSun" w:hAnsi="SimSun" w:eastAsia="SimSun" w:cs="SimSun"/>
          <w:sz w:val="21"/>
          <w:szCs w:val="21"/>
          <w:spacing w:val="-2"/>
        </w:rPr>
        <w:t>年,</w:t>
      </w:r>
      <w:r>
        <w:rPr>
          <w:rFonts w:ascii="SimSun" w:hAnsi="SimSun" w:eastAsia="SimSun" w:cs="SimSun"/>
          <w:sz w:val="21"/>
          <w:szCs w:val="21"/>
          <w:spacing w:val="33"/>
        </w:rPr>
        <w:t xml:space="preserve"> </w:t>
      </w:r>
      <w:r>
        <w:rPr>
          <w:rFonts w:ascii="SimSun" w:hAnsi="SimSun" w:eastAsia="SimSun" w:cs="SimSun"/>
          <w:sz w:val="21"/>
          <w:szCs w:val="21"/>
          <w:spacing w:val="-2"/>
        </w:rPr>
        <w:t>国际形势依然复杂严峻, 世界经济增长动能减弱, 全球金融市场风险加大; </w:t>
      </w:r>
      <w:r>
        <w:rPr>
          <w:rFonts w:ascii="SimSun" w:hAnsi="SimSun" w:eastAsia="SimSun" w:cs="SimSun"/>
          <w:sz w:val="21"/>
          <w:szCs w:val="21"/>
          <w:spacing w:val="-3"/>
        </w:rPr>
        <w:t>我国经济恢复的</w:t>
      </w:r>
      <w:r>
        <w:rPr>
          <w:rFonts w:ascii="SimSun" w:hAnsi="SimSun" w:eastAsia="SimSun" w:cs="SimSun"/>
          <w:sz w:val="21"/>
          <w:szCs w:val="21"/>
        </w:rPr>
        <w:t xml:space="preserve"> </w:t>
      </w:r>
      <w:r>
        <w:rPr>
          <w:rFonts w:ascii="SimSun" w:hAnsi="SimSun" w:eastAsia="SimSun" w:cs="SimSun"/>
          <w:sz w:val="21"/>
          <w:szCs w:val="21"/>
        </w:rPr>
        <w:t>基础尚不牢固, 三重压力仍然较大, 但我国经济韧</w:t>
      </w:r>
      <w:r>
        <w:rPr>
          <w:rFonts w:ascii="SimSun" w:hAnsi="SimSun" w:eastAsia="SimSun" w:cs="SimSun"/>
          <w:sz w:val="21"/>
          <w:szCs w:val="21"/>
          <w:spacing w:val="-1"/>
        </w:rPr>
        <w:t>性强、潜力大、活力足, 长期向好的经济基本面没有改</w:t>
      </w:r>
      <w:r>
        <w:rPr>
          <w:rFonts w:ascii="SimSun" w:hAnsi="SimSun" w:eastAsia="SimSun" w:cs="SimSun"/>
          <w:sz w:val="21"/>
          <w:szCs w:val="21"/>
        </w:rPr>
        <w:t xml:space="preserve"> </w:t>
      </w:r>
      <w:r>
        <w:rPr>
          <w:rFonts w:ascii="SimSun" w:hAnsi="SimSun" w:eastAsia="SimSun" w:cs="SimSun"/>
          <w:sz w:val="21"/>
          <w:szCs w:val="21"/>
          <w:spacing w:val="4"/>
        </w:rPr>
        <w:t>变,我国商业银行发展处于战略机遇和各种挑战并</w:t>
      </w:r>
      <w:r>
        <w:rPr>
          <w:rFonts w:ascii="SimSun" w:hAnsi="SimSun" w:eastAsia="SimSun" w:cs="SimSun"/>
          <w:sz w:val="21"/>
          <w:szCs w:val="21"/>
          <w:spacing w:val="3"/>
        </w:rPr>
        <w:t>存的时期。交行将以服务实体经济高质量发展为已任,</w:t>
      </w:r>
      <w:r>
        <w:rPr>
          <w:rFonts w:ascii="SimSun" w:hAnsi="SimSun" w:eastAsia="SimSun" w:cs="SimSun"/>
          <w:sz w:val="21"/>
          <w:szCs w:val="21"/>
        </w:rPr>
        <w:t xml:space="preserve"> </w:t>
      </w:r>
      <w:r>
        <w:rPr>
          <w:rFonts w:ascii="SimSun" w:hAnsi="SimSun" w:eastAsia="SimSun" w:cs="SimSun"/>
          <w:sz w:val="21"/>
          <w:szCs w:val="21"/>
          <w:spacing w:val="-1"/>
        </w:rPr>
        <w:t>保持战略定力,</w:t>
      </w:r>
      <w:r>
        <w:rPr>
          <w:rFonts w:ascii="SimSun" w:hAnsi="SimSun" w:eastAsia="SimSun" w:cs="SimSun"/>
          <w:sz w:val="21"/>
          <w:szCs w:val="21"/>
          <w:spacing w:val="26"/>
        </w:rPr>
        <w:t xml:space="preserve"> </w:t>
      </w:r>
      <w:r>
        <w:rPr>
          <w:rFonts w:ascii="SimSun" w:hAnsi="SimSun" w:eastAsia="SimSun" w:cs="SimSun"/>
          <w:sz w:val="21"/>
          <w:szCs w:val="21"/>
          <w:spacing w:val="-1"/>
        </w:rPr>
        <w:t>加速打造业务特色, 进一步发挥</w:t>
      </w:r>
      <w:r>
        <w:rPr>
          <w:rFonts w:ascii="SimSun" w:hAnsi="SimSun" w:eastAsia="SimSun" w:cs="SimSun"/>
          <w:sz w:val="21"/>
          <w:szCs w:val="21"/>
          <w:spacing w:val="-2"/>
        </w:rPr>
        <w:t xml:space="preserve"> "上海主场"</w:t>
      </w:r>
      <w:r>
        <w:rPr>
          <w:rFonts w:ascii="SimSun" w:hAnsi="SimSun" w:eastAsia="SimSun" w:cs="SimSun"/>
          <w:sz w:val="21"/>
          <w:szCs w:val="21"/>
          <w:spacing w:val="-30"/>
        </w:rPr>
        <w:t xml:space="preserve"> </w:t>
      </w:r>
      <w:r>
        <w:rPr>
          <w:rFonts w:ascii="SimSun" w:hAnsi="SimSun" w:eastAsia="SimSun" w:cs="SimSun"/>
          <w:sz w:val="21"/>
          <w:szCs w:val="21"/>
          <w:spacing w:val="-2"/>
        </w:rPr>
        <w:t>优势,</w:t>
      </w:r>
      <w:r>
        <w:rPr>
          <w:rFonts w:ascii="SimSun" w:hAnsi="SimSun" w:eastAsia="SimSun" w:cs="SimSun"/>
          <w:sz w:val="21"/>
          <w:szCs w:val="21"/>
          <w:spacing w:val="27"/>
        </w:rPr>
        <w:t xml:space="preserve"> </w:t>
      </w:r>
      <w:r>
        <w:rPr>
          <w:rFonts w:ascii="SimSun" w:hAnsi="SimSun" w:eastAsia="SimSun" w:cs="SimSun"/>
          <w:sz w:val="21"/>
          <w:szCs w:val="21"/>
          <w:spacing w:val="-2"/>
        </w:rPr>
        <w:t>深入推进数字化新交行建设,</w:t>
      </w:r>
      <w:r>
        <w:rPr>
          <w:rFonts w:ascii="SimSun" w:hAnsi="SimSun" w:eastAsia="SimSun" w:cs="SimSun"/>
          <w:sz w:val="21"/>
          <w:szCs w:val="21"/>
          <w:spacing w:val="26"/>
        </w:rPr>
        <w:t xml:space="preserve"> </w:t>
      </w:r>
      <w:r>
        <w:rPr>
          <w:rFonts w:ascii="SimSun" w:hAnsi="SimSun" w:eastAsia="SimSun" w:cs="SimSun"/>
          <w:sz w:val="21"/>
          <w:szCs w:val="21"/>
          <w:spacing w:val="-2"/>
        </w:rPr>
        <w:t>持续提</w:t>
      </w:r>
      <w:r>
        <w:rPr>
          <w:rFonts w:ascii="SimSun" w:hAnsi="SimSun" w:eastAsia="SimSun" w:cs="SimSun"/>
          <w:sz w:val="21"/>
          <w:szCs w:val="21"/>
        </w:rPr>
        <w:t xml:space="preserve"> </w:t>
      </w:r>
      <w:r>
        <w:rPr>
          <w:rFonts w:ascii="SimSun" w:hAnsi="SimSun" w:eastAsia="SimSun" w:cs="SimSun"/>
          <w:sz w:val="21"/>
          <w:szCs w:val="21"/>
          <w:spacing w:val="-1"/>
        </w:rPr>
        <w:t>升风险管控水平, 推动质量、效益、规模和结构同步优化和提升,</w:t>
      </w:r>
      <w:r>
        <w:rPr>
          <w:rFonts w:ascii="SimSun" w:hAnsi="SimSun" w:eastAsia="SimSun" w:cs="SimSun"/>
          <w:sz w:val="21"/>
          <w:szCs w:val="21"/>
          <w:spacing w:val="28"/>
        </w:rPr>
        <w:t xml:space="preserve"> </w:t>
      </w:r>
      <w:r>
        <w:rPr>
          <w:rFonts w:ascii="SimSun" w:hAnsi="SimSun" w:eastAsia="SimSun" w:cs="SimSun"/>
          <w:sz w:val="21"/>
          <w:szCs w:val="21"/>
          <w:spacing w:val="-1"/>
        </w:rPr>
        <w:t>让广大客户、股东、员</w:t>
      </w:r>
      <w:r>
        <w:rPr>
          <w:rFonts w:ascii="SimSun" w:hAnsi="SimSun" w:eastAsia="SimSun" w:cs="SimSun"/>
          <w:sz w:val="21"/>
          <w:szCs w:val="21"/>
          <w:spacing w:val="-2"/>
        </w:rPr>
        <w:t>工和相关各方共</w:t>
      </w:r>
      <w:r>
        <w:rPr>
          <w:rFonts w:ascii="SimSun" w:hAnsi="SimSun" w:eastAsia="SimSun" w:cs="SimSun"/>
          <w:sz w:val="21"/>
          <w:szCs w:val="21"/>
        </w:rPr>
        <w:t xml:space="preserve"> </w:t>
      </w:r>
      <w:r>
        <w:rPr>
          <w:rFonts w:ascii="SimSun" w:hAnsi="SimSun" w:eastAsia="SimSun" w:cs="SimSun"/>
          <w:sz w:val="21"/>
          <w:szCs w:val="21"/>
          <w:spacing w:val="-1"/>
        </w:rPr>
        <w:t>享改革发展成果。</w:t>
      </w:r>
    </w:p>
    <w:p>
      <w:pPr>
        <w:pStyle w:val="BodyText"/>
        <w:spacing w:line="241" w:lineRule="auto"/>
        <w:rPr/>
      </w:pPr>
      <w:r/>
    </w:p>
    <w:p>
      <w:pPr>
        <w:ind w:left="4" w:firstLine="421"/>
        <w:spacing w:before="68" w:line="267" w:lineRule="auto"/>
        <w:rPr>
          <w:rFonts w:ascii="SimSun" w:hAnsi="SimSun" w:eastAsia="SimSun" w:cs="SimSun"/>
          <w:sz w:val="21"/>
          <w:szCs w:val="21"/>
        </w:rPr>
      </w:pPr>
      <w:r>
        <w:rPr>
          <w:rFonts w:ascii="SimSun" w:hAnsi="SimSun" w:eastAsia="SimSun" w:cs="SimSun"/>
          <w:sz w:val="21"/>
          <w:szCs w:val="21"/>
          <w:spacing w:val="-3"/>
        </w:rPr>
        <w:t>知常明变者赢,</w:t>
      </w:r>
      <w:r>
        <w:rPr>
          <w:rFonts w:ascii="SimSun" w:hAnsi="SimSun" w:eastAsia="SimSun" w:cs="SimSun"/>
          <w:sz w:val="21"/>
          <w:szCs w:val="21"/>
          <w:spacing w:val="31"/>
        </w:rPr>
        <w:t xml:space="preserve"> </w:t>
      </w:r>
      <w:r>
        <w:rPr>
          <w:rFonts w:ascii="SimSun" w:hAnsi="SimSun" w:eastAsia="SimSun" w:cs="SimSun"/>
          <w:sz w:val="21"/>
          <w:szCs w:val="21"/>
          <w:spacing w:val="-3"/>
        </w:rPr>
        <w:t>守正创新者进。新的一年,</w:t>
      </w:r>
      <w:r>
        <w:rPr>
          <w:rFonts w:ascii="SimSun" w:hAnsi="SimSun" w:eastAsia="SimSun" w:cs="SimSun"/>
          <w:sz w:val="21"/>
          <w:szCs w:val="21"/>
          <w:spacing w:val="28"/>
        </w:rPr>
        <w:t xml:space="preserve"> </w:t>
      </w:r>
      <w:r>
        <w:rPr>
          <w:rFonts w:ascii="SimSun" w:hAnsi="SimSun" w:eastAsia="SimSun" w:cs="SimSun"/>
          <w:sz w:val="21"/>
          <w:szCs w:val="21"/>
          <w:spacing w:val="-3"/>
        </w:rPr>
        <w:t>我们将聚焦主责主业服务中国式现</w:t>
      </w:r>
      <w:r>
        <w:rPr>
          <w:rFonts w:ascii="SimSun" w:hAnsi="SimSun" w:eastAsia="SimSun" w:cs="SimSun"/>
          <w:sz w:val="21"/>
          <w:szCs w:val="21"/>
          <w:spacing w:val="-4"/>
        </w:rPr>
        <w:t>代化,</w:t>
      </w:r>
      <w:r>
        <w:rPr>
          <w:rFonts w:ascii="SimSun" w:hAnsi="SimSun" w:eastAsia="SimSun" w:cs="SimSun"/>
          <w:sz w:val="21"/>
          <w:szCs w:val="21"/>
          <w:spacing w:val="29"/>
        </w:rPr>
        <w:t xml:space="preserve"> </w:t>
      </w:r>
      <w:r>
        <w:rPr>
          <w:rFonts w:ascii="SimSun" w:hAnsi="SimSun" w:eastAsia="SimSun" w:cs="SimSun"/>
          <w:sz w:val="21"/>
          <w:szCs w:val="21"/>
          <w:spacing w:val="-4"/>
        </w:rPr>
        <w:t>久久为功,</w:t>
      </w:r>
      <w:r>
        <w:rPr>
          <w:rFonts w:ascii="SimSun" w:hAnsi="SimSun" w:eastAsia="SimSun" w:cs="SimSun"/>
          <w:sz w:val="21"/>
          <w:szCs w:val="21"/>
          <w:spacing w:val="24"/>
        </w:rPr>
        <w:t xml:space="preserve"> </w:t>
      </w:r>
      <w:r>
        <w:rPr>
          <w:rFonts w:ascii="SimSun" w:hAnsi="SimSun" w:eastAsia="SimSun" w:cs="SimSun"/>
          <w:sz w:val="21"/>
          <w:szCs w:val="21"/>
          <w:spacing w:val="-4"/>
        </w:rPr>
        <w:t>驰而</w:t>
      </w:r>
      <w:r>
        <w:rPr>
          <w:rFonts w:ascii="SimSun" w:hAnsi="SimSun" w:eastAsia="SimSun" w:cs="SimSun"/>
          <w:sz w:val="21"/>
          <w:szCs w:val="21"/>
        </w:rPr>
        <w:t xml:space="preserve"> </w:t>
      </w:r>
      <w:r>
        <w:rPr>
          <w:rFonts w:ascii="SimSun" w:hAnsi="SimSun" w:eastAsia="SimSun" w:cs="SimSun"/>
          <w:sz w:val="21"/>
          <w:szCs w:val="21"/>
          <w:spacing w:val="4"/>
        </w:rPr>
        <w:t>不息向既定目标奋勇前进,为推进强国建设、民族</w:t>
      </w:r>
      <w:r>
        <w:rPr>
          <w:rFonts w:ascii="SimSun" w:hAnsi="SimSun" w:eastAsia="SimSun" w:cs="SimSun"/>
          <w:sz w:val="21"/>
          <w:szCs w:val="21"/>
          <w:spacing w:val="3"/>
        </w:rPr>
        <w:t>复兴作出新的更大贡献!</w:t>
      </w:r>
    </w:p>
    <w:p>
      <w:pPr>
        <w:pStyle w:val="BodyText"/>
        <w:spacing w:line="271" w:lineRule="auto"/>
        <w:rPr/>
      </w:pPr>
      <w:r/>
    </w:p>
    <w:p>
      <w:pPr>
        <w:pStyle w:val="BodyText"/>
        <w:spacing w:line="271" w:lineRule="auto"/>
        <w:rPr/>
      </w:pPr>
      <w:r/>
    </w:p>
    <w:p>
      <w:pPr>
        <w:pStyle w:val="BodyText"/>
        <w:spacing w:line="271" w:lineRule="auto"/>
        <w:rPr/>
      </w:pPr>
      <w:r/>
    </w:p>
    <w:p>
      <w:pPr>
        <w:pStyle w:val="BodyText"/>
        <w:spacing w:line="271" w:lineRule="auto"/>
        <w:rPr/>
      </w:pPr>
      <w:r/>
    </w:p>
    <w:p>
      <w:pPr>
        <w:pStyle w:val="BodyText"/>
        <w:spacing w:line="271" w:lineRule="auto"/>
        <w:rPr/>
      </w:pPr>
      <w:r/>
    </w:p>
    <w:p>
      <w:pPr>
        <w:ind w:left="7931"/>
        <w:spacing w:before="69" w:line="559" w:lineRule="exact"/>
        <w:rPr>
          <w:rFonts w:ascii="SimSun" w:hAnsi="SimSun" w:eastAsia="SimSun" w:cs="SimSun"/>
          <w:sz w:val="21"/>
          <w:szCs w:val="21"/>
        </w:rPr>
      </w:pPr>
      <w:r>
        <w:rPr>
          <w:rFonts w:ascii="SimSun" w:hAnsi="SimSun" w:eastAsia="SimSun" w:cs="SimSun"/>
          <w:sz w:val="21"/>
          <w:szCs w:val="21"/>
          <w:spacing w:val="-1"/>
          <w:position w:val="27"/>
        </w:rPr>
        <w:t>任德奇</w:t>
      </w:r>
    </w:p>
    <w:p>
      <w:pPr>
        <w:ind w:left="7934"/>
        <w:spacing w:line="222" w:lineRule="auto"/>
        <w:rPr>
          <w:rFonts w:ascii="SimSun" w:hAnsi="SimSun" w:eastAsia="SimSun" w:cs="SimSun"/>
          <w:sz w:val="21"/>
          <w:szCs w:val="21"/>
        </w:rPr>
      </w:pPr>
      <w:r>
        <w:rPr>
          <w:rFonts w:ascii="SimSun" w:hAnsi="SimSun" w:eastAsia="SimSun" w:cs="SimSun"/>
          <w:sz w:val="21"/>
          <w:szCs w:val="21"/>
          <w:spacing w:val="-2"/>
        </w:rPr>
        <w:t>董事长</w:t>
      </w:r>
    </w:p>
    <w:p>
      <w:pPr>
        <w:spacing w:line="222" w:lineRule="auto"/>
        <w:sectPr>
          <w:footerReference w:type="default" r:id="rId16"/>
          <w:pgSz w:w="11907" w:h="16839"/>
          <w:pgMar w:top="1196" w:right="1128" w:bottom="1375" w:left="1140" w:header="0" w:footer="1211" w:gutter="0"/>
        </w:sectPr>
        <w:rPr>
          <w:rFonts w:ascii="SimSun" w:hAnsi="SimSun" w:eastAsia="SimSun" w:cs="SimSun"/>
          <w:sz w:val="21"/>
          <w:szCs w:val="21"/>
        </w:rPr>
      </w:pPr>
    </w:p>
    <w:p>
      <w:pPr>
        <w:ind w:left="3937"/>
        <w:spacing w:before="81" w:line="221" w:lineRule="auto"/>
        <w:rPr>
          <w:rFonts w:ascii="SimSun" w:hAnsi="SimSun" w:eastAsia="SimSun" w:cs="SimSun"/>
          <w:sz w:val="40"/>
          <w:szCs w:val="40"/>
        </w:rPr>
      </w:pPr>
      <w:bookmarkStart w:name="bookmark8" w:id="8"/>
      <w:bookmarkEnd w:id="8"/>
      <w:r>
        <w:rPr>
          <w:rFonts w:ascii="SimSun" w:hAnsi="SimSun" w:eastAsia="SimSun" w:cs="SimSun"/>
          <w:sz w:val="40"/>
          <w:szCs w:val="40"/>
          <w:b/>
          <w:bCs/>
          <w:spacing w:val="-9"/>
        </w:rPr>
        <w:t>行长致辞</w:t>
      </w:r>
    </w:p>
    <w:p>
      <w:pPr>
        <w:ind w:firstLine="421"/>
        <w:spacing w:before="299" w:line="303" w:lineRule="auto"/>
        <w:rPr>
          <w:rFonts w:ascii="SimSun" w:hAnsi="SimSun" w:eastAsia="SimSun" w:cs="SimSun"/>
          <w:sz w:val="21"/>
          <w:szCs w:val="21"/>
        </w:rPr>
      </w:pPr>
      <w:r>
        <w:rPr>
          <w:rFonts w:ascii="SimSun" w:hAnsi="SimSun" w:eastAsia="SimSun" w:cs="SimSun"/>
          <w:sz w:val="21"/>
          <w:szCs w:val="21"/>
          <w:spacing w:val="-2"/>
        </w:rPr>
        <w:t>过去一年,</w:t>
      </w:r>
      <w:r>
        <w:rPr>
          <w:rFonts w:ascii="SimSun" w:hAnsi="SimSun" w:eastAsia="SimSun" w:cs="SimSun"/>
          <w:sz w:val="21"/>
          <w:szCs w:val="21"/>
          <w:spacing w:val="27"/>
        </w:rPr>
        <w:t xml:space="preserve"> </w:t>
      </w:r>
      <w:r>
        <w:rPr>
          <w:rFonts w:ascii="SimSun" w:hAnsi="SimSun" w:eastAsia="SimSun" w:cs="SimSun"/>
          <w:sz w:val="21"/>
          <w:szCs w:val="21"/>
          <w:spacing w:val="-2"/>
        </w:rPr>
        <w:t>面对严峻复杂的外部环境和多重超预期因</w:t>
      </w:r>
      <w:r>
        <w:rPr>
          <w:rFonts w:ascii="SimSun" w:hAnsi="SimSun" w:eastAsia="SimSun" w:cs="SimSun"/>
          <w:sz w:val="21"/>
          <w:szCs w:val="21"/>
          <w:spacing w:val="-3"/>
        </w:rPr>
        <w:t>素冲击,</w:t>
      </w:r>
      <w:r>
        <w:rPr>
          <w:rFonts w:ascii="SimSun" w:hAnsi="SimSun" w:eastAsia="SimSun" w:cs="SimSun"/>
          <w:sz w:val="21"/>
          <w:szCs w:val="21"/>
          <w:spacing w:val="25"/>
        </w:rPr>
        <w:t xml:space="preserve"> </w:t>
      </w:r>
      <w:r>
        <w:rPr>
          <w:rFonts w:ascii="SimSun" w:hAnsi="SimSun" w:eastAsia="SimSun" w:cs="SimSun"/>
          <w:sz w:val="21"/>
          <w:szCs w:val="21"/>
          <w:spacing w:val="-3"/>
        </w:rPr>
        <w:t>在各界股东、广大客户倾力支持下,</w:t>
      </w:r>
      <w:r>
        <w:rPr>
          <w:rFonts w:ascii="SimSun" w:hAnsi="SimSun" w:eastAsia="SimSun" w:cs="SimSun"/>
          <w:sz w:val="21"/>
          <w:szCs w:val="21"/>
          <w:spacing w:val="29"/>
        </w:rPr>
        <w:t xml:space="preserve"> </w:t>
      </w:r>
      <w:r>
        <w:rPr>
          <w:rFonts w:ascii="SimSun" w:hAnsi="SimSun" w:eastAsia="SimSun" w:cs="SimSun"/>
          <w:sz w:val="21"/>
          <w:szCs w:val="21"/>
          <w:spacing w:val="-3"/>
        </w:rPr>
        <w:t>交</w:t>
      </w:r>
      <w:r>
        <w:rPr>
          <w:rFonts w:ascii="SimSun" w:hAnsi="SimSun" w:eastAsia="SimSun" w:cs="SimSun"/>
          <w:sz w:val="21"/>
          <w:szCs w:val="21"/>
        </w:rPr>
        <w:t xml:space="preserve"> </w:t>
      </w:r>
      <w:r>
        <w:rPr>
          <w:rFonts w:ascii="SimSun" w:hAnsi="SimSun" w:eastAsia="SimSun" w:cs="SimSun"/>
          <w:sz w:val="21"/>
          <w:szCs w:val="21"/>
          <w:spacing w:val="-2"/>
        </w:rPr>
        <w:t>通银行全体同仁凝心聚力、务实笃行,</w:t>
      </w:r>
      <w:r>
        <w:rPr>
          <w:rFonts w:ascii="SimSun" w:hAnsi="SimSun" w:eastAsia="SimSun" w:cs="SimSun"/>
          <w:sz w:val="21"/>
          <w:szCs w:val="21"/>
          <w:spacing w:val="39"/>
        </w:rPr>
        <w:t xml:space="preserve"> </w:t>
      </w:r>
      <w:r>
        <w:rPr>
          <w:rFonts w:ascii="SimSun" w:hAnsi="SimSun" w:eastAsia="SimSun" w:cs="SimSun"/>
          <w:sz w:val="21"/>
          <w:szCs w:val="21"/>
          <w:spacing w:val="-2"/>
        </w:rPr>
        <w:t>高质量发展结出丰硕成果,</w:t>
      </w:r>
      <w:r>
        <w:rPr>
          <w:rFonts w:ascii="SimSun" w:hAnsi="SimSun" w:eastAsia="SimSun" w:cs="SimSun"/>
          <w:sz w:val="21"/>
          <w:szCs w:val="21"/>
          <w:spacing w:val="28"/>
        </w:rPr>
        <w:t xml:space="preserve"> </w:t>
      </w:r>
      <w:r>
        <w:rPr>
          <w:rFonts w:ascii="SimSun" w:hAnsi="SimSun" w:eastAsia="SimSun" w:cs="SimSun"/>
          <w:sz w:val="21"/>
          <w:szCs w:val="21"/>
          <w:spacing w:val="-2"/>
        </w:rPr>
        <w:t>质量、结构、规模、效益协同迈上新台</w:t>
      </w:r>
      <w:r>
        <w:rPr>
          <w:rFonts w:ascii="SimSun" w:hAnsi="SimSun" w:eastAsia="SimSun" w:cs="SimSun"/>
          <w:sz w:val="21"/>
          <w:szCs w:val="21"/>
        </w:rPr>
        <w:t xml:space="preserve"> </w:t>
      </w:r>
      <w:r>
        <w:rPr>
          <w:rFonts w:ascii="SimSun" w:hAnsi="SimSun" w:eastAsia="SimSun" w:cs="SimSun"/>
          <w:sz w:val="21"/>
          <w:szCs w:val="21"/>
          <w:spacing w:val="-4"/>
        </w:rPr>
        <w:t>阶。</w:t>
      </w:r>
      <w:r>
        <w:rPr>
          <w:rFonts w:ascii="Times New Roman" w:hAnsi="Times New Roman" w:eastAsia="Times New Roman" w:cs="Times New Roman"/>
          <w:sz w:val="21"/>
          <w:szCs w:val="21"/>
          <w:spacing w:val="-4"/>
        </w:rPr>
        <w:t>2022 </w:t>
      </w:r>
      <w:r>
        <w:rPr>
          <w:rFonts w:ascii="SimSun" w:hAnsi="SimSun" w:eastAsia="SimSun" w:cs="SimSun"/>
          <w:sz w:val="21"/>
          <w:szCs w:val="21"/>
          <w:spacing w:val="-4"/>
        </w:rPr>
        <w:t>年末, 集团资产总额</w:t>
      </w:r>
      <w:r>
        <w:rPr>
          <w:rFonts w:ascii="SimSun" w:hAnsi="SimSun" w:eastAsia="SimSun" w:cs="SimSun"/>
          <w:sz w:val="21"/>
          <w:szCs w:val="21"/>
          <w:spacing w:val="-9"/>
        </w:rPr>
        <w:t xml:space="preserve"> </w:t>
      </w:r>
      <w:r>
        <w:rPr>
          <w:rFonts w:ascii="Times New Roman" w:hAnsi="Times New Roman" w:eastAsia="Times New Roman" w:cs="Times New Roman"/>
          <w:sz w:val="21"/>
          <w:szCs w:val="21"/>
          <w:spacing w:val="-4"/>
        </w:rPr>
        <w:t>129,924 </w:t>
      </w:r>
      <w:r>
        <w:rPr>
          <w:rFonts w:ascii="SimSun" w:hAnsi="SimSun" w:eastAsia="SimSun" w:cs="SimSun"/>
          <w:sz w:val="21"/>
          <w:szCs w:val="21"/>
          <w:spacing w:val="-4"/>
        </w:rPr>
        <w:t>亿元, 较上年末增长</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4"/>
        </w:rPr>
        <w:t>11.37%</w:t>
      </w:r>
      <w:r>
        <w:rPr>
          <w:rFonts w:ascii="SimSun" w:hAnsi="SimSun" w:eastAsia="SimSun" w:cs="SimSun"/>
          <w:sz w:val="21"/>
          <w:szCs w:val="21"/>
          <w:spacing w:val="-4"/>
        </w:rPr>
        <w:t>; 实现归属母公司净利润</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4"/>
        </w:rPr>
        <w:t>921.49 </w:t>
      </w:r>
      <w:r>
        <w:rPr>
          <w:rFonts w:ascii="SimSun" w:hAnsi="SimSun" w:eastAsia="SimSun" w:cs="SimSun"/>
          <w:sz w:val="21"/>
          <w:szCs w:val="21"/>
          <w:spacing w:val="-4"/>
        </w:rPr>
        <w:t>亿元,</w:t>
      </w:r>
      <w:r>
        <w:rPr>
          <w:rFonts w:ascii="SimSun" w:hAnsi="SimSun" w:eastAsia="SimSun" w:cs="SimSun"/>
          <w:sz w:val="21"/>
          <w:szCs w:val="21"/>
        </w:rPr>
        <w:t xml:space="preserve">  </w:t>
      </w:r>
      <w:r>
        <w:rPr>
          <w:rFonts w:ascii="SimSun" w:hAnsi="SimSun" w:eastAsia="SimSun" w:cs="SimSun"/>
          <w:sz w:val="21"/>
          <w:szCs w:val="21"/>
          <w:spacing w:val="5"/>
        </w:rPr>
        <w:t>同比增长</w:t>
      </w:r>
      <w:r>
        <w:rPr>
          <w:rFonts w:ascii="SimSun" w:hAnsi="SimSun" w:eastAsia="SimSun" w:cs="SimSun"/>
          <w:sz w:val="21"/>
          <w:szCs w:val="21"/>
          <w:spacing w:val="-37"/>
        </w:rPr>
        <w:t xml:space="preserve"> </w:t>
      </w:r>
      <w:r>
        <w:rPr>
          <w:rFonts w:ascii="Times New Roman" w:hAnsi="Times New Roman" w:eastAsia="Times New Roman" w:cs="Times New Roman"/>
          <w:sz w:val="21"/>
          <w:szCs w:val="21"/>
          <w:spacing w:val="5"/>
        </w:rPr>
        <w:t>5.22%</w:t>
      </w:r>
      <w:r>
        <w:rPr>
          <w:rFonts w:ascii="SimSun" w:hAnsi="SimSun" w:eastAsia="SimSun" w:cs="SimSun"/>
          <w:sz w:val="21"/>
          <w:szCs w:val="21"/>
          <w:spacing w:val="5"/>
        </w:rPr>
        <w:t>;不良贷款率</w:t>
      </w:r>
      <w:r>
        <w:rPr>
          <w:rFonts w:ascii="SimSun" w:hAnsi="SimSun" w:eastAsia="SimSun" w:cs="SimSun"/>
          <w:sz w:val="21"/>
          <w:szCs w:val="21"/>
          <w:spacing w:val="-23"/>
        </w:rPr>
        <w:t xml:space="preserve"> </w:t>
      </w:r>
      <w:r>
        <w:rPr>
          <w:rFonts w:ascii="Times New Roman" w:hAnsi="Times New Roman" w:eastAsia="Times New Roman" w:cs="Times New Roman"/>
          <w:sz w:val="21"/>
          <w:szCs w:val="21"/>
          <w:spacing w:val="5"/>
        </w:rPr>
        <w:t>1.35%</w:t>
      </w:r>
      <w:r>
        <w:rPr>
          <w:rFonts w:ascii="SimSun" w:hAnsi="SimSun" w:eastAsia="SimSun" w:cs="SimSun"/>
          <w:sz w:val="21"/>
          <w:szCs w:val="21"/>
          <w:spacing w:val="5"/>
        </w:rPr>
        <w:t>, 较上年末下降</w:t>
      </w:r>
      <w:r>
        <w:rPr>
          <w:rFonts w:ascii="SimSun" w:hAnsi="SimSun" w:eastAsia="SimSun" w:cs="SimSun"/>
          <w:sz w:val="21"/>
          <w:szCs w:val="21"/>
          <w:spacing w:val="-40"/>
        </w:rPr>
        <w:t xml:space="preserve"> </w:t>
      </w:r>
      <w:r>
        <w:rPr>
          <w:rFonts w:ascii="Times New Roman" w:hAnsi="Times New Roman" w:eastAsia="Times New Roman" w:cs="Times New Roman"/>
          <w:sz w:val="21"/>
          <w:szCs w:val="21"/>
          <w:spacing w:val="4"/>
        </w:rPr>
        <w:t>0.13 </w:t>
      </w:r>
      <w:r>
        <w:rPr>
          <w:rFonts w:ascii="SimSun" w:hAnsi="SimSun" w:eastAsia="SimSun" w:cs="SimSun"/>
          <w:sz w:val="21"/>
          <w:szCs w:val="21"/>
          <w:spacing w:val="4"/>
        </w:rPr>
        <w:t>个百分点;拨备覆盖率</w:t>
      </w:r>
      <w:r>
        <w:rPr>
          <w:rFonts w:ascii="SimSun" w:hAnsi="SimSun" w:eastAsia="SimSun" w:cs="SimSun"/>
          <w:sz w:val="21"/>
          <w:szCs w:val="21"/>
          <w:spacing w:val="-23"/>
        </w:rPr>
        <w:t xml:space="preserve"> </w:t>
      </w:r>
      <w:r>
        <w:rPr>
          <w:rFonts w:ascii="Times New Roman" w:hAnsi="Times New Roman" w:eastAsia="Times New Roman" w:cs="Times New Roman"/>
          <w:sz w:val="21"/>
          <w:szCs w:val="21"/>
          <w:spacing w:val="4"/>
        </w:rPr>
        <w:t>180.68%</w:t>
      </w:r>
      <w:r>
        <w:rPr>
          <w:rFonts w:ascii="SimSun" w:hAnsi="SimSun" w:eastAsia="SimSun" w:cs="SimSun"/>
          <w:sz w:val="21"/>
          <w:szCs w:val="21"/>
          <w:spacing w:val="4"/>
        </w:rPr>
        <w:t>,较上年末提升</w:t>
      </w:r>
      <w:r>
        <w:rPr>
          <w:rFonts w:ascii="SimSun" w:hAnsi="SimSun" w:eastAsia="SimSun" w:cs="SimSun"/>
          <w:sz w:val="21"/>
          <w:szCs w:val="21"/>
        </w:rPr>
        <w:t xml:space="preserve"> </w:t>
      </w:r>
      <w:r>
        <w:rPr>
          <w:rFonts w:ascii="Times New Roman" w:hAnsi="Times New Roman" w:eastAsia="Times New Roman" w:cs="Times New Roman"/>
          <w:sz w:val="21"/>
          <w:szCs w:val="21"/>
          <w:spacing w:val="-4"/>
        </w:rPr>
        <w:t>14.18 </w:t>
      </w:r>
      <w:r>
        <w:rPr>
          <w:rFonts w:ascii="SimSun" w:hAnsi="SimSun" w:eastAsia="SimSun" w:cs="SimSun"/>
          <w:sz w:val="21"/>
          <w:szCs w:val="21"/>
          <w:spacing w:val="-4"/>
        </w:rPr>
        <w:t>个百分点。更为值得欣喜的是, 过去一年, 交行</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4"/>
        </w:rPr>
        <w:t>A </w:t>
      </w:r>
      <w:r>
        <w:rPr>
          <w:rFonts w:ascii="SimSun" w:hAnsi="SimSun" w:eastAsia="SimSun" w:cs="SimSun"/>
          <w:sz w:val="21"/>
          <w:szCs w:val="21"/>
          <w:spacing w:val="-4"/>
        </w:rPr>
        <w:t>股、</w:t>
      </w:r>
      <w:r>
        <w:rPr>
          <w:rFonts w:ascii="Times New Roman" w:hAnsi="Times New Roman" w:eastAsia="Times New Roman" w:cs="Times New Roman"/>
          <w:sz w:val="21"/>
          <w:szCs w:val="21"/>
          <w:spacing w:val="-4"/>
        </w:rPr>
        <w:t>H </w:t>
      </w:r>
      <w:r>
        <w:rPr>
          <w:rFonts w:ascii="SimSun" w:hAnsi="SimSun" w:eastAsia="SimSun" w:cs="SimSun"/>
          <w:sz w:val="21"/>
          <w:szCs w:val="21"/>
          <w:spacing w:val="-4"/>
        </w:rPr>
        <w:t>股股价较上年末分别提升</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4"/>
        </w:rPr>
        <w:t>10.58%</w:t>
      </w:r>
      <w:r>
        <w:rPr>
          <w:rFonts w:ascii="SimSun" w:hAnsi="SimSun" w:eastAsia="SimSun" w:cs="SimSun"/>
          <w:sz w:val="21"/>
          <w:szCs w:val="21"/>
          <w:spacing w:val="-4"/>
        </w:rPr>
        <w:t>、</w:t>
      </w:r>
      <w:r>
        <w:rPr>
          <w:rFonts w:ascii="Times New Roman" w:hAnsi="Times New Roman" w:eastAsia="Times New Roman" w:cs="Times New Roman"/>
          <w:sz w:val="21"/>
          <w:szCs w:val="21"/>
          <w:spacing w:val="-4"/>
        </w:rPr>
        <w:t>3.25%</w:t>
      </w:r>
      <w:r>
        <w:rPr>
          <w:rFonts w:ascii="Times New Roman" w:hAnsi="Times New Roman" w:eastAsia="Times New Roman" w:cs="Times New Roman"/>
          <w:sz w:val="21"/>
          <w:szCs w:val="21"/>
          <w:spacing w:val="-31"/>
        </w:rPr>
        <w:t xml:space="preserve"> </w:t>
      </w:r>
      <w:r>
        <w:rPr>
          <w:rFonts w:ascii="SimSun" w:hAnsi="SimSun" w:eastAsia="SimSun" w:cs="SimSun"/>
          <w:sz w:val="21"/>
          <w:szCs w:val="21"/>
          <w:spacing w:val="-4"/>
        </w:rPr>
        <w:t>,</w:t>
      </w:r>
      <w:r>
        <w:rPr>
          <w:rFonts w:ascii="SimSun" w:hAnsi="SimSun" w:eastAsia="SimSun" w:cs="SimSun"/>
          <w:sz w:val="21"/>
          <w:szCs w:val="21"/>
        </w:rPr>
        <w:t xml:space="preserve">  </w:t>
      </w:r>
      <w:r>
        <w:rPr>
          <w:rFonts w:ascii="SimSun" w:hAnsi="SimSun" w:eastAsia="SimSun" w:cs="SimSun"/>
          <w:sz w:val="21"/>
          <w:szCs w:val="21"/>
          <w:spacing w:val="-1"/>
        </w:rPr>
        <w:t>一级资本排名首次跻身《银行家》杂志全球千强榜单前十, 这既是交行市场地位的充</w:t>
      </w:r>
      <w:r>
        <w:rPr>
          <w:rFonts w:ascii="SimSun" w:hAnsi="SimSun" w:eastAsia="SimSun" w:cs="SimSun"/>
          <w:sz w:val="21"/>
          <w:szCs w:val="21"/>
          <w:spacing w:val="-2"/>
        </w:rPr>
        <w:t>分体现,</w:t>
      </w:r>
      <w:r>
        <w:rPr>
          <w:rFonts w:ascii="SimSun" w:hAnsi="SimSun" w:eastAsia="SimSun" w:cs="SimSun"/>
          <w:sz w:val="21"/>
          <w:szCs w:val="21"/>
          <w:spacing w:val="26"/>
        </w:rPr>
        <w:t xml:space="preserve"> </w:t>
      </w:r>
      <w:r>
        <w:rPr>
          <w:rFonts w:ascii="SimSun" w:hAnsi="SimSun" w:eastAsia="SimSun" w:cs="SimSun"/>
          <w:sz w:val="21"/>
          <w:szCs w:val="21"/>
          <w:spacing w:val="-2"/>
        </w:rPr>
        <w:t>更代表着广</w:t>
      </w:r>
      <w:r>
        <w:rPr>
          <w:rFonts w:ascii="SimSun" w:hAnsi="SimSun" w:eastAsia="SimSun" w:cs="SimSun"/>
          <w:sz w:val="21"/>
          <w:szCs w:val="21"/>
        </w:rPr>
        <w:t xml:space="preserve"> </w:t>
      </w:r>
      <w:r>
        <w:rPr>
          <w:rFonts w:ascii="SimSun" w:hAnsi="SimSun" w:eastAsia="SimSun" w:cs="SimSun"/>
          <w:sz w:val="21"/>
          <w:szCs w:val="21"/>
          <w:spacing w:val="-1"/>
        </w:rPr>
        <w:t>大投资者对交行未来高质量发展的期许和鞭策。</w:t>
      </w:r>
    </w:p>
    <w:p>
      <w:pPr>
        <w:pStyle w:val="BodyText"/>
        <w:rPr/>
      </w:pPr>
      <w:r/>
    </w:p>
    <w:p>
      <w:pPr>
        <w:ind w:firstLine="424"/>
        <w:spacing w:before="68" w:line="306" w:lineRule="auto"/>
        <w:jc w:val="both"/>
        <w:rPr>
          <w:rFonts w:ascii="SimSun" w:hAnsi="SimSun" w:eastAsia="SimSun" w:cs="SimSun"/>
          <w:sz w:val="21"/>
          <w:szCs w:val="21"/>
        </w:rPr>
      </w:pPr>
      <w:r>
        <w:rPr>
          <w:rFonts w:ascii="SimSun" w:hAnsi="SimSun" w:eastAsia="SimSun" w:cs="SimSun"/>
          <w:sz w:val="21"/>
          <w:szCs w:val="21"/>
          <w:b/>
          <w:bCs/>
          <w:spacing w:val="1"/>
        </w:rPr>
        <w:t>这一年,</w:t>
      </w:r>
      <w:r>
        <w:rPr>
          <w:rFonts w:ascii="SimSun" w:hAnsi="SimSun" w:eastAsia="SimSun" w:cs="SimSun"/>
          <w:sz w:val="21"/>
          <w:szCs w:val="21"/>
          <w:spacing w:val="45"/>
        </w:rPr>
        <w:t xml:space="preserve"> </w:t>
      </w:r>
      <w:r>
        <w:rPr>
          <w:rFonts w:ascii="SimSun" w:hAnsi="SimSun" w:eastAsia="SimSun" w:cs="SimSun"/>
          <w:sz w:val="21"/>
          <w:szCs w:val="21"/>
          <w:b/>
          <w:bCs/>
          <w:spacing w:val="1"/>
        </w:rPr>
        <w:t>我们坚定服务"国之大者",</w:t>
      </w:r>
      <w:r>
        <w:rPr>
          <w:rFonts w:ascii="SimSun" w:hAnsi="SimSun" w:eastAsia="SimSun" w:cs="SimSun"/>
          <w:sz w:val="21"/>
          <w:szCs w:val="21"/>
          <w:spacing w:val="36"/>
        </w:rPr>
        <w:t xml:space="preserve"> </w:t>
      </w:r>
      <w:r>
        <w:rPr>
          <w:rFonts w:ascii="SimSun" w:hAnsi="SimSun" w:eastAsia="SimSun" w:cs="SimSun"/>
          <w:sz w:val="21"/>
          <w:szCs w:val="21"/>
          <w:b/>
          <w:bCs/>
          <w:spacing w:val="1"/>
        </w:rPr>
        <w:t>金融活水精准高效灌溉实体经济沃土。</w:t>
      </w:r>
      <w:r>
        <w:rPr>
          <w:rFonts w:ascii="SimSun" w:hAnsi="SimSun" w:eastAsia="SimSun" w:cs="SimSun"/>
          <w:sz w:val="21"/>
          <w:szCs w:val="21"/>
          <w:spacing w:val="-22"/>
        </w:rPr>
        <w:t xml:space="preserve"> </w:t>
      </w:r>
      <w:r>
        <w:rPr>
          <w:rFonts w:ascii="SimSun" w:hAnsi="SimSun" w:eastAsia="SimSun" w:cs="SimSun"/>
          <w:sz w:val="21"/>
          <w:szCs w:val="21"/>
          <w:spacing w:val="1"/>
        </w:rPr>
        <w:t>我们坚信,金融之于实</w:t>
      </w:r>
      <w:r>
        <w:rPr>
          <w:rFonts w:ascii="SimSun" w:hAnsi="SimSun" w:eastAsia="SimSun" w:cs="SimSun"/>
          <w:sz w:val="21"/>
          <w:szCs w:val="21"/>
        </w:rPr>
        <w:t xml:space="preserve"> </w:t>
      </w:r>
      <w:r>
        <w:rPr>
          <w:rFonts w:ascii="SimSun" w:hAnsi="SimSun" w:eastAsia="SimSun" w:cs="SimSun"/>
          <w:sz w:val="21"/>
          <w:szCs w:val="21"/>
          <w:spacing w:val="3"/>
        </w:rPr>
        <w:t>体经济,</w:t>
      </w:r>
      <w:r>
        <w:rPr>
          <w:rFonts w:ascii="SimSun" w:hAnsi="SimSun" w:eastAsia="SimSun" w:cs="SimSun"/>
          <w:sz w:val="21"/>
          <w:szCs w:val="21"/>
          <w:spacing w:val="36"/>
        </w:rPr>
        <w:t xml:space="preserve"> </w:t>
      </w:r>
      <w:r>
        <w:rPr>
          <w:rFonts w:ascii="SimSun" w:hAnsi="SimSun" w:eastAsia="SimSun" w:cs="SimSun"/>
          <w:sz w:val="21"/>
          <w:szCs w:val="21"/>
          <w:spacing w:val="3"/>
        </w:rPr>
        <w:t>不能以"零和思维"</w:t>
      </w:r>
      <w:r>
        <w:rPr>
          <w:rFonts w:ascii="SimSun" w:hAnsi="SimSun" w:eastAsia="SimSun" w:cs="SimSun"/>
          <w:sz w:val="21"/>
          <w:szCs w:val="21"/>
          <w:spacing w:val="-27"/>
        </w:rPr>
        <w:t xml:space="preserve"> </w:t>
      </w:r>
      <w:r>
        <w:rPr>
          <w:rFonts w:ascii="SimSun" w:hAnsi="SimSun" w:eastAsia="SimSun" w:cs="SimSun"/>
          <w:sz w:val="21"/>
          <w:szCs w:val="21"/>
          <w:spacing w:val="3"/>
        </w:rPr>
        <w:t>生硬解读;</w:t>
      </w:r>
      <w:r>
        <w:rPr>
          <w:rFonts w:ascii="SimSun" w:hAnsi="SimSun" w:eastAsia="SimSun" w:cs="SimSun"/>
          <w:sz w:val="21"/>
          <w:szCs w:val="21"/>
          <w:spacing w:val="30"/>
        </w:rPr>
        <w:t xml:space="preserve"> </w:t>
      </w:r>
      <w:r>
        <w:rPr>
          <w:rFonts w:ascii="SimSun" w:hAnsi="SimSun" w:eastAsia="SimSun" w:cs="SimSun"/>
          <w:sz w:val="21"/>
          <w:szCs w:val="21"/>
          <w:spacing w:val="3"/>
        </w:rPr>
        <w:t>金融服务实体经济,</w:t>
      </w:r>
      <w:r>
        <w:rPr>
          <w:rFonts w:ascii="SimSun" w:hAnsi="SimSun" w:eastAsia="SimSun" w:cs="SimSun"/>
          <w:sz w:val="21"/>
          <w:szCs w:val="21"/>
          <w:spacing w:val="33"/>
        </w:rPr>
        <w:t xml:space="preserve"> </w:t>
      </w:r>
      <w:r>
        <w:rPr>
          <w:rFonts w:ascii="SimSun" w:hAnsi="SimSun" w:eastAsia="SimSun" w:cs="SimSun"/>
          <w:sz w:val="21"/>
          <w:szCs w:val="21"/>
          <w:spacing w:val="3"/>
        </w:rPr>
        <w:t>也不能以"简单让利"</w:t>
      </w:r>
      <w:r>
        <w:rPr>
          <w:rFonts w:ascii="SimSun" w:hAnsi="SimSun" w:eastAsia="SimSun" w:cs="SimSun"/>
          <w:sz w:val="21"/>
          <w:szCs w:val="21"/>
          <w:spacing w:val="-29"/>
        </w:rPr>
        <w:t xml:space="preserve"> </w:t>
      </w:r>
      <w:r>
        <w:rPr>
          <w:rFonts w:ascii="SimSun" w:hAnsi="SimSun" w:eastAsia="SimSun" w:cs="SimSun"/>
          <w:sz w:val="21"/>
          <w:szCs w:val="21"/>
          <w:spacing w:val="3"/>
        </w:rPr>
        <w:t>粗放等同。我们牢牢</w:t>
      </w:r>
      <w:r>
        <w:rPr>
          <w:rFonts w:ascii="SimSun" w:hAnsi="SimSun" w:eastAsia="SimSun" w:cs="SimSun"/>
          <w:sz w:val="21"/>
          <w:szCs w:val="21"/>
        </w:rPr>
        <w:t xml:space="preserve"> </w:t>
      </w:r>
      <w:r>
        <w:rPr>
          <w:rFonts w:ascii="SimSun" w:hAnsi="SimSun" w:eastAsia="SimSun" w:cs="SimSun"/>
          <w:sz w:val="21"/>
          <w:szCs w:val="21"/>
          <w:spacing w:val="4"/>
        </w:rPr>
        <w:t>把握金融"实体经济的血脉"</w:t>
      </w:r>
      <w:r>
        <w:rPr>
          <w:rFonts w:ascii="SimSun" w:hAnsi="SimSun" w:eastAsia="SimSun" w:cs="SimSun"/>
          <w:sz w:val="21"/>
          <w:szCs w:val="21"/>
          <w:spacing w:val="-9"/>
        </w:rPr>
        <w:t xml:space="preserve"> </w:t>
      </w:r>
      <w:r>
        <w:rPr>
          <w:rFonts w:ascii="SimSun" w:hAnsi="SimSun" w:eastAsia="SimSun" w:cs="SimSun"/>
          <w:sz w:val="21"/>
          <w:szCs w:val="21"/>
          <w:spacing w:val="4"/>
        </w:rPr>
        <w:t>定位, 将国家战略部署、人民急难愁盼作为核心资源投入的主战场, 将"新</w:t>
      </w:r>
      <w:r>
        <w:rPr>
          <w:rFonts w:ascii="SimSun" w:hAnsi="SimSun" w:eastAsia="SimSun" w:cs="SimSun"/>
          <w:sz w:val="21"/>
          <w:szCs w:val="21"/>
        </w:rPr>
        <w:t xml:space="preserve"> </w:t>
      </w:r>
      <w:r>
        <w:rPr>
          <w:rFonts w:ascii="SimSun" w:hAnsi="SimSun" w:eastAsia="SimSun" w:cs="SimSun"/>
          <w:sz w:val="21"/>
          <w:szCs w:val="21"/>
          <w:spacing w:val="4"/>
        </w:rPr>
        <w:t>鲜血液"真实、稳定、持续输送到中国式现代化建设的"一砖一瓦"。</w:t>
      </w:r>
      <w:r>
        <w:rPr>
          <w:rFonts w:ascii="Times New Roman" w:hAnsi="Times New Roman" w:eastAsia="Times New Roman" w:cs="Times New Roman"/>
          <w:sz w:val="21"/>
          <w:szCs w:val="21"/>
          <w:spacing w:val="4"/>
        </w:rPr>
        <w:t>2022</w:t>
      </w:r>
      <w:r>
        <w:rPr>
          <w:rFonts w:ascii="Times New Roman" w:hAnsi="Times New Roman" w:eastAsia="Times New Roman" w:cs="Times New Roman"/>
          <w:sz w:val="21"/>
          <w:szCs w:val="21"/>
          <w:spacing w:val="47"/>
          <w:w w:val="101"/>
        </w:rPr>
        <w:t xml:space="preserve"> </w:t>
      </w:r>
      <w:r>
        <w:rPr>
          <w:rFonts w:ascii="SimSun" w:hAnsi="SimSun" w:eastAsia="SimSun" w:cs="SimSun"/>
          <w:sz w:val="21"/>
          <w:szCs w:val="21"/>
          <w:spacing w:val="4"/>
        </w:rPr>
        <w:t>年末境内行人民币各项贷款余</w:t>
      </w:r>
      <w:r>
        <w:rPr>
          <w:rFonts w:ascii="SimSun" w:hAnsi="SimSun" w:eastAsia="SimSun" w:cs="SimSun"/>
          <w:sz w:val="21"/>
          <w:szCs w:val="21"/>
        </w:rPr>
        <w:t xml:space="preserve"> </w:t>
      </w:r>
      <w:r>
        <w:rPr>
          <w:rFonts w:ascii="SimSun" w:hAnsi="SimSun" w:eastAsia="SimSun" w:cs="SimSun"/>
          <w:sz w:val="21"/>
          <w:szCs w:val="21"/>
          <w:spacing w:val="-2"/>
        </w:rPr>
        <w:t>额</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2"/>
        </w:rPr>
        <w:t>68,483 </w:t>
      </w:r>
      <w:r>
        <w:rPr>
          <w:rFonts w:ascii="SimSun" w:hAnsi="SimSun" w:eastAsia="SimSun" w:cs="SimSun"/>
          <w:sz w:val="21"/>
          <w:szCs w:val="21"/>
          <w:spacing w:val="-2"/>
        </w:rPr>
        <w:t>亿元, 较上年末增加</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2"/>
        </w:rPr>
        <w:t>7,867 </w:t>
      </w:r>
      <w:r>
        <w:rPr>
          <w:rFonts w:ascii="SimSun" w:hAnsi="SimSun" w:eastAsia="SimSun" w:cs="SimSun"/>
          <w:sz w:val="21"/>
          <w:szCs w:val="21"/>
          <w:spacing w:val="-2"/>
        </w:rPr>
        <w:t>亿元、增幅</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2"/>
        </w:rPr>
        <w:t>12.98</w:t>
      </w:r>
      <w:r>
        <w:rPr>
          <w:rFonts w:ascii="Times New Roman" w:hAnsi="Times New Roman" w:eastAsia="Times New Roman" w:cs="Times New Roman"/>
          <w:sz w:val="21"/>
          <w:szCs w:val="21"/>
          <w:spacing w:val="-3"/>
        </w:rPr>
        <w:t>%</w:t>
      </w:r>
      <w:r>
        <w:rPr>
          <w:rFonts w:ascii="SimSun" w:hAnsi="SimSun" w:eastAsia="SimSun" w:cs="SimSun"/>
          <w:sz w:val="21"/>
          <w:szCs w:val="21"/>
          <w:spacing w:val="-3"/>
        </w:rPr>
        <w:t>, 为近十年来最高水平。我们发挥高水平金融服务</w:t>
      </w:r>
      <w:r>
        <w:rPr>
          <w:rFonts w:ascii="SimSun" w:hAnsi="SimSun" w:eastAsia="SimSun" w:cs="SimSun"/>
          <w:sz w:val="21"/>
          <w:szCs w:val="21"/>
        </w:rPr>
        <w:t xml:space="preserve"> </w:t>
      </w:r>
      <w:r>
        <w:rPr>
          <w:rFonts w:ascii="SimSun" w:hAnsi="SimSun" w:eastAsia="SimSun" w:cs="SimSun"/>
          <w:sz w:val="21"/>
          <w:szCs w:val="21"/>
          <w:spacing w:val="1"/>
        </w:rPr>
        <w:t>对现代化产业体系建设的杠杆作用,战略性新兴产业贷款、绿色金融增速分别达</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1"/>
        </w:rPr>
        <w:t>109.88%</w:t>
      </w:r>
      <w:r>
        <w:rPr>
          <w:rFonts w:ascii="SimSun" w:hAnsi="SimSun" w:eastAsia="SimSun" w:cs="SimSun"/>
          <w:sz w:val="21"/>
          <w:szCs w:val="21"/>
        </w:rPr>
        <w:t>、</w:t>
      </w:r>
      <w:r>
        <w:rPr>
          <w:rFonts w:ascii="Times New Roman" w:hAnsi="Times New Roman" w:eastAsia="Times New Roman" w:cs="Times New Roman"/>
          <w:sz w:val="21"/>
          <w:szCs w:val="21"/>
        </w:rPr>
        <w:t>33.28%</w:t>
      </w:r>
      <w:r>
        <w:rPr>
          <w:rFonts w:ascii="SimSun" w:hAnsi="SimSun" w:eastAsia="SimSun" w:cs="SimSun"/>
          <w:sz w:val="21"/>
          <w:szCs w:val="21"/>
        </w:rPr>
        <w:t>;</w:t>
      </w:r>
      <w:r>
        <w:rPr>
          <w:rFonts w:ascii="SimSun" w:hAnsi="SimSun" w:eastAsia="SimSun" w:cs="SimSun"/>
          <w:sz w:val="21"/>
          <w:szCs w:val="21"/>
          <w:spacing w:val="29"/>
        </w:rPr>
        <w:t xml:space="preserve"> </w:t>
      </w:r>
      <w:r>
        <w:rPr>
          <w:rFonts w:ascii="SimSun" w:hAnsi="SimSun" w:eastAsia="SimSun" w:cs="SimSun"/>
          <w:sz w:val="21"/>
          <w:szCs w:val="21"/>
        </w:rPr>
        <w:t>制造 </w:t>
      </w:r>
      <w:r>
        <w:rPr>
          <w:rFonts w:ascii="SimSun" w:hAnsi="SimSun" w:eastAsia="SimSun" w:cs="SimSun"/>
          <w:sz w:val="21"/>
          <w:szCs w:val="21"/>
        </w:rPr>
        <w:t>业中长期贷款、高技术制造业中长期贷款分别增长 </w:t>
      </w:r>
      <w:r>
        <w:rPr>
          <w:rFonts w:ascii="Times New Roman" w:hAnsi="Times New Roman" w:eastAsia="Times New Roman" w:cs="Times New Roman"/>
          <w:sz w:val="21"/>
          <w:szCs w:val="21"/>
        </w:rPr>
        <w:t>57.72%</w:t>
      </w:r>
      <w:r>
        <w:rPr>
          <w:rFonts w:ascii="Times New Roman" w:hAnsi="Times New Roman" w:eastAsia="Times New Roman" w:cs="Times New Roman"/>
          <w:sz w:val="21"/>
          <w:szCs w:val="21"/>
          <w:spacing w:val="-30"/>
        </w:rPr>
        <w:t xml:space="preserve"> </w:t>
      </w:r>
      <w:r>
        <w:rPr>
          <w:rFonts w:ascii="SimSun" w:hAnsi="SimSun" w:eastAsia="SimSun" w:cs="SimSun"/>
          <w:sz w:val="21"/>
          <w:szCs w:val="21"/>
        </w:rPr>
        <w:t>、</w:t>
      </w:r>
      <w:r>
        <w:rPr>
          <w:rFonts w:ascii="Times New Roman" w:hAnsi="Times New Roman" w:eastAsia="Times New Roman" w:cs="Times New Roman"/>
          <w:sz w:val="21"/>
          <w:szCs w:val="21"/>
        </w:rPr>
        <w:t>129.82%</w:t>
      </w:r>
      <w:r>
        <w:rPr>
          <w:rFonts w:ascii="SimSun" w:hAnsi="SimSun" w:eastAsia="SimSun" w:cs="SimSun"/>
          <w:sz w:val="21"/>
          <w:szCs w:val="21"/>
        </w:rPr>
        <w:t>。我们推动普惠金融服务扩面提</w:t>
      </w:r>
      <w:r>
        <w:rPr>
          <w:rFonts w:ascii="SimSun" w:hAnsi="SimSun" w:eastAsia="SimSun" w:cs="SimSun"/>
          <w:sz w:val="21"/>
          <w:szCs w:val="21"/>
          <w:spacing w:val="-1"/>
        </w:rPr>
        <w:t>质,</w:t>
      </w:r>
      <w:r>
        <w:rPr>
          <w:rFonts w:ascii="SimSun" w:hAnsi="SimSun" w:eastAsia="SimSun" w:cs="SimSun"/>
          <w:sz w:val="21"/>
          <w:szCs w:val="21"/>
        </w:rPr>
        <w:t xml:space="preserve"> </w:t>
      </w:r>
      <w:r>
        <w:rPr>
          <w:rFonts w:ascii="SimSun" w:hAnsi="SimSun" w:eastAsia="SimSun" w:cs="SimSun"/>
          <w:sz w:val="21"/>
          <w:szCs w:val="21"/>
        </w:rPr>
        <w:t>西藏自治区分行如期顺利开业, 填补交行在雪域高原</w:t>
      </w:r>
      <w:r>
        <w:rPr>
          <w:rFonts w:ascii="SimSun" w:hAnsi="SimSun" w:eastAsia="SimSun" w:cs="SimSun"/>
          <w:sz w:val="21"/>
          <w:szCs w:val="21"/>
          <w:spacing w:val="-1"/>
        </w:rPr>
        <w:t>的服务空白; 长尾客户数字化经营及触达能力全面提</w:t>
      </w:r>
      <w:r>
        <w:rPr>
          <w:rFonts w:ascii="SimSun" w:hAnsi="SimSun" w:eastAsia="SimSun" w:cs="SimSun"/>
          <w:sz w:val="21"/>
          <w:szCs w:val="21"/>
        </w:rPr>
        <w:t xml:space="preserve"> </w:t>
      </w:r>
      <w:r>
        <w:rPr>
          <w:rFonts w:ascii="SimSun" w:hAnsi="SimSun" w:eastAsia="SimSun" w:cs="SimSun"/>
          <w:sz w:val="21"/>
          <w:szCs w:val="21"/>
          <w:spacing w:val="3"/>
        </w:rPr>
        <w:t>升,</w:t>
      </w:r>
      <w:r>
        <w:rPr>
          <w:rFonts w:ascii="SimSun" w:hAnsi="SimSun" w:eastAsia="SimSun" w:cs="SimSun"/>
          <w:sz w:val="21"/>
          <w:szCs w:val="21"/>
          <w:spacing w:val="31"/>
        </w:rPr>
        <w:t xml:space="preserve"> </w:t>
      </w:r>
      <w:r>
        <w:rPr>
          <w:rFonts w:ascii="SimSun" w:hAnsi="SimSun" w:eastAsia="SimSun" w:cs="SimSun"/>
          <w:sz w:val="21"/>
          <w:szCs w:val="21"/>
          <w:spacing w:val="3"/>
        </w:rPr>
        <w:t>帮助企业解决"心头忧""眼前难";</w:t>
      </w:r>
      <w:r>
        <w:rPr>
          <w:rFonts w:ascii="SimSun" w:hAnsi="SimSun" w:eastAsia="SimSun" w:cs="SimSun"/>
          <w:sz w:val="21"/>
          <w:szCs w:val="21"/>
          <w:spacing w:val="33"/>
        </w:rPr>
        <w:t xml:space="preserve"> </w:t>
      </w:r>
      <w:r>
        <w:rPr>
          <w:rFonts w:ascii="SimSun" w:hAnsi="SimSun" w:eastAsia="SimSun" w:cs="SimSun"/>
          <w:sz w:val="21"/>
          <w:szCs w:val="21"/>
          <w:spacing w:val="3"/>
        </w:rPr>
        <w:t>乡村振兴金融服</w:t>
      </w:r>
      <w:r>
        <w:rPr>
          <w:rFonts w:ascii="SimSun" w:hAnsi="SimSun" w:eastAsia="SimSun" w:cs="SimSun"/>
          <w:sz w:val="21"/>
          <w:szCs w:val="21"/>
          <w:spacing w:val="2"/>
        </w:rPr>
        <w:t>务体系进阶升级, 全口径涉农贷款余额当年净增</w:t>
      </w:r>
      <w:r>
        <w:rPr>
          <w:rFonts w:ascii="SimSun" w:hAnsi="SimSun" w:eastAsia="SimSun" w:cs="SimSun"/>
          <w:sz w:val="21"/>
          <w:szCs w:val="21"/>
        </w:rPr>
        <w:t xml:space="preserve"> </w:t>
      </w:r>
      <w:r>
        <w:rPr>
          <w:rFonts w:ascii="Times New Roman" w:hAnsi="Times New Roman" w:eastAsia="Times New Roman" w:cs="Times New Roman"/>
          <w:sz w:val="21"/>
          <w:szCs w:val="21"/>
          <w:spacing w:val="-1"/>
        </w:rPr>
        <w:t>1,431 </w:t>
      </w:r>
      <w:r>
        <w:rPr>
          <w:rFonts w:ascii="SimSun" w:hAnsi="SimSun" w:eastAsia="SimSun" w:cs="SimSun"/>
          <w:sz w:val="21"/>
          <w:szCs w:val="21"/>
          <w:spacing w:val="-1"/>
        </w:rPr>
        <w:t>亿元。</w:t>
      </w:r>
    </w:p>
    <w:p>
      <w:pPr>
        <w:pStyle w:val="BodyText"/>
        <w:spacing w:line="250" w:lineRule="auto"/>
        <w:rPr/>
      </w:pPr>
      <w:r/>
    </w:p>
    <w:p>
      <w:pPr>
        <w:ind w:firstLine="424"/>
        <w:spacing w:before="68" w:line="307" w:lineRule="auto"/>
        <w:rPr>
          <w:rFonts w:ascii="SimSun" w:hAnsi="SimSun" w:eastAsia="SimSun" w:cs="SimSun"/>
          <w:sz w:val="21"/>
          <w:szCs w:val="21"/>
        </w:rPr>
      </w:pPr>
      <w:r>
        <w:rPr>
          <w:rFonts w:ascii="SimSun" w:hAnsi="SimSun" w:eastAsia="SimSun" w:cs="SimSun"/>
          <w:sz w:val="21"/>
          <w:szCs w:val="21"/>
          <w:b/>
          <w:bCs/>
          <w:spacing w:val="-5"/>
        </w:rPr>
        <w:t>这一年,</w:t>
      </w:r>
      <w:r>
        <w:rPr>
          <w:rFonts w:ascii="SimSun" w:hAnsi="SimSun" w:eastAsia="SimSun" w:cs="SimSun"/>
          <w:sz w:val="21"/>
          <w:szCs w:val="21"/>
          <w:spacing w:val="-32"/>
        </w:rPr>
        <w:t xml:space="preserve"> </w:t>
      </w:r>
      <w:r>
        <w:rPr>
          <w:rFonts w:ascii="SimSun" w:hAnsi="SimSun" w:eastAsia="SimSun" w:cs="SimSun"/>
          <w:sz w:val="21"/>
          <w:szCs w:val="21"/>
          <w:b/>
          <w:bCs/>
          <w:spacing w:val="-5"/>
        </w:rPr>
        <w:t>我们纵深推进数字化新交行建设,</w:t>
      </w:r>
      <w:r>
        <w:rPr>
          <w:rFonts w:ascii="SimSun" w:hAnsi="SimSun" w:eastAsia="SimSun" w:cs="SimSun"/>
          <w:sz w:val="21"/>
          <w:szCs w:val="21"/>
          <w:spacing w:val="-35"/>
        </w:rPr>
        <w:t xml:space="preserve"> </w:t>
      </w:r>
      <w:r>
        <w:rPr>
          <w:rFonts w:ascii="SimSun" w:hAnsi="SimSun" w:eastAsia="SimSun" w:cs="SimSun"/>
          <w:sz w:val="21"/>
          <w:szCs w:val="21"/>
          <w:b/>
          <w:bCs/>
          <w:spacing w:val="-5"/>
        </w:rPr>
        <w:t>价值创造的动力变革加速演进。</w:t>
      </w:r>
      <w:r>
        <w:rPr>
          <w:rFonts w:ascii="SimSun" w:hAnsi="SimSun" w:eastAsia="SimSun" w:cs="SimSun"/>
          <w:sz w:val="21"/>
          <w:szCs w:val="21"/>
          <w:spacing w:val="-5"/>
        </w:rPr>
        <w:t>我们坚信,</w:t>
      </w:r>
      <w:r>
        <w:rPr>
          <w:rFonts w:ascii="SimSun" w:hAnsi="SimSun" w:eastAsia="SimSun" w:cs="SimSun"/>
          <w:sz w:val="21"/>
          <w:szCs w:val="21"/>
          <w:spacing w:val="-34"/>
        </w:rPr>
        <w:t xml:space="preserve"> </w:t>
      </w:r>
      <w:r>
        <w:rPr>
          <w:rFonts w:ascii="SimSun" w:hAnsi="SimSun" w:eastAsia="SimSun" w:cs="SimSun"/>
          <w:sz w:val="21"/>
          <w:szCs w:val="21"/>
          <w:spacing w:val="-5"/>
        </w:rPr>
        <w:t>科</w:t>
      </w:r>
      <w:r>
        <w:rPr>
          <w:rFonts w:ascii="SimSun" w:hAnsi="SimSun" w:eastAsia="SimSun" w:cs="SimSun"/>
          <w:sz w:val="21"/>
          <w:szCs w:val="21"/>
          <w:spacing w:val="-6"/>
        </w:rPr>
        <w:t>技之于金融,  </w:t>
      </w:r>
      <w:r>
        <w:rPr>
          <w:rFonts w:ascii="SimSun" w:hAnsi="SimSun" w:eastAsia="SimSun" w:cs="SimSun"/>
          <w:sz w:val="21"/>
          <w:szCs w:val="21"/>
          <w:spacing w:val="-4"/>
        </w:rPr>
        <w:t>不是简单化的赋能或加成,</w:t>
      </w:r>
      <w:r>
        <w:rPr>
          <w:rFonts w:ascii="SimSun" w:hAnsi="SimSun" w:eastAsia="SimSun" w:cs="SimSun"/>
          <w:sz w:val="21"/>
          <w:szCs w:val="21"/>
          <w:spacing w:val="-31"/>
        </w:rPr>
        <w:t xml:space="preserve"> </w:t>
      </w:r>
      <w:r>
        <w:rPr>
          <w:rFonts w:ascii="SimSun" w:hAnsi="SimSun" w:eastAsia="SimSun" w:cs="SimSun"/>
          <w:sz w:val="21"/>
          <w:szCs w:val="21"/>
          <w:spacing w:val="-4"/>
        </w:rPr>
        <w:t>更是革命性的再造与重塑。我们强化顶层设计,</w:t>
      </w:r>
      <w:r>
        <w:rPr>
          <w:rFonts w:ascii="SimSun" w:hAnsi="SimSun" w:eastAsia="SimSun" w:cs="SimSun"/>
          <w:sz w:val="21"/>
          <w:szCs w:val="21"/>
          <w:spacing w:val="-45"/>
        </w:rPr>
        <w:t xml:space="preserve"> </w:t>
      </w:r>
      <w:r>
        <w:rPr>
          <w:rFonts w:ascii="SimSun" w:hAnsi="SimSun" w:eastAsia="SimSun" w:cs="SimSun"/>
          <w:sz w:val="21"/>
          <w:szCs w:val="21"/>
          <w:spacing w:val="-4"/>
        </w:rPr>
        <w:t>加速整编金融科技整体作战力。</w:t>
      </w:r>
      <w:r>
        <w:rPr>
          <w:rFonts w:ascii="SimSun" w:hAnsi="SimSun" w:eastAsia="SimSun" w:cs="SimSun"/>
          <w:sz w:val="21"/>
          <w:szCs w:val="21"/>
        </w:rPr>
        <w:t xml:space="preserve"> </w:t>
      </w:r>
      <w:r>
        <w:rPr>
          <w:rFonts w:ascii="SimSun" w:hAnsi="SimSun" w:eastAsia="SimSun" w:cs="SimSun"/>
          <w:sz w:val="21"/>
          <w:szCs w:val="21"/>
          <w:spacing w:val="2"/>
        </w:rPr>
        <w:t>制定"十四五"</w:t>
      </w:r>
      <w:r>
        <w:rPr>
          <w:rFonts w:ascii="SimSun" w:hAnsi="SimSun" w:eastAsia="SimSun" w:cs="SimSun"/>
          <w:sz w:val="21"/>
          <w:szCs w:val="21"/>
          <w:spacing w:val="-22"/>
        </w:rPr>
        <w:t xml:space="preserve"> </w:t>
      </w:r>
      <w:r>
        <w:rPr>
          <w:rFonts w:ascii="SimSun" w:hAnsi="SimSun" w:eastAsia="SimSun" w:cs="SimSun"/>
          <w:sz w:val="21"/>
          <w:szCs w:val="21"/>
          <w:spacing w:val="2"/>
        </w:rPr>
        <w:t>时期金融科技发展规划, 配套推出集</w:t>
      </w:r>
      <w:r>
        <w:rPr>
          <w:rFonts w:ascii="SimSun" w:hAnsi="SimSun" w:eastAsia="SimSun" w:cs="SimSun"/>
          <w:sz w:val="21"/>
          <w:szCs w:val="21"/>
          <w:spacing w:val="1"/>
        </w:rPr>
        <w:t>团数字化转型方案,</w:t>
      </w:r>
      <w:r>
        <w:rPr>
          <w:rFonts w:ascii="SimSun" w:hAnsi="SimSun" w:eastAsia="SimSun" w:cs="SimSun"/>
          <w:sz w:val="21"/>
          <w:szCs w:val="21"/>
          <w:spacing w:val="29"/>
        </w:rPr>
        <w:t xml:space="preserve"> </w:t>
      </w:r>
      <w:r>
        <w:rPr>
          <w:rFonts w:ascii="SimSun" w:hAnsi="SimSun" w:eastAsia="SimSun" w:cs="SimSun"/>
          <w:sz w:val="21"/>
          <w:szCs w:val="21"/>
          <w:spacing w:val="1"/>
        </w:rPr>
        <w:t>统一清晰的金融科技发展蓝图基</w:t>
      </w:r>
      <w:r>
        <w:rPr>
          <w:rFonts w:ascii="SimSun" w:hAnsi="SimSun" w:eastAsia="SimSun" w:cs="SimSun"/>
          <w:sz w:val="21"/>
          <w:szCs w:val="21"/>
        </w:rPr>
        <w:t xml:space="preserve"> </w:t>
      </w:r>
      <w:r>
        <w:rPr>
          <w:rFonts w:ascii="SimSun" w:hAnsi="SimSun" w:eastAsia="SimSun" w:cs="SimSun"/>
          <w:sz w:val="21"/>
          <w:szCs w:val="21"/>
          <w:spacing w:val="2"/>
        </w:rPr>
        <w:t>本成型。规划落地"三中心、五分行"</w:t>
      </w:r>
      <w:r>
        <w:rPr>
          <w:rFonts w:ascii="SimSun" w:hAnsi="SimSun" w:eastAsia="SimSun" w:cs="SimSun"/>
          <w:sz w:val="21"/>
          <w:szCs w:val="21"/>
          <w:spacing w:val="-29"/>
        </w:rPr>
        <w:t xml:space="preserve"> </w:t>
      </w:r>
      <w:r>
        <w:rPr>
          <w:rFonts w:ascii="SimSun" w:hAnsi="SimSun" w:eastAsia="SimSun" w:cs="SimSun"/>
          <w:sz w:val="21"/>
          <w:szCs w:val="21"/>
          <w:spacing w:val="2"/>
        </w:rPr>
        <w:t>研发矩阵,</w:t>
      </w:r>
      <w:r>
        <w:rPr>
          <w:rFonts w:ascii="SimSun" w:hAnsi="SimSun" w:eastAsia="SimSun" w:cs="SimSun"/>
          <w:sz w:val="21"/>
          <w:szCs w:val="21"/>
          <w:spacing w:val="30"/>
        </w:rPr>
        <w:t xml:space="preserve"> </w:t>
      </w:r>
      <w:r>
        <w:rPr>
          <w:rFonts w:ascii="SimSun" w:hAnsi="SimSun" w:eastAsia="SimSun" w:cs="SimSun"/>
          <w:sz w:val="21"/>
          <w:szCs w:val="21"/>
          <w:spacing w:val="2"/>
        </w:rPr>
        <w:t>系统推进企业</w:t>
      </w:r>
      <w:r>
        <w:rPr>
          <w:rFonts w:ascii="SimSun" w:hAnsi="SimSun" w:eastAsia="SimSun" w:cs="SimSun"/>
          <w:sz w:val="21"/>
          <w:szCs w:val="21"/>
          <w:spacing w:val="1"/>
        </w:rPr>
        <w:t>级架构、数据中台、营销中台、风控中台</w:t>
      </w:r>
      <w:r>
        <w:rPr>
          <w:rFonts w:ascii="SimSun" w:hAnsi="SimSun" w:eastAsia="SimSun" w:cs="SimSun"/>
          <w:sz w:val="21"/>
          <w:szCs w:val="21"/>
        </w:rPr>
        <w:t xml:space="preserve"> </w:t>
      </w:r>
      <w:r>
        <w:rPr>
          <w:rFonts w:ascii="SimSun" w:hAnsi="SimSun" w:eastAsia="SimSun" w:cs="SimSun"/>
          <w:sz w:val="21"/>
          <w:szCs w:val="21"/>
          <w:spacing w:val="-1"/>
        </w:rPr>
        <w:t>和运营中台建设, 优化打造集约化、智能化、生态化客户服务体系,</w:t>
      </w:r>
      <w:r>
        <w:rPr>
          <w:rFonts w:ascii="SimSun" w:hAnsi="SimSun" w:eastAsia="SimSun" w:cs="SimSun"/>
          <w:sz w:val="21"/>
          <w:szCs w:val="21"/>
          <w:spacing w:val="29"/>
        </w:rPr>
        <w:t xml:space="preserve"> </w:t>
      </w:r>
      <w:r>
        <w:rPr>
          <w:rFonts w:ascii="SimSun" w:hAnsi="SimSun" w:eastAsia="SimSun" w:cs="SimSun"/>
          <w:sz w:val="21"/>
          <w:szCs w:val="21"/>
          <w:spacing w:val="-1"/>
        </w:rPr>
        <w:t>数字化技术底座逐步夯</w:t>
      </w:r>
      <w:r>
        <w:rPr>
          <w:rFonts w:ascii="SimSun" w:hAnsi="SimSun" w:eastAsia="SimSun" w:cs="SimSun"/>
          <w:sz w:val="21"/>
          <w:szCs w:val="21"/>
          <w:spacing w:val="-2"/>
        </w:rPr>
        <w:t>实。我们深耕</w:t>
      </w:r>
      <w:r>
        <w:rPr>
          <w:rFonts w:ascii="SimSun" w:hAnsi="SimSun" w:eastAsia="SimSun" w:cs="SimSun"/>
          <w:sz w:val="21"/>
          <w:szCs w:val="21"/>
        </w:rPr>
        <w:t xml:space="preserve"> </w:t>
      </w:r>
      <w:r>
        <w:rPr>
          <w:rFonts w:ascii="SimSun" w:hAnsi="SimSun" w:eastAsia="SimSun" w:cs="SimSun"/>
          <w:sz w:val="21"/>
          <w:szCs w:val="21"/>
          <w:spacing w:val="2"/>
        </w:rPr>
        <w:t>场景建设, 持续拓维业务技术双向融合。充分利用上海主场的前沿创新场景, 扩大"一件事"</w:t>
      </w:r>
      <w:r>
        <w:rPr>
          <w:rFonts w:ascii="SimSun" w:hAnsi="SimSun" w:eastAsia="SimSun" w:cs="SimSun"/>
          <w:sz w:val="21"/>
          <w:szCs w:val="21"/>
          <w:spacing w:val="-15"/>
        </w:rPr>
        <w:t xml:space="preserve"> </w:t>
      </w:r>
      <w:r>
        <w:rPr>
          <w:rFonts w:ascii="SimSun" w:hAnsi="SimSun" w:eastAsia="SimSun" w:cs="SimSun"/>
          <w:sz w:val="21"/>
          <w:szCs w:val="21"/>
          <w:spacing w:val="2"/>
        </w:rPr>
        <w:t>模式的应用</w:t>
      </w:r>
      <w:r>
        <w:rPr>
          <w:rFonts w:ascii="SimSun" w:hAnsi="SimSun" w:eastAsia="SimSun" w:cs="SimSun"/>
          <w:sz w:val="21"/>
          <w:szCs w:val="21"/>
        </w:rPr>
        <w:t xml:space="preserve"> </w:t>
      </w:r>
      <w:r>
        <w:rPr>
          <w:rFonts w:ascii="SimSun" w:hAnsi="SimSun" w:eastAsia="SimSun" w:cs="SimSun"/>
          <w:sz w:val="21"/>
          <w:szCs w:val="21"/>
          <w:spacing w:val="1"/>
        </w:rPr>
        <w:t>覆盖面, 产业链金融累计增幅</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1"/>
        </w:rPr>
        <w:t>41.92%</w:t>
      </w:r>
      <w:r>
        <w:rPr>
          <w:rFonts w:ascii="SimSun" w:hAnsi="SimSun" w:eastAsia="SimSun" w:cs="SimSun"/>
          <w:sz w:val="21"/>
          <w:szCs w:val="21"/>
          <w:spacing w:val="1"/>
        </w:rPr>
        <w:t>; 医疗付费一件事在全国</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1"/>
        </w:rPr>
        <w:t>29 </w:t>
      </w:r>
      <w:r>
        <w:rPr>
          <w:rFonts w:ascii="SimSun" w:hAnsi="SimSun" w:eastAsia="SimSun" w:cs="SimSun"/>
          <w:sz w:val="21"/>
          <w:szCs w:val="21"/>
          <w:spacing w:val="1"/>
        </w:rPr>
        <w:t>家省直分行渐次落地</w:t>
      </w:r>
      <w:r>
        <w:rPr>
          <w:rFonts w:ascii="SimSun" w:hAnsi="SimSun" w:eastAsia="SimSun" w:cs="SimSun"/>
          <w:sz w:val="21"/>
          <w:szCs w:val="21"/>
        </w:rPr>
        <w:t>;"交政通"</w:t>
      </w:r>
      <w:r>
        <w:rPr>
          <w:rFonts w:ascii="SimSun" w:hAnsi="SimSun" w:eastAsia="SimSun" w:cs="SimSun"/>
          <w:sz w:val="21"/>
          <w:szCs w:val="21"/>
          <w:spacing w:val="-47"/>
        </w:rPr>
        <w:t xml:space="preserve"> </w:t>
      </w:r>
      <w:r>
        <w:rPr>
          <w:rFonts w:ascii="SimSun" w:hAnsi="SimSun" w:eastAsia="SimSun" w:cs="SimSun"/>
          <w:sz w:val="21"/>
          <w:szCs w:val="21"/>
        </w:rPr>
        <w:t>率先实 </w:t>
      </w:r>
      <w:r>
        <w:rPr>
          <w:rFonts w:ascii="SimSun" w:hAnsi="SimSun" w:eastAsia="SimSun" w:cs="SimSun"/>
          <w:sz w:val="21"/>
          <w:szCs w:val="21"/>
          <w:spacing w:val="2"/>
        </w:rPr>
        <w:t>现长三角区域网点"全覆盖"; 个人手机银行</w:t>
      </w:r>
      <w:r>
        <w:rPr>
          <w:rFonts w:ascii="SimSun" w:hAnsi="SimSun" w:eastAsia="SimSun" w:cs="SimSun"/>
          <w:sz w:val="21"/>
          <w:szCs w:val="21"/>
          <w:spacing w:val="-45"/>
        </w:rPr>
        <w:t xml:space="preserve"> </w:t>
      </w:r>
      <w:r>
        <w:rPr>
          <w:rFonts w:ascii="Times New Roman" w:hAnsi="Times New Roman" w:eastAsia="Times New Roman" w:cs="Times New Roman"/>
          <w:sz w:val="21"/>
          <w:szCs w:val="21"/>
          <w:spacing w:val="1"/>
        </w:rPr>
        <w:t>7.0</w:t>
      </w:r>
      <w:r>
        <w:rPr>
          <w:rFonts w:ascii="SimSun" w:hAnsi="SimSun" w:eastAsia="SimSun" w:cs="SimSun"/>
          <w:sz w:val="21"/>
          <w:szCs w:val="21"/>
          <w:spacing w:val="1"/>
        </w:rPr>
        <w:t>、新版企业网银焕新上线; 人民币跨境支付系统标准收发</w:t>
      </w:r>
      <w:r>
        <w:rPr>
          <w:rFonts w:ascii="SimSun" w:hAnsi="SimSun" w:eastAsia="SimSun" w:cs="SimSun"/>
          <w:sz w:val="21"/>
          <w:szCs w:val="21"/>
        </w:rPr>
        <w:t xml:space="preserve"> </w:t>
      </w:r>
      <w:r>
        <w:rPr>
          <w:rFonts w:ascii="SimSun" w:hAnsi="SimSun" w:eastAsia="SimSun" w:cs="SimSun"/>
          <w:sz w:val="21"/>
          <w:szCs w:val="21"/>
          <w:spacing w:val="2"/>
        </w:rPr>
        <w:t>器客户数稳居市场首位; 为多边央行数字货币桥项目贡献高效率、低</w:t>
      </w:r>
      <w:r>
        <w:rPr>
          <w:rFonts w:ascii="SimSun" w:hAnsi="SimSun" w:eastAsia="SimSun" w:cs="SimSun"/>
          <w:sz w:val="21"/>
          <w:szCs w:val="21"/>
          <w:spacing w:val="1"/>
        </w:rPr>
        <w:t>成本、强可扩展性的跨境支付"交行</w:t>
      </w:r>
      <w:r>
        <w:rPr>
          <w:rFonts w:ascii="SimSun" w:hAnsi="SimSun" w:eastAsia="SimSun" w:cs="SimSun"/>
          <w:sz w:val="21"/>
          <w:szCs w:val="21"/>
        </w:rPr>
        <w:t xml:space="preserve"> </w:t>
      </w:r>
      <w:r>
        <w:rPr>
          <w:rFonts w:ascii="SimSun" w:hAnsi="SimSun" w:eastAsia="SimSun" w:cs="SimSun"/>
          <w:sz w:val="21"/>
          <w:szCs w:val="21"/>
          <w:spacing w:val="7"/>
        </w:rPr>
        <w:t>方案"。</w:t>
      </w:r>
    </w:p>
    <w:p>
      <w:pPr>
        <w:ind w:firstLine="423"/>
        <w:spacing w:before="309" w:line="304" w:lineRule="auto"/>
        <w:rPr>
          <w:rFonts w:ascii="SimSun" w:hAnsi="SimSun" w:eastAsia="SimSun" w:cs="SimSun"/>
          <w:sz w:val="21"/>
          <w:szCs w:val="21"/>
        </w:rPr>
      </w:pPr>
      <w:r>
        <w:rPr>
          <w:rFonts w:ascii="SimSun" w:hAnsi="SimSun" w:eastAsia="SimSun" w:cs="SimSun"/>
          <w:sz w:val="21"/>
          <w:szCs w:val="21"/>
          <w:b/>
          <w:bCs/>
          <w:spacing w:val="6"/>
        </w:rPr>
        <w:t>这一年,</w:t>
      </w:r>
      <w:r>
        <w:rPr>
          <w:rFonts w:ascii="SimSun" w:hAnsi="SimSun" w:eastAsia="SimSun" w:cs="SimSun"/>
          <w:sz w:val="21"/>
          <w:szCs w:val="21"/>
          <w:spacing w:val="48"/>
        </w:rPr>
        <w:t xml:space="preserve"> </w:t>
      </w:r>
      <w:r>
        <w:rPr>
          <w:rFonts w:ascii="SimSun" w:hAnsi="SimSun" w:eastAsia="SimSun" w:cs="SimSun"/>
          <w:sz w:val="21"/>
          <w:szCs w:val="21"/>
          <w:b/>
          <w:bCs/>
          <w:spacing w:val="6"/>
        </w:rPr>
        <w:t>我们迎来资产质量攻坚战全胜收官,"穿越周期"的发展能力更趋坚实。</w:t>
      </w:r>
      <w:r>
        <w:rPr>
          <w:rFonts w:ascii="SimSun" w:hAnsi="SimSun" w:eastAsia="SimSun" w:cs="SimSun"/>
          <w:sz w:val="21"/>
          <w:szCs w:val="21"/>
          <w:spacing w:val="6"/>
        </w:rPr>
        <w:t>我们坚信,风险经</w:t>
      </w:r>
      <w:r>
        <w:rPr>
          <w:rFonts w:ascii="SimSun" w:hAnsi="SimSun" w:eastAsia="SimSun" w:cs="SimSun"/>
          <w:sz w:val="21"/>
          <w:szCs w:val="21"/>
        </w:rPr>
        <w:t xml:space="preserve"> </w:t>
      </w:r>
      <w:r>
        <w:rPr>
          <w:rFonts w:ascii="SimSun" w:hAnsi="SimSun" w:eastAsia="SimSun" w:cs="SimSun"/>
          <w:sz w:val="21"/>
          <w:szCs w:val="21"/>
          <w:spacing w:val="-1"/>
        </w:rPr>
        <w:t>营能力是银行平抑周期波动、实现可持续发展的核心能力。基于这一核心价值观,</w:t>
      </w:r>
      <w:r>
        <w:rPr>
          <w:rFonts w:ascii="SimSun" w:hAnsi="SimSun" w:eastAsia="SimSun" w:cs="SimSun"/>
          <w:sz w:val="21"/>
          <w:szCs w:val="21"/>
          <w:spacing w:val="33"/>
        </w:rPr>
        <w:t xml:space="preserve"> </w:t>
      </w:r>
      <w:r>
        <w:rPr>
          <w:rFonts w:ascii="SimSun" w:hAnsi="SimSun" w:eastAsia="SimSun" w:cs="SimSun"/>
          <w:sz w:val="21"/>
          <w:szCs w:val="21"/>
          <w:spacing w:val="-1"/>
        </w:rPr>
        <w:t>交行自 </w:t>
      </w:r>
      <w:r>
        <w:rPr>
          <w:rFonts w:ascii="Times New Roman" w:hAnsi="Times New Roman" w:eastAsia="Times New Roman" w:cs="Times New Roman"/>
          <w:sz w:val="21"/>
          <w:szCs w:val="21"/>
          <w:spacing w:val="-1"/>
        </w:rPr>
        <w:t>2</w:t>
      </w:r>
      <w:r>
        <w:rPr>
          <w:rFonts w:ascii="Times New Roman" w:hAnsi="Times New Roman" w:eastAsia="Times New Roman" w:cs="Times New Roman"/>
          <w:sz w:val="21"/>
          <w:szCs w:val="21"/>
          <w:spacing w:val="-2"/>
        </w:rPr>
        <w:t>020</w:t>
      </w:r>
      <w:r>
        <w:rPr>
          <w:rFonts w:ascii="Times New Roman" w:hAnsi="Times New Roman" w:eastAsia="Times New Roman" w:cs="Times New Roman"/>
          <w:sz w:val="21"/>
          <w:szCs w:val="21"/>
          <w:spacing w:val="50"/>
          <w:w w:val="101"/>
        </w:rPr>
        <w:t xml:space="preserve"> </w:t>
      </w:r>
      <w:r>
        <w:rPr>
          <w:rFonts w:ascii="SimSun" w:hAnsi="SimSun" w:eastAsia="SimSun" w:cs="SimSun"/>
          <w:sz w:val="21"/>
          <w:szCs w:val="21"/>
          <w:spacing w:val="-2"/>
        </w:rPr>
        <w:t>年启动为</w:t>
      </w:r>
      <w:r>
        <w:rPr>
          <w:rFonts w:ascii="SimSun" w:hAnsi="SimSun" w:eastAsia="SimSun" w:cs="SimSun"/>
          <w:sz w:val="21"/>
          <w:szCs w:val="21"/>
        </w:rPr>
        <w:t xml:space="preserve"> </w:t>
      </w:r>
      <w:r>
        <w:rPr>
          <w:rFonts w:ascii="SimSun" w:hAnsi="SimSun" w:eastAsia="SimSun" w:cs="SimSun"/>
          <w:sz w:val="21"/>
          <w:szCs w:val="21"/>
          <w:spacing w:val="-1"/>
        </w:rPr>
        <w:t>期三年的资产质量攻坚战。这三年期间,</w:t>
      </w:r>
      <w:r>
        <w:rPr>
          <w:rFonts w:ascii="SimSun" w:hAnsi="SimSun" w:eastAsia="SimSun" w:cs="SimSun"/>
          <w:sz w:val="21"/>
          <w:szCs w:val="21"/>
          <w:spacing w:val="28"/>
        </w:rPr>
        <w:t xml:space="preserve"> </w:t>
      </w:r>
      <w:r>
        <w:rPr>
          <w:rFonts w:ascii="SimSun" w:hAnsi="SimSun" w:eastAsia="SimSun" w:cs="SimSun"/>
          <w:sz w:val="21"/>
          <w:szCs w:val="21"/>
          <w:spacing w:val="-1"/>
        </w:rPr>
        <w:t>正值宏观经济下行压力增大叠加世纪疫情暴发, 对</w:t>
      </w:r>
      <w:r>
        <w:rPr>
          <w:rFonts w:ascii="SimSun" w:hAnsi="SimSun" w:eastAsia="SimSun" w:cs="SimSun"/>
          <w:sz w:val="21"/>
          <w:szCs w:val="21"/>
          <w:spacing w:val="-2"/>
        </w:rPr>
        <w:t>防控化解金融</w:t>
      </w:r>
      <w:r>
        <w:rPr>
          <w:rFonts w:ascii="SimSun" w:hAnsi="SimSun" w:eastAsia="SimSun" w:cs="SimSun"/>
          <w:sz w:val="21"/>
          <w:szCs w:val="21"/>
        </w:rPr>
        <w:t xml:space="preserve"> </w:t>
      </w:r>
      <w:r>
        <w:rPr>
          <w:rFonts w:ascii="SimSun" w:hAnsi="SimSun" w:eastAsia="SimSun" w:cs="SimSun"/>
          <w:sz w:val="21"/>
          <w:szCs w:val="21"/>
          <w:spacing w:val="1"/>
        </w:rPr>
        <w:t>风险带来极大挑战和考验。我们克服种种不利因素,</w:t>
      </w:r>
      <w:r>
        <w:rPr>
          <w:rFonts w:ascii="SimSun" w:hAnsi="SimSun" w:eastAsia="SimSun" w:cs="SimSun"/>
          <w:sz w:val="21"/>
          <w:szCs w:val="21"/>
          <w:spacing w:val="35"/>
        </w:rPr>
        <w:t xml:space="preserve"> </w:t>
      </w:r>
      <w:r>
        <w:rPr>
          <w:rFonts w:ascii="SimSun" w:hAnsi="SimSun" w:eastAsia="SimSun" w:cs="SimSun"/>
          <w:sz w:val="21"/>
          <w:szCs w:val="21"/>
          <w:spacing w:val="1"/>
        </w:rPr>
        <w:t>坚定落实"控新增, 优存量"</w:t>
      </w:r>
      <w:r>
        <w:rPr>
          <w:rFonts w:ascii="SimSun" w:hAnsi="SimSun" w:eastAsia="SimSun" w:cs="SimSun"/>
          <w:sz w:val="21"/>
          <w:szCs w:val="21"/>
          <w:spacing w:val="-29"/>
        </w:rPr>
        <w:t xml:space="preserve"> </w:t>
      </w:r>
      <w:r>
        <w:rPr>
          <w:rFonts w:ascii="SimSun" w:hAnsi="SimSun" w:eastAsia="SimSun" w:cs="SimSun"/>
          <w:sz w:val="21"/>
          <w:szCs w:val="21"/>
          <w:spacing w:val="1"/>
        </w:rPr>
        <w:t>策略,</w:t>
      </w:r>
      <w:r>
        <w:rPr>
          <w:rFonts w:ascii="SimSun" w:hAnsi="SimSun" w:eastAsia="SimSun" w:cs="SimSun"/>
          <w:sz w:val="21"/>
          <w:szCs w:val="21"/>
          <w:spacing w:val="27"/>
        </w:rPr>
        <w:t xml:space="preserve"> </w:t>
      </w:r>
      <w:r>
        <w:rPr>
          <w:rFonts w:ascii="SimSun" w:hAnsi="SimSun" w:eastAsia="SimSun" w:cs="SimSun"/>
          <w:sz w:val="21"/>
          <w:szCs w:val="21"/>
          <w:spacing w:val="1"/>
        </w:rPr>
        <w:t>终于迎来三年资</w:t>
      </w:r>
      <w:r>
        <w:rPr>
          <w:rFonts w:ascii="SimSun" w:hAnsi="SimSun" w:eastAsia="SimSun" w:cs="SimSun"/>
          <w:sz w:val="21"/>
          <w:szCs w:val="21"/>
        </w:rPr>
        <w:t xml:space="preserve"> </w:t>
      </w:r>
      <w:r>
        <w:rPr>
          <w:rFonts w:ascii="SimSun" w:hAnsi="SimSun" w:eastAsia="SimSun" w:cs="SimSun"/>
          <w:sz w:val="21"/>
          <w:szCs w:val="21"/>
          <w:spacing w:val="-1"/>
        </w:rPr>
        <w:t>产质量攻坚战全胜收官。</w:t>
      </w:r>
      <w:r>
        <w:rPr>
          <w:rFonts w:ascii="SimSun" w:hAnsi="SimSun" w:eastAsia="SimSun" w:cs="SimSun"/>
          <w:sz w:val="21"/>
          <w:szCs w:val="21"/>
          <w:spacing w:val="-36"/>
        </w:rPr>
        <w:t xml:space="preserve"> </w:t>
      </w:r>
      <w:r>
        <w:rPr>
          <w:rFonts w:ascii="Times New Roman" w:hAnsi="Times New Roman" w:eastAsia="Times New Roman" w:cs="Times New Roman"/>
          <w:sz w:val="21"/>
          <w:szCs w:val="21"/>
          <w:spacing w:val="-1"/>
        </w:rPr>
        <w:t>2022</w:t>
      </w:r>
      <w:r>
        <w:rPr>
          <w:rFonts w:ascii="Times New Roman" w:hAnsi="Times New Roman" w:eastAsia="Times New Roman" w:cs="Times New Roman"/>
          <w:sz w:val="21"/>
          <w:szCs w:val="21"/>
          <w:spacing w:val="29"/>
          <w:w w:val="101"/>
        </w:rPr>
        <w:t xml:space="preserve"> </w:t>
      </w:r>
      <w:r>
        <w:rPr>
          <w:rFonts w:ascii="SimSun" w:hAnsi="SimSun" w:eastAsia="SimSun" w:cs="SimSun"/>
          <w:sz w:val="21"/>
          <w:szCs w:val="21"/>
          <w:spacing w:val="-1"/>
        </w:rPr>
        <w:t>年末本集团不良贷款率 </w:t>
      </w:r>
      <w:r>
        <w:rPr>
          <w:rFonts w:ascii="Times New Roman" w:hAnsi="Times New Roman" w:eastAsia="Times New Roman" w:cs="Times New Roman"/>
          <w:sz w:val="21"/>
          <w:szCs w:val="21"/>
          <w:spacing w:val="-1"/>
        </w:rPr>
        <w:t>1.35%</w:t>
      </w:r>
      <w:r>
        <w:rPr>
          <w:rFonts w:ascii="SimSun" w:hAnsi="SimSun" w:eastAsia="SimSun" w:cs="SimSun"/>
          <w:sz w:val="21"/>
          <w:szCs w:val="21"/>
          <w:spacing w:val="-1"/>
        </w:rPr>
        <w:t>、逾期贷款率 </w:t>
      </w:r>
      <w:r>
        <w:rPr>
          <w:rFonts w:ascii="Times New Roman" w:hAnsi="Times New Roman" w:eastAsia="Times New Roman" w:cs="Times New Roman"/>
          <w:sz w:val="21"/>
          <w:szCs w:val="21"/>
          <w:spacing w:val="-1"/>
        </w:rPr>
        <w:t>1.16%</w:t>
      </w:r>
      <w:r>
        <w:rPr>
          <w:rFonts w:ascii="SimSun" w:hAnsi="SimSun" w:eastAsia="SimSun" w:cs="SimSun"/>
          <w:sz w:val="21"/>
          <w:szCs w:val="21"/>
          <w:spacing w:val="-1"/>
        </w:rPr>
        <w:t>,均降至</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1"/>
        </w:rPr>
        <w:t>2015</w:t>
      </w:r>
      <w:r>
        <w:rPr>
          <w:rFonts w:ascii="Times New Roman" w:hAnsi="Times New Roman" w:eastAsia="Times New Roman" w:cs="Times New Roman"/>
          <w:sz w:val="21"/>
          <w:szCs w:val="21"/>
          <w:spacing w:val="28"/>
          <w:w w:val="101"/>
        </w:rPr>
        <w:t xml:space="preserve"> </w:t>
      </w:r>
      <w:r>
        <w:rPr>
          <w:rFonts w:ascii="SimSun" w:hAnsi="SimSun" w:eastAsia="SimSun" w:cs="SimSun"/>
          <w:sz w:val="21"/>
          <w:szCs w:val="21"/>
          <w:spacing w:val="-1"/>
        </w:rPr>
        <w:t>年</w:t>
      </w:r>
      <w:r>
        <w:rPr>
          <w:rFonts w:ascii="SimSun" w:hAnsi="SimSun" w:eastAsia="SimSun" w:cs="SimSun"/>
          <w:sz w:val="21"/>
          <w:szCs w:val="21"/>
          <w:spacing w:val="-2"/>
        </w:rPr>
        <w:t>以来最</w:t>
      </w:r>
      <w:r>
        <w:rPr>
          <w:rFonts w:ascii="SimSun" w:hAnsi="SimSun" w:eastAsia="SimSun" w:cs="SimSun"/>
          <w:sz w:val="21"/>
          <w:szCs w:val="21"/>
        </w:rPr>
        <w:t xml:space="preserve"> </w:t>
      </w:r>
      <w:r>
        <w:rPr>
          <w:rFonts w:ascii="SimSun" w:hAnsi="SimSun" w:eastAsia="SimSun" w:cs="SimSun"/>
          <w:sz w:val="21"/>
          <w:szCs w:val="21"/>
        </w:rPr>
        <w:t>好水平;拨备覆盖率显著提升至 </w:t>
      </w:r>
      <w:r>
        <w:rPr>
          <w:rFonts w:ascii="Times New Roman" w:hAnsi="Times New Roman" w:eastAsia="Times New Roman" w:cs="Times New Roman"/>
          <w:sz w:val="21"/>
          <w:szCs w:val="21"/>
        </w:rPr>
        <w:t>180.68%</w:t>
      </w:r>
      <w:r>
        <w:rPr>
          <w:rFonts w:ascii="SimSun" w:hAnsi="SimSun" w:eastAsia="SimSun" w:cs="SimSun"/>
          <w:sz w:val="21"/>
          <w:szCs w:val="21"/>
        </w:rPr>
        <w:t>。资产质量指标明显好转的背后,</w:t>
      </w:r>
      <w:r>
        <w:rPr>
          <w:rFonts w:ascii="SimSun" w:hAnsi="SimSun" w:eastAsia="SimSun" w:cs="SimSun"/>
          <w:sz w:val="21"/>
          <w:szCs w:val="21"/>
          <w:spacing w:val="33"/>
        </w:rPr>
        <w:t xml:space="preserve"> </w:t>
      </w:r>
      <w:r>
        <w:rPr>
          <w:rFonts w:ascii="SimSun" w:hAnsi="SimSun" w:eastAsia="SimSun" w:cs="SimSun"/>
          <w:sz w:val="21"/>
          <w:szCs w:val="21"/>
        </w:rPr>
        <w:t>是风险管理能力的长足进步。 </w:t>
      </w:r>
      <w:r>
        <w:rPr>
          <w:rFonts w:ascii="SimSun" w:hAnsi="SimSun" w:eastAsia="SimSun" w:cs="SimSun"/>
          <w:sz w:val="21"/>
          <w:szCs w:val="21"/>
          <w:spacing w:val="6"/>
        </w:rPr>
        <w:t>集团统一风险管理体系日趋完备,总分行、</w:t>
      </w:r>
      <w:r>
        <w:rPr>
          <w:rFonts w:ascii="SimSun" w:hAnsi="SimSun" w:eastAsia="SimSun" w:cs="SimSun"/>
          <w:sz w:val="21"/>
          <w:szCs w:val="21"/>
          <w:spacing w:val="5"/>
        </w:rPr>
        <w:t>境内外、表内外风险实现"三账同算",</w:t>
      </w:r>
      <w:r>
        <w:rPr>
          <w:rFonts w:ascii="SimSun" w:hAnsi="SimSun" w:eastAsia="SimSun" w:cs="SimSun"/>
          <w:sz w:val="21"/>
          <w:szCs w:val="21"/>
          <w:spacing w:val="33"/>
        </w:rPr>
        <w:t xml:space="preserve"> </w:t>
      </w:r>
      <w:r>
        <w:rPr>
          <w:rFonts w:ascii="SimSun" w:hAnsi="SimSun" w:eastAsia="SimSun" w:cs="SimSun"/>
          <w:sz w:val="21"/>
          <w:szCs w:val="21"/>
          <w:spacing w:val="5"/>
        </w:rPr>
        <w:t>全链条防控、全流程</w:t>
      </w:r>
      <w:r>
        <w:rPr>
          <w:rFonts w:ascii="SimSun" w:hAnsi="SimSun" w:eastAsia="SimSun" w:cs="SimSun"/>
          <w:sz w:val="21"/>
          <w:szCs w:val="21"/>
        </w:rPr>
        <w:t xml:space="preserve"> </w:t>
      </w:r>
      <w:r>
        <w:rPr>
          <w:rFonts w:ascii="SimSun" w:hAnsi="SimSun" w:eastAsia="SimSun" w:cs="SimSun"/>
          <w:sz w:val="21"/>
          <w:szCs w:val="21"/>
          <w:spacing w:val="2"/>
        </w:rPr>
        <w:t>管理、全方位监督的风险"屏障"</w:t>
      </w:r>
      <w:r>
        <w:rPr>
          <w:rFonts w:ascii="SimSun" w:hAnsi="SimSun" w:eastAsia="SimSun" w:cs="SimSun"/>
          <w:sz w:val="21"/>
          <w:szCs w:val="21"/>
          <w:spacing w:val="-32"/>
        </w:rPr>
        <w:t xml:space="preserve"> </w:t>
      </w:r>
      <w:r>
        <w:rPr>
          <w:rFonts w:ascii="SimSun" w:hAnsi="SimSun" w:eastAsia="SimSun" w:cs="SimSun"/>
          <w:sz w:val="21"/>
          <w:szCs w:val="21"/>
          <w:spacing w:val="2"/>
        </w:rPr>
        <w:t>初步建成, 数字化风险管理能力显著提升,</w:t>
      </w:r>
      <w:r>
        <w:rPr>
          <w:rFonts w:ascii="SimSun" w:hAnsi="SimSun" w:eastAsia="SimSun" w:cs="SimSun"/>
          <w:sz w:val="21"/>
          <w:szCs w:val="21"/>
          <w:spacing w:val="29"/>
        </w:rPr>
        <w:t xml:space="preserve"> </w:t>
      </w:r>
      <w:r>
        <w:rPr>
          <w:rFonts w:ascii="SimSun" w:hAnsi="SimSun" w:eastAsia="SimSun" w:cs="SimSun"/>
          <w:sz w:val="21"/>
          <w:szCs w:val="21"/>
          <w:spacing w:val="1"/>
        </w:rPr>
        <w:t>企业级监督系统、特殊名单</w:t>
      </w:r>
    </w:p>
    <w:p>
      <w:pPr>
        <w:spacing w:line="304" w:lineRule="auto"/>
        <w:sectPr>
          <w:footerReference w:type="default" r:id="rId17"/>
          <w:pgSz w:w="11907" w:h="16839"/>
          <w:pgMar w:top="1164" w:right="1128" w:bottom="1374" w:left="1140" w:header="0" w:footer="1211" w:gutter="0"/>
        </w:sectPr>
        <w:rPr>
          <w:rFonts w:ascii="SimSun" w:hAnsi="SimSun" w:eastAsia="SimSun" w:cs="SimSun"/>
          <w:sz w:val="21"/>
          <w:szCs w:val="21"/>
        </w:rPr>
      </w:pPr>
    </w:p>
    <w:p>
      <w:pPr>
        <w:ind w:left="5"/>
        <w:spacing w:before="42" w:line="218" w:lineRule="auto"/>
        <w:rPr>
          <w:rFonts w:ascii="SimSun" w:hAnsi="SimSun" w:eastAsia="SimSun" w:cs="SimSun"/>
          <w:sz w:val="21"/>
          <w:szCs w:val="21"/>
        </w:rPr>
      </w:pPr>
      <w:r>
        <w:rPr>
          <w:rFonts w:ascii="SimSun" w:hAnsi="SimSun" w:eastAsia="SimSun" w:cs="SimSun"/>
          <w:sz w:val="21"/>
          <w:szCs w:val="21"/>
          <w:spacing w:val="3"/>
        </w:rPr>
        <w:t>系统、反洗钱系统建设全速推进,为集团高质量发展奠定坚实底座。</w:t>
      </w:r>
    </w:p>
    <w:p>
      <w:pPr>
        <w:pStyle w:val="BodyText"/>
        <w:spacing w:line="244" w:lineRule="auto"/>
        <w:rPr/>
      </w:pPr>
      <w:r/>
    </w:p>
    <w:p>
      <w:pPr>
        <w:ind w:left="432"/>
        <w:spacing w:before="68" w:line="218" w:lineRule="auto"/>
        <w:rPr>
          <w:rFonts w:ascii="SimSun" w:hAnsi="SimSun" w:eastAsia="SimSun" w:cs="SimSun"/>
          <w:sz w:val="21"/>
          <w:szCs w:val="21"/>
        </w:rPr>
      </w:pPr>
      <w:r>
        <w:rPr>
          <w:rFonts w:ascii="SimSun" w:hAnsi="SimSun" w:eastAsia="SimSun" w:cs="SimSun"/>
          <w:sz w:val="21"/>
          <w:szCs w:val="21"/>
          <w:b/>
          <w:bCs/>
          <w:spacing w:val="10"/>
        </w:rPr>
        <w:t>瞻望</w:t>
      </w:r>
      <w:r>
        <w:rPr>
          <w:rFonts w:ascii="SimSun" w:hAnsi="SimSun" w:eastAsia="SimSun" w:cs="SimSun"/>
          <w:sz w:val="21"/>
          <w:szCs w:val="21"/>
          <w:spacing w:val="-35"/>
        </w:rPr>
        <w:t xml:space="preserve"> </w:t>
      </w:r>
      <w:r>
        <w:rPr>
          <w:rFonts w:ascii="Times New Roman" w:hAnsi="Times New Roman" w:eastAsia="Times New Roman" w:cs="Times New Roman"/>
          <w:sz w:val="21"/>
          <w:szCs w:val="21"/>
          <w:b/>
          <w:bCs/>
          <w:spacing w:val="10"/>
        </w:rPr>
        <w:t>2023</w:t>
      </w:r>
      <w:r>
        <w:rPr>
          <w:rFonts w:ascii="SimSun" w:hAnsi="SimSun" w:eastAsia="SimSun" w:cs="SimSun"/>
          <w:sz w:val="21"/>
          <w:szCs w:val="21"/>
          <w:b/>
          <w:bCs/>
          <w:spacing w:val="10"/>
        </w:rPr>
        <w:t>:守正创新,稳中求进</w:t>
      </w:r>
    </w:p>
    <w:p>
      <w:pPr>
        <w:pStyle w:val="BodyText"/>
        <w:spacing w:line="243" w:lineRule="auto"/>
        <w:rPr/>
      </w:pPr>
      <w:r/>
    </w:p>
    <w:p>
      <w:pPr>
        <w:ind w:left="1" w:right="74" w:firstLine="416"/>
        <w:spacing w:before="68" w:line="297" w:lineRule="auto"/>
        <w:jc w:val="both"/>
        <w:rPr>
          <w:rFonts w:ascii="SimSun" w:hAnsi="SimSun" w:eastAsia="SimSun" w:cs="SimSun"/>
          <w:sz w:val="21"/>
          <w:szCs w:val="21"/>
        </w:rPr>
      </w:pPr>
      <w:r>
        <w:rPr>
          <w:rFonts w:ascii="Times New Roman" w:hAnsi="Times New Roman" w:eastAsia="Times New Roman" w:cs="Times New Roman"/>
          <w:sz w:val="21"/>
          <w:szCs w:val="21"/>
          <w:spacing w:val="2"/>
        </w:rPr>
        <w:t>2023 </w:t>
      </w:r>
      <w:r>
        <w:rPr>
          <w:rFonts w:ascii="SimSun" w:hAnsi="SimSun" w:eastAsia="SimSun" w:cs="SimSun"/>
          <w:sz w:val="21"/>
          <w:szCs w:val="21"/>
          <w:spacing w:val="2"/>
        </w:rPr>
        <w:t>年是全面贯彻党的二十大精神的开局之年。"双百</w:t>
      </w:r>
      <w:r>
        <w:rPr>
          <w:rFonts w:ascii="SimSun" w:hAnsi="SimSun" w:eastAsia="SimSun" w:cs="SimSun"/>
          <w:sz w:val="21"/>
          <w:szCs w:val="21"/>
          <w:spacing w:val="1"/>
        </w:rPr>
        <w:t>年"的历史纵深,</w:t>
      </w:r>
      <w:r>
        <w:rPr>
          <w:rFonts w:ascii="SimSun" w:hAnsi="SimSun" w:eastAsia="SimSun" w:cs="SimSun"/>
          <w:sz w:val="21"/>
          <w:szCs w:val="21"/>
          <w:spacing w:val="-26"/>
        </w:rPr>
        <w:t xml:space="preserve"> </w:t>
      </w:r>
      <w:r>
        <w:rPr>
          <w:rFonts w:ascii="SimSun" w:hAnsi="SimSun" w:eastAsia="SimSun" w:cs="SimSun"/>
          <w:sz w:val="21"/>
          <w:szCs w:val="21"/>
          <w:spacing w:val="1"/>
        </w:rPr>
        <w:t>加之"三期叠加""三重压力" </w:t>
      </w:r>
      <w:r>
        <w:rPr>
          <w:rFonts w:ascii="SimSun" w:hAnsi="SimSun" w:eastAsia="SimSun" w:cs="SimSun"/>
          <w:sz w:val="21"/>
          <w:szCs w:val="21"/>
          <w:spacing w:val="-1"/>
        </w:rPr>
        <w:t>的现实宽度,</w:t>
      </w:r>
      <w:r>
        <w:rPr>
          <w:rFonts w:ascii="SimSun" w:hAnsi="SimSun" w:eastAsia="SimSun" w:cs="SimSun"/>
          <w:sz w:val="21"/>
          <w:szCs w:val="21"/>
          <w:spacing w:val="-25"/>
        </w:rPr>
        <w:t xml:space="preserve"> </w:t>
      </w:r>
      <w:r>
        <w:rPr>
          <w:rFonts w:ascii="SimSun" w:hAnsi="SimSun" w:eastAsia="SimSun" w:cs="SimSun"/>
          <w:sz w:val="21"/>
          <w:szCs w:val="21"/>
          <w:spacing w:val="-1"/>
        </w:rPr>
        <w:t>交织共振出远超过往的复杂经营环境。在充满光荣与梦想的新征程上,</w:t>
      </w:r>
      <w:r>
        <w:rPr>
          <w:rFonts w:ascii="SimSun" w:hAnsi="SimSun" w:eastAsia="SimSun" w:cs="SimSun"/>
          <w:sz w:val="21"/>
          <w:szCs w:val="21"/>
          <w:spacing w:val="-27"/>
        </w:rPr>
        <w:t xml:space="preserve"> </w:t>
      </w:r>
      <w:r>
        <w:rPr>
          <w:rFonts w:ascii="SimSun" w:hAnsi="SimSun" w:eastAsia="SimSun" w:cs="SimSun"/>
          <w:sz w:val="21"/>
          <w:szCs w:val="21"/>
          <w:spacing w:val="-1"/>
        </w:rPr>
        <w:t>我</w:t>
      </w:r>
      <w:r>
        <w:rPr>
          <w:rFonts w:ascii="SimSun" w:hAnsi="SimSun" w:eastAsia="SimSun" w:cs="SimSun"/>
          <w:sz w:val="21"/>
          <w:szCs w:val="21"/>
          <w:spacing w:val="-2"/>
        </w:rPr>
        <w:t>们将紧扣"高质量" </w:t>
      </w:r>
      <w:r>
        <w:rPr>
          <w:rFonts w:ascii="SimSun" w:hAnsi="SimSun" w:eastAsia="SimSun" w:cs="SimSun"/>
          <w:sz w:val="21"/>
          <w:szCs w:val="21"/>
          <w:spacing w:val="-3"/>
        </w:rPr>
        <w:t>发展主线,</w:t>
      </w:r>
      <w:r>
        <w:rPr>
          <w:rFonts w:ascii="SimSun" w:hAnsi="SimSun" w:eastAsia="SimSun" w:cs="SimSun"/>
          <w:sz w:val="21"/>
          <w:szCs w:val="21"/>
          <w:spacing w:val="38"/>
        </w:rPr>
        <w:t xml:space="preserve"> </w:t>
      </w:r>
      <w:r>
        <w:rPr>
          <w:rFonts w:ascii="SimSun" w:hAnsi="SimSun" w:eastAsia="SimSun" w:cs="SimSun"/>
          <w:sz w:val="21"/>
          <w:szCs w:val="21"/>
          <w:spacing w:val="-3"/>
        </w:rPr>
        <w:t>坚守服务实体经济这一根本,</w:t>
      </w:r>
      <w:r>
        <w:rPr>
          <w:rFonts w:ascii="SimSun" w:hAnsi="SimSun" w:eastAsia="SimSun" w:cs="SimSun"/>
          <w:sz w:val="21"/>
          <w:szCs w:val="21"/>
          <w:spacing w:val="27"/>
        </w:rPr>
        <w:t xml:space="preserve"> </w:t>
      </w:r>
      <w:r>
        <w:rPr>
          <w:rFonts w:ascii="SimSun" w:hAnsi="SimSun" w:eastAsia="SimSun" w:cs="SimSun"/>
          <w:sz w:val="21"/>
          <w:szCs w:val="21"/>
          <w:spacing w:val="-3"/>
        </w:rPr>
        <w:t>坚持价值创造这一导向,</w:t>
      </w:r>
      <w:r>
        <w:rPr>
          <w:rFonts w:ascii="SimSun" w:hAnsi="SimSun" w:eastAsia="SimSun" w:cs="SimSun"/>
          <w:sz w:val="21"/>
          <w:szCs w:val="21"/>
          <w:spacing w:val="48"/>
        </w:rPr>
        <w:t xml:space="preserve"> </w:t>
      </w:r>
      <w:r>
        <w:rPr>
          <w:rFonts w:ascii="SimSun" w:hAnsi="SimSun" w:eastAsia="SimSun" w:cs="SimSun"/>
          <w:sz w:val="21"/>
          <w:szCs w:val="21"/>
          <w:spacing w:val="-3"/>
        </w:rPr>
        <w:t>以市场化逻辑全面检验和形塑交行高质</w:t>
      </w:r>
      <w:r>
        <w:rPr>
          <w:rFonts w:ascii="SimSun" w:hAnsi="SimSun" w:eastAsia="SimSun" w:cs="SimSun"/>
          <w:sz w:val="21"/>
          <w:szCs w:val="21"/>
        </w:rPr>
        <w:t xml:space="preserve"> </w:t>
      </w:r>
      <w:r>
        <w:rPr>
          <w:rFonts w:ascii="SimSun" w:hAnsi="SimSun" w:eastAsia="SimSun" w:cs="SimSun"/>
          <w:sz w:val="21"/>
          <w:szCs w:val="21"/>
        </w:rPr>
        <w:t>量发展的质地和成色, 实现更高起点上质的有效提</w:t>
      </w:r>
      <w:r>
        <w:rPr>
          <w:rFonts w:ascii="SimSun" w:hAnsi="SimSun" w:eastAsia="SimSun" w:cs="SimSun"/>
          <w:sz w:val="21"/>
          <w:szCs w:val="21"/>
          <w:spacing w:val="-1"/>
        </w:rPr>
        <w:t>升和量的合理增长, 在服务中国式现代化进程中走好中</w:t>
      </w:r>
      <w:r>
        <w:rPr>
          <w:rFonts w:ascii="SimSun" w:hAnsi="SimSun" w:eastAsia="SimSun" w:cs="SimSun"/>
          <w:sz w:val="21"/>
          <w:szCs w:val="21"/>
        </w:rPr>
        <w:t xml:space="preserve"> </w:t>
      </w:r>
      <w:r>
        <w:rPr>
          <w:rFonts w:ascii="SimSun" w:hAnsi="SimSun" w:eastAsia="SimSun" w:cs="SimSun"/>
          <w:sz w:val="21"/>
          <w:szCs w:val="21"/>
          <w:spacing w:val="-1"/>
        </w:rPr>
        <w:t>国特色金融发展之路。</w:t>
      </w:r>
    </w:p>
    <w:p>
      <w:pPr>
        <w:ind w:right="4" w:firstLine="422"/>
        <w:spacing w:before="304" w:line="307" w:lineRule="auto"/>
        <w:rPr>
          <w:rFonts w:ascii="SimSun" w:hAnsi="SimSun" w:eastAsia="SimSun" w:cs="SimSun"/>
          <w:sz w:val="21"/>
          <w:szCs w:val="21"/>
        </w:rPr>
      </w:pPr>
      <w:r>
        <w:rPr>
          <w:rFonts w:ascii="SimSun" w:hAnsi="SimSun" w:eastAsia="SimSun" w:cs="SimSun"/>
          <w:sz w:val="21"/>
          <w:szCs w:val="21"/>
          <w:b/>
          <w:bCs/>
          <w:spacing w:val="2"/>
        </w:rPr>
        <w:t>锻造做强基本盘的韧性。</w:t>
      </w:r>
      <w:r>
        <w:rPr>
          <w:rFonts w:ascii="SimSun" w:hAnsi="SimSun" w:eastAsia="SimSun" w:cs="SimSun"/>
          <w:sz w:val="21"/>
          <w:szCs w:val="21"/>
          <w:spacing w:val="2"/>
        </w:rPr>
        <w:t>越是风高浪急,</w:t>
      </w:r>
      <w:r>
        <w:rPr>
          <w:rFonts w:ascii="SimSun" w:hAnsi="SimSun" w:eastAsia="SimSun" w:cs="SimSun"/>
          <w:sz w:val="21"/>
          <w:szCs w:val="21"/>
          <w:spacing w:val="36"/>
        </w:rPr>
        <w:t xml:space="preserve"> </w:t>
      </w:r>
      <w:r>
        <w:rPr>
          <w:rFonts w:ascii="SimSun" w:hAnsi="SimSun" w:eastAsia="SimSun" w:cs="SimSun"/>
          <w:sz w:val="21"/>
          <w:szCs w:val="21"/>
          <w:spacing w:val="2"/>
        </w:rPr>
        <w:t>越要锚定目标、坚定航向。我们将围绕"稳增长、稳就业、</w:t>
      </w:r>
      <w:r>
        <w:rPr>
          <w:rFonts w:ascii="SimSun" w:hAnsi="SimSun" w:eastAsia="SimSun" w:cs="SimSun"/>
          <w:sz w:val="21"/>
          <w:szCs w:val="21"/>
        </w:rPr>
        <w:t xml:space="preserve"> </w:t>
      </w:r>
      <w:r>
        <w:rPr>
          <w:rFonts w:ascii="SimSun" w:hAnsi="SimSun" w:eastAsia="SimSun" w:cs="SimSun"/>
          <w:sz w:val="21"/>
          <w:szCs w:val="21"/>
          <w:spacing w:val="3"/>
        </w:rPr>
        <w:t>稳物价",持续落实好稳经济一揽子政策和接续措施,</w:t>
      </w:r>
      <w:r>
        <w:rPr>
          <w:rFonts w:ascii="SimSun" w:hAnsi="SimSun" w:eastAsia="SimSun" w:cs="SimSun"/>
          <w:sz w:val="21"/>
          <w:szCs w:val="21"/>
          <w:spacing w:val="34"/>
        </w:rPr>
        <w:t xml:space="preserve"> </w:t>
      </w:r>
      <w:r>
        <w:rPr>
          <w:rFonts w:ascii="SimSun" w:hAnsi="SimSun" w:eastAsia="SimSun" w:cs="SimSun"/>
          <w:sz w:val="21"/>
          <w:szCs w:val="21"/>
          <w:spacing w:val="3"/>
        </w:rPr>
        <w:t>找准实施扩大内需战略和深化供给侧结构性改</w:t>
      </w:r>
      <w:r>
        <w:rPr>
          <w:rFonts w:ascii="SimSun" w:hAnsi="SimSun" w:eastAsia="SimSun" w:cs="SimSun"/>
          <w:sz w:val="21"/>
          <w:szCs w:val="21"/>
          <w:spacing w:val="2"/>
        </w:rPr>
        <w:t>革的 </w:t>
      </w:r>
      <w:r>
        <w:rPr>
          <w:rFonts w:ascii="SimSun" w:hAnsi="SimSun" w:eastAsia="SimSun" w:cs="SimSun"/>
          <w:sz w:val="21"/>
          <w:szCs w:val="21"/>
          <w:spacing w:val="-2"/>
        </w:rPr>
        <w:t>结合点, 持续加大足量优质金融供给,</w:t>
      </w:r>
      <w:r>
        <w:rPr>
          <w:rFonts w:ascii="SimSun" w:hAnsi="SimSun" w:eastAsia="SimSun" w:cs="SimSun"/>
          <w:sz w:val="21"/>
          <w:szCs w:val="21"/>
          <w:spacing w:val="58"/>
        </w:rPr>
        <w:t xml:space="preserve"> </w:t>
      </w:r>
      <w:r>
        <w:rPr>
          <w:rFonts w:ascii="SimSun" w:hAnsi="SimSun" w:eastAsia="SimSun" w:cs="SimSun"/>
          <w:sz w:val="21"/>
          <w:szCs w:val="21"/>
          <w:spacing w:val="-2"/>
        </w:rPr>
        <w:t>以自身高质量发展的坚定性和确定性为经济运行的整体性好转保驾 </w:t>
      </w:r>
      <w:r>
        <w:rPr>
          <w:rFonts w:ascii="SimSun" w:hAnsi="SimSun" w:eastAsia="SimSun" w:cs="SimSun"/>
          <w:sz w:val="21"/>
          <w:szCs w:val="21"/>
          <w:spacing w:val="-1"/>
        </w:rPr>
        <w:t>护航。更加精准服务经济社会发展重点领域和薄弱环节,</w:t>
      </w:r>
      <w:r>
        <w:rPr>
          <w:rFonts w:ascii="SimSun" w:hAnsi="SimSun" w:eastAsia="SimSun" w:cs="SimSun"/>
          <w:sz w:val="21"/>
          <w:szCs w:val="21"/>
          <w:spacing w:val="30"/>
        </w:rPr>
        <w:t xml:space="preserve"> </w:t>
      </w:r>
      <w:r>
        <w:rPr>
          <w:rFonts w:ascii="SimSun" w:hAnsi="SimSun" w:eastAsia="SimSun" w:cs="SimSun"/>
          <w:sz w:val="21"/>
          <w:szCs w:val="21"/>
          <w:spacing w:val="-1"/>
        </w:rPr>
        <w:t>紧密对</w:t>
      </w:r>
      <w:r>
        <w:rPr>
          <w:rFonts w:ascii="SimSun" w:hAnsi="SimSun" w:eastAsia="SimSun" w:cs="SimSun"/>
          <w:sz w:val="21"/>
          <w:szCs w:val="21"/>
          <w:spacing w:val="-2"/>
        </w:rPr>
        <w:t>接现代化产业体系建设, 助力传统产业基 </w:t>
      </w:r>
      <w:r>
        <w:rPr>
          <w:rFonts w:ascii="SimSun" w:hAnsi="SimSun" w:eastAsia="SimSun" w:cs="SimSun"/>
          <w:sz w:val="21"/>
          <w:szCs w:val="21"/>
          <w:spacing w:val="-1"/>
        </w:rPr>
        <w:t>础再造和产业链提升, 积极服务扩大内需和推进共同富裕, 加大普惠、民营、乡村振兴和改善民生重点领 </w:t>
      </w:r>
      <w:r>
        <w:rPr>
          <w:rFonts w:ascii="SimSun" w:hAnsi="SimSun" w:eastAsia="SimSun" w:cs="SimSun"/>
          <w:sz w:val="21"/>
          <w:szCs w:val="21"/>
          <w:spacing w:val="-3"/>
        </w:rPr>
        <w:t>域金融供给。针对长期困扰交行的客户结构、业务结构等深层次矛盾,</w:t>
      </w:r>
      <w:r>
        <w:rPr>
          <w:rFonts w:ascii="SimSun" w:hAnsi="SimSun" w:eastAsia="SimSun" w:cs="SimSun"/>
          <w:sz w:val="21"/>
          <w:szCs w:val="21"/>
          <w:spacing w:val="44"/>
        </w:rPr>
        <w:t xml:space="preserve"> </w:t>
      </w:r>
      <w:r>
        <w:rPr>
          <w:rFonts w:ascii="SimSun" w:hAnsi="SimSun" w:eastAsia="SimSun" w:cs="SimSun"/>
          <w:sz w:val="21"/>
          <w:szCs w:val="21"/>
          <w:spacing w:val="-3"/>
        </w:rPr>
        <w:t>聚焦重点,</w:t>
      </w:r>
      <w:r>
        <w:rPr>
          <w:rFonts w:ascii="SimSun" w:hAnsi="SimSun" w:eastAsia="SimSun" w:cs="SimSun"/>
          <w:sz w:val="21"/>
          <w:szCs w:val="21"/>
          <w:spacing w:val="32"/>
        </w:rPr>
        <w:t xml:space="preserve"> </w:t>
      </w:r>
      <w:r>
        <w:rPr>
          <w:rFonts w:ascii="SimSun" w:hAnsi="SimSun" w:eastAsia="SimSun" w:cs="SimSun"/>
          <w:sz w:val="21"/>
          <w:szCs w:val="21"/>
          <w:spacing w:val="-3"/>
        </w:rPr>
        <w:t>聚力攻坚,</w:t>
      </w:r>
      <w:r>
        <w:rPr>
          <w:rFonts w:ascii="SimSun" w:hAnsi="SimSun" w:eastAsia="SimSun" w:cs="SimSun"/>
          <w:sz w:val="21"/>
          <w:szCs w:val="21"/>
          <w:spacing w:val="27"/>
        </w:rPr>
        <w:t xml:space="preserve"> </w:t>
      </w:r>
      <w:r>
        <w:rPr>
          <w:rFonts w:ascii="SimSun" w:hAnsi="SimSun" w:eastAsia="SimSun" w:cs="SimSun"/>
          <w:sz w:val="21"/>
          <w:szCs w:val="21"/>
          <w:spacing w:val="-3"/>
        </w:rPr>
        <w:t>加快打造普 </w:t>
      </w:r>
      <w:r>
        <w:rPr>
          <w:rFonts w:ascii="SimSun" w:hAnsi="SimSun" w:eastAsia="SimSun" w:cs="SimSun"/>
          <w:sz w:val="21"/>
          <w:szCs w:val="21"/>
          <w:spacing w:val="-2"/>
        </w:rPr>
        <w:t>惠金融、贸易金融、科技金融、财富金融四大业务特色,</w:t>
      </w:r>
      <w:r>
        <w:rPr>
          <w:rFonts w:ascii="SimSun" w:hAnsi="SimSun" w:eastAsia="SimSun" w:cs="SimSun"/>
          <w:sz w:val="21"/>
          <w:szCs w:val="21"/>
          <w:spacing w:val="27"/>
        </w:rPr>
        <w:t xml:space="preserve"> </w:t>
      </w:r>
      <w:r>
        <w:rPr>
          <w:rFonts w:ascii="SimSun" w:hAnsi="SimSun" w:eastAsia="SimSun" w:cs="SimSun"/>
          <w:sz w:val="21"/>
          <w:szCs w:val="21"/>
          <w:spacing w:val="-2"/>
        </w:rPr>
        <w:t>彰显绿色金融底色,</w:t>
      </w:r>
      <w:r>
        <w:rPr>
          <w:rFonts w:ascii="SimSun" w:hAnsi="SimSun" w:eastAsia="SimSun" w:cs="SimSun"/>
          <w:sz w:val="21"/>
          <w:szCs w:val="21"/>
          <w:spacing w:val="29"/>
        </w:rPr>
        <w:t xml:space="preserve"> </w:t>
      </w:r>
      <w:r>
        <w:rPr>
          <w:rFonts w:ascii="SimSun" w:hAnsi="SimSun" w:eastAsia="SimSun" w:cs="SimSun"/>
          <w:sz w:val="21"/>
          <w:szCs w:val="21"/>
          <w:spacing w:val="-2"/>
        </w:rPr>
        <w:t>持续推动零售转型、数字化 </w:t>
      </w:r>
      <w:r>
        <w:rPr>
          <w:rFonts w:ascii="SimSun" w:hAnsi="SimSun" w:eastAsia="SimSun" w:cs="SimSun"/>
          <w:sz w:val="21"/>
          <w:szCs w:val="21"/>
          <w:spacing w:val="6"/>
        </w:rPr>
        <w:t>转型,立足上海主场创新突破并辐射全行,加快建设</w:t>
      </w:r>
      <w:r>
        <w:rPr>
          <w:rFonts w:ascii="SimSun" w:hAnsi="SimSun" w:eastAsia="SimSun" w:cs="SimSun"/>
          <w:sz w:val="21"/>
          <w:szCs w:val="21"/>
          <w:spacing w:val="5"/>
        </w:rPr>
        <w:t>具有特色优势的世界一流银行集团。坚持底线思维、</w:t>
      </w:r>
      <w:r>
        <w:rPr>
          <w:rFonts w:ascii="SimSun" w:hAnsi="SimSun" w:eastAsia="SimSun" w:cs="SimSun"/>
          <w:sz w:val="21"/>
          <w:szCs w:val="21"/>
        </w:rPr>
        <w:t xml:space="preserve"> </w:t>
      </w:r>
      <w:r>
        <w:rPr>
          <w:rFonts w:ascii="SimSun" w:hAnsi="SimSun" w:eastAsia="SimSun" w:cs="SimSun"/>
          <w:sz w:val="21"/>
          <w:szCs w:val="21"/>
          <w:spacing w:val="-5"/>
        </w:rPr>
        <w:t>极限思维, 统筹传统安全和非传统安全, 精准把握风险应对的力</w:t>
      </w:r>
      <w:r>
        <w:rPr>
          <w:rFonts w:ascii="SimSun" w:hAnsi="SimSun" w:eastAsia="SimSun" w:cs="SimSun"/>
          <w:sz w:val="21"/>
          <w:szCs w:val="21"/>
          <w:spacing w:val="-6"/>
        </w:rPr>
        <w:t>度和节奏, 构建自动化、实时化、精准化、</w:t>
      </w:r>
      <w:r>
        <w:rPr>
          <w:rFonts w:ascii="SimSun" w:hAnsi="SimSun" w:eastAsia="SimSun" w:cs="SimSun"/>
          <w:sz w:val="21"/>
          <w:szCs w:val="21"/>
        </w:rPr>
        <w:t xml:space="preserve">  </w:t>
      </w:r>
      <w:r>
        <w:rPr>
          <w:rFonts w:ascii="SimSun" w:hAnsi="SimSun" w:eastAsia="SimSun" w:cs="SimSun"/>
          <w:sz w:val="21"/>
          <w:szCs w:val="21"/>
          <w:spacing w:val="7"/>
        </w:rPr>
        <w:t>敏捷化的全面风险管理体系,将风险管理上升为"一种内生的文化和能力"。</w:t>
      </w:r>
    </w:p>
    <w:p>
      <w:pPr>
        <w:pStyle w:val="BodyText"/>
        <w:spacing w:line="247" w:lineRule="auto"/>
        <w:rPr/>
      </w:pPr>
      <w:r/>
    </w:p>
    <w:p>
      <w:pPr>
        <w:ind w:firstLine="425"/>
        <w:spacing w:before="69" w:line="302" w:lineRule="auto"/>
        <w:jc w:val="both"/>
        <w:rPr>
          <w:rFonts w:ascii="SimSun" w:hAnsi="SimSun" w:eastAsia="SimSun" w:cs="SimSun"/>
          <w:sz w:val="21"/>
          <w:szCs w:val="21"/>
        </w:rPr>
      </w:pPr>
      <w:r>
        <w:rPr>
          <w:rFonts w:ascii="SimSun" w:hAnsi="SimSun" w:eastAsia="SimSun" w:cs="SimSun"/>
          <w:sz w:val="21"/>
          <w:szCs w:val="21"/>
          <w:b/>
          <w:bCs/>
          <w:spacing w:val="-3"/>
        </w:rPr>
        <w:t>培育制胜新赛道的动能。</w:t>
      </w:r>
      <w:r>
        <w:rPr>
          <w:rFonts w:ascii="SimSun" w:hAnsi="SimSun" w:eastAsia="SimSun" w:cs="SimSun"/>
          <w:sz w:val="21"/>
          <w:szCs w:val="21"/>
          <w:spacing w:val="-23"/>
        </w:rPr>
        <w:t xml:space="preserve"> </w:t>
      </w:r>
      <w:r>
        <w:rPr>
          <w:rFonts w:ascii="SimSun" w:hAnsi="SimSun" w:eastAsia="SimSun" w:cs="SimSun"/>
          <w:sz w:val="21"/>
          <w:szCs w:val="21"/>
          <w:spacing w:val="-3"/>
        </w:rPr>
        <w:t>惟创新者进, 惟创新者强, 惟创新者胜。我们将主动对接中国式现代化建设 </w:t>
      </w:r>
      <w:r>
        <w:rPr>
          <w:rFonts w:ascii="SimSun" w:hAnsi="SimSun" w:eastAsia="SimSun" w:cs="SimSun"/>
          <w:sz w:val="21"/>
          <w:szCs w:val="21"/>
          <w:spacing w:val="-2"/>
        </w:rPr>
        <w:t>进程中涌现的新主体、新业态、新需求,</w:t>
      </w:r>
      <w:r>
        <w:rPr>
          <w:rFonts w:ascii="SimSun" w:hAnsi="SimSun" w:eastAsia="SimSun" w:cs="SimSun"/>
          <w:sz w:val="21"/>
          <w:szCs w:val="21"/>
          <w:spacing w:val="27"/>
        </w:rPr>
        <w:t xml:space="preserve"> </w:t>
      </w:r>
      <w:r>
        <w:rPr>
          <w:rFonts w:ascii="SimSun" w:hAnsi="SimSun" w:eastAsia="SimSun" w:cs="SimSun"/>
          <w:sz w:val="21"/>
          <w:szCs w:val="21"/>
          <w:spacing w:val="-2"/>
        </w:rPr>
        <w:t>持续深化战略实施, 锻造核心竞争能力</w:t>
      </w:r>
      <w:r>
        <w:rPr>
          <w:rFonts w:ascii="SimSun" w:hAnsi="SimSun" w:eastAsia="SimSun" w:cs="SimSun"/>
          <w:sz w:val="21"/>
          <w:szCs w:val="21"/>
          <w:spacing w:val="-3"/>
        </w:rPr>
        <w:t>,</w:t>
      </w:r>
      <w:r>
        <w:rPr>
          <w:rFonts w:ascii="SimSun" w:hAnsi="SimSun" w:eastAsia="SimSun" w:cs="SimSun"/>
          <w:sz w:val="21"/>
          <w:szCs w:val="21"/>
          <w:spacing w:val="48"/>
        </w:rPr>
        <w:t xml:space="preserve"> </w:t>
      </w:r>
      <w:r>
        <w:rPr>
          <w:rFonts w:ascii="SimSun" w:hAnsi="SimSun" w:eastAsia="SimSun" w:cs="SimSun"/>
          <w:sz w:val="21"/>
          <w:szCs w:val="21"/>
          <w:spacing w:val="-3"/>
        </w:rPr>
        <w:t>以业务结构的多维均衡 </w:t>
      </w:r>
      <w:r>
        <w:rPr>
          <w:rFonts w:ascii="SimSun" w:hAnsi="SimSun" w:eastAsia="SimSun" w:cs="SimSun"/>
          <w:sz w:val="21"/>
          <w:szCs w:val="21"/>
          <w:spacing w:val="-1"/>
        </w:rPr>
        <w:t>支撑经营发展的多元韧性。向基础技术架构深挖、向中高端服务范式挺</w:t>
      </w:r>
      <w:r>
        <w:rPr>
          <w:rFonts w:ascii="SimSun" w:hAnsi="SimSun" w:eastAsia="SimSun" w:cs="SimSun"/>
          <w:sz w:val="21"/>
          <w:szCs w:val="21"/>
          <w:spacing w:val="-2"/>
        </w:rPr>
        <w:t>进、向复杂产品创新供给跃迁,</w:t>
      </w:r>
      <w:r>
        <w:rPr>
          <w:rFonts w:ascii="SimSun" w:hAnsi="SimSun" w:eastAsia="SimSun" w:cs="SimSun"/>
          <w:sz w:val="21"/>
          <w:szCs w:val="21"/>
          <w:spacing w:val="30"/>
        </w:rPr>
        <w:t xml:space="preserve"> </w:t>
      </w:r>
      <w:r>
        <w:rPr>
          <w:rFonts w:ascii="SimSun" w:hAnsi="SimSun" w:eastAsia="SimSun" w:cs="SimSun"/>
          <w:sz w:val="21"/>
          <w:szCs w:val="21"/>
          <w:spacing w:val="-2"/>
        </w:rPr>
        <w:t>打 </w:t>
      </w:r>
      <w:r>
        <w:rPr>
          <w:rFonts w:ascii="SimSun" w:hAnsi="SimSun" w:eastAsia="SimSun" w:cs="SimSun"/>
          <w:sz w:val="21"/>
          <w:szCs w:val="21"/>
          <w:spacing w:val="10"/>
        </w:rPr>
        <w:t>通"大财富</w:t>
      </w:r>
      <w:r>
        <w:rPr>
          <w:rFonts w:ascii="Times New Roman" w:hAnsi="Times New Roman" w:eastAsia="Times New Roman" w:cs="Times New Roman"/>
          <w:sz w:val="21"/>
          <w:szCs w:val="21"/>
          <w:spacing w:val="10"/>
        </w:rPr>
        <w:t>-</w:t>
      </w:r>
      <w:r>
        <w:rPr>
          <w:rFonts w:ascii="SimSun" w:hAnsi="SimSun" w:eastAsia="SimSun" w:cs="SimSun"/>
          <w:sz w:val="21"/>
          <w:szCs w:val="21"/>
          <w:spacing w:val="10"/>
        </w:rPr>
        <w:t>大资管</w:t>
      </w:r>
      <w:r>
        <w:rPr>
          <w:rFonts w:ascii="Times New Roman" w:hAnsi="Times New Roman" w:eastAsia="Times New Roman" w:cs="Times New Roman"/>
          <w:sz w:val="21"/>
          <w:szCs w:val="21"/>
          <w:spacing w:val="10"/>
        </w:rPr>
        <w:t>-</w:t>
      </w:r>
      <w:r>
        <w:rPr>
          <w:rFonts w:ascii="SimSun" w:hAnsi="SimSun" w:eastAsia="SimSun" w:cs="SimSun"/>
          <w:sz w:val="21"/>
          <w:szCs w:val="21"/>
          <w:spacing w:val="10"/>
        </w:rPr>
        <w:t>大投行"经营链条,围绕客户资产</w:t>
      </w:r>
      <w:r>
        <w:rPr>
          <w:rFonts w:ascii="SimSun" w:hAnsi="SimSun" w:eastAsia="SimSun" w:cs="SimSun"/>
          <w:sz w:val="21"/>
          <w:szCs w:val="21"/>
          <w:spacing w:val="9"/>
        </w:rPr>
        <w:t>负债表更好感知客户、响应客户,打造卓越客户旅 </w:t>
      </w:r>
      <w:r>
        <w:rPr>
          <w:rFonts w:ascii="SimSun" w:hAnsi="SimSun" w:eastAsia="SimSun" w:cs="SimSun"/>
          <w:sz w:val="21"/>
          <w:szCs w:val="21"/>
          <w:spacing w:val="-1"/>
        </w:rPr>
        <w:t>程体验。更多关注价值体系、客户服务、业务流程等多维度的数字化变革,</w:t>
      </w:r>
      <w:r>
        <w:rPr>
          <w:rFonts w:ascii="SimSun" w:hAnsi="SimSun" w:eastAsia="SimSun" w:cs="SimSun"/>
          <w:sz w:val="21"/>
          <w:szCs w:val="21"/>
          <w:spacing w:val="27"/>
        </w:rPr>
        <w:t xml:space="preserve"> </w:t>
      </w:r>
      <w:r>
        <w:rPr>
          <w:rFonts w:ascii="SimSun" w:hAnsi="SimSun" w:eastAsia="SimSun" w:cs="SimSun"/>
          <w:sz w:val="21"/>
          <w:szCs w:val="21"/>
          <w:spacing w:val="-1"/>
        </w:rPr>
        <w:t>持</w:t>
      </w:r>
      <w:r>
        <w:rPr>
          <w:rFonts w:ascii="SimSun" w:hAnsi="SimSun" w:eastAsia="SimSun" w:cs="SimSun"/>
          <w:sz w:val="21"/>
          <w:szCs w:val="21"/>
          <w:spacing w:val="-2"/>
        </w:rPr>
        <w:t>续延展场景建设垂直向度的 </w:t>
      </w:r>
      <w:r>
        <w:rPr>
          <w:rFonts w:ascii="SimSun" w:hAnsi="SimSun" w:eastAsia="SimSun" w:cs="SimSun"/>
          <w:sz w:val="21"/>
          <w:szCs w:val="21"/>
          <w:spacing w:val="-4"/>
        </w:rPr>
        <w:t>深度和水平向度的宽度,</w:t>
      </w:r>
      <w:r>
        <w:rPr>
          <w:rFonts w:ascii="SimSun" w:hAnsi="SimSun" w:eastAsia="SimSun" w:cs="SimSun"/>
          <w:sz w:val="21"/>
          <w:szCs w:val="21"/>
          <w:spacing w:val="35"/>
        </w:rPr>
        <w:t xml:space="preserve"> </w:t>
      </w:r>
      <w:r>
        <w:rPr>
          <w:rFonts w:ascii="SimSun" w:hAnsi="SimSun" w:eastAsia="SimSun" w:cs="SimSun"/>
          <w:sz w:val="21"/>
          <w:szCs w:val="21"/>
          <w:spacing w:val="-4"/>
        </w:rPr>
        <w:t>探索以科技输出等模式实现与更大范围金融同业的广域互联,</w:t>
      </w:r>
      <w:r>
        <w:rPr>
          <w:rFonts w:ascii="SimSun" w:hAnsi="SimSun" w:eastAsia="SimSun" w:cs="SimSun"/>
          <w:sz w:val="21"/>
          <w:szCs w:val="21"/>
          <w:spacing w:val="30"/>
        </w:rPr>
        <w:t xml:space="preserve"> </w:t>
      </w:r>
      <w:r>
        <w:rPr>
          <w:rFonts w:ascii="SimSun" w:hAnsi="SimSun" w:eastAsia="SimSun" w:cs="SimSun"/>
          <w:sz w:val="21"/>
          <w:szCs w:val="21"/>
          <w:spacing w:val="-4"/>
        </w:rPr>
        <w:t>促成</w:t>
      </w:r>
      <w:r>
        <w:rPr>
          <w:rFonts w:ascii="SimSun" w:hAnsi="SimSun" w:eastAsia="SimSun" w:cs="SimSun"/>
          <w:sz w:val="21"/>
          <w:szCs w:val="21"/>
          <w:spacing w:val="-30"/>
        </w:rPr>
        <w:t xml:space="preserve"> </w:t>
      </w:r>
      <w:r>
        <w:rPr>
          <w:rFonts w:ascii="Times New Roman" w:hAnsi="Times New Roman" w:eastAsia="Times New Roman" w:cs="Times New Roman"/>
          <w:sz w:val="21"/>
          <w:szCs w:val="21"/>
          <w:spacing w:val="-4"/>
        </w:rPr>
        <w:t>G</w:t>
      </w:r>
      <w:r>
        <w:rPr>
          <w:rFonts w:ascii="Times New Roman" w:hAnsi="Times New Roman" w:eastAsia="Times New Roman" w:cs="Times New Roman"/>
          <w:sz w:val="21"/>
          <w:szCs w:val="21"/>
          <w:spacing w:val="27"/>
          <w:w w:val="101"/>
        </w:rPr>
        <w:t xml:space="preserve"> </w:t>
      </w:r>
      <w:r>
        <w:rPr>
          <w:rFonts w:ascii="SimSun" w:hAnsi="SimSun" w:eastAsia="SimSun" w:cs="SimSun"/>
          <w:sz w:val="21"/>
          <w:szCs w:val="21"/>
          <w:spacing w:val="-4"/>
        </w:rPr>
        <w:t>端、</w:t>
      </w:r>
      <w:r>
        <w:rPr>
          <w:rFonts w:ascii="SimSun" w:hAnsi="SimSun" w:eastAsia="SimSun" w:cs="SimSun"/>
          <w:sz w:val="21"/>
          <w:szCs w:val="21"/>
          <w:spacing w:val="-38"/>
        </w:rPr>
        <w:t xml:space="preserve"> </w:t>
      </w:r>
      <w:r>
        <w:rPr>
          <w:rFonts w:ascii="Times New Roman" w:hAnsi="Times New Roman" w:eastAsia="Times New Roman" w:cs="Times New Roman"/>
          <w:sz w:val="21"/>
          <w:szCs w:val="21"/>
          <w:spacing w:val="-4"/>
        </w:rPr>
        <w:t>B</w:t>
      </w:r>
      <w:r>
        <w:rPr>
          <w:rFonts w:ascii="Times New Roman" w:hAnsi="Times New Roman" w:eastAsia="Times New Roman" w:cs="Times New Roman"/>
          <w:sz w:val="21"/>
          <w:szCs w:val="21"/>
          <w:spacing w:val="24"/>
          <w:w w:val="101"/>
        </w:rPr>
        <w:t xml:space="preserve"> </w:t>
      </w:r>
      <w:r>
        <w:rPr>
          <w:rFonts w:ascii="SimSun" w:hAnsi="SimSun" w:eastAsia="SimSun" w:cs="SimSun"/>
          <w:sz w:val="21"/>
          <w:szCs w:val="21"/>
          <w:spacing w:val="-4"/>
        </w:rPr>
        <w:t>端、</w:t>
      </w:r>
      <w:r>
        <w:rPr>
          <w:rFonts w:ascii="SimSun" w:hAnsi="SimSun" w:eastAsia="SimSun" w:cs="SimSun"/>
          <w:sz w:val="21"/>
          <w:szCs w:val="21"/>
        </w:rPr>
        <w:t xml:space="preserve"> </w:t>
      </w:r>
      <w:r>
        <w:rPr>
          <w:rFonts w:ascii="Times New Roman" w:hAnsi="Times New Roman" w:eastAsia="Times New Roman" w:cs="Times New Roman"/>
          <w:sz w:val="21"/>
          <w:szCs w:val="21"/>
          <w:spacing w:val="-3"/>
        </w:rPr>
        <w:t>C </w:t>
      </w:r>
      <w:r>
        <w:rPr>
          <w:rFonts w:ascii="SimSun" w:hAnsi="SimSun" w:eastAsia="SimSun" w:cs="SimSun"/>
          <w:sz w:val="21"/>
          <w:szCs w:val="21"/>
          <w:spacing w:val="-3"/>
        </w:rPr>
        <w:t>端、</w:t>
      </w:r>
      <w:r>
        <w:rPr>
          <w:rFonts w:ascii="SimSun" w:hAnsi="SimSun" w:eastAsia="SimSun" w:cs="SimSun"/>
          <w:sz w:val="21"/>
          <w:szCs w:val="21"/>
          <w:spacing w:val="-38"/>
        </w:rPr>
        <w:t xml:space="preserve"> </w:t>
      </w:r>
      <w:r>
        <w:rPr>
          <w:rFonts w:ascii="Times New Roman" w:hAnsi="Times New Roman" w:eastAsia="Times New Roman" w:cs="Times New Roman"/>
          <w:sz w:val="21"/>
          <w:szCs w:val="21"/>
          <w:spacing w:val="-3"/>
        </w:rPr>
        <w:t>F </w:t>
      </w:r>
      <w:r>
        <w:rPr>
          <w:rFonts w:ascii="SimSun" w:hAnsi="SimSun" w:eastAsia="SimSun" w:cs="SimSun"/>
          <w:sz w:val="21"/>
          <w:szCs w:val="21"/>
          <w:spacing w:val="-3"/>
        </w:rPr>
        <w:t>端的平台共建与价值共享,</w:t>
      </w:r>
      <w:r>
        <w:rPr>
          <w:rFonts w:ascii="SimSun" w:hAnsi="SimSun" w:eastAsia="SimSun" w:cs="SimSun"/>
          <w:sz w:val="21"/>
          <w:szCs w:val="21"/>
          <w:spacing w:val="30"/>
        </w:rPr>
        <w:t xml:space="preserve"> </w:t>
      </w:r>
      <w:r>
        <w:rPr>
          <w:rFonts w:ascii="SimSun" w:hAnsi="SimSun" w:eastAsia="SimSun" w:cs="SimSun"/>
          <w:sz w:val="21"/>
          <w:szCs w:val="21"/>
          <w:spacing w:val="-3"/>
        </w:rPr>
        <w:t>展现</w:t>
      </w:r>
      <w:r>
        <w:rPr>
          <w:rFonts w:ascii="SimSun" w:hAnsi="SimSun" w:eastAsia="SimSun" w:cs="SimSun"/>
          <w:sz w:val="21"/>
          <w:szCs w:val="21"/>
          <w:spacing w:val="-4"/>
        </w:rPr>
        <w:t>价值创造的卓越能力。</w:t>
      </w:r>
    </w:p>
    <w:p>
      <w:pPr>
        <w:pStyle w:val="BodyText"/>
        <w:spacing w:line="241" w:lineRule="auto"/>
        <w:rPr/>
      </w:pPr>
      <w:r/>
    </w:p>
    <w:p>
      <w:pPr>
        <w:ind w:left="425"/>
        <w:spacing w:before="69" w:line="218" w:lineRule="auto"/>
        <w:rPr>
          <w:rFonts w:ascii="SimSun" w:hAnsi="SimSun" w:eastAsia="SimSun" w:cs="SimSun"/>
          <w:sz w:val="21"/>
          <w:szCs w:val="21"/>
        </w:rPr>
      </w:pPr>
      <w:r>
        <w:rPr>
          <w:rFonts w:ascii="SimSun" w:hAnsi="SimSun" w:eastAsia="SimSun" w:cs="SimSun"/>
          <w:sz w:val="21"/>
          <w:szCs w:val="21"/>
          <w:spacing w:val="9"/>
        </w:rPr>
        <w:t>跬步千里, 持久必成;天道酬勤,自胜者</w:t>
      </w:r>
      <w:r>
        <w:rPr>
          <w:rFonts w:ascii="SimSun" w:hAnsi="SimSun" w:eastAsia="SimSun" w:cs="SimSun"/>
          <w:sz w:val="21"/>
          <w:szCs w:val="21"/>
          <w:spacing w:val="8"/>
        </w:rPr>
        <w:t>强。</w:t>
      </w:r>
    </w:p>
    <w:p>
      <w:pPr>
        <w:pStyle w:val="BodyText"/>
        <w:spacing w:line="271" w:lineRule="auto"/>
        <w:rPr/>
      </w:pPr>
      <w:r/>
    </w:p>
    <w:p>
      <w:pPr>
        <w:pStyle w:val="BodyText"/>
        <w:spacing w:line="271" w:lineRule="auto"/>
        <w:rPr/>
      </w:pPr>
      <w:r/>
    </w:p>
    <w:p>
      <w:pPr>
        <w:pStyle w:val="BodyText"/>
        <w:spacing w:line="271" w:lineRule="auto"/>
        <w:rPr/>
      </w:pPr>
      <w:r/>
    </w:p>
    <w:p>
      <w:pPr>
        <w:pStyle w:val="BodyText"/>
        <w:spacing w:line="271" w:lineRule="auto"/>
        <w:rPr/>
      </w:pPr>
      <w:r/>
    </w:p>
    <w:p>
      <w:pPr>
        <w:pStyle w:val="BodyText"/>
        <w:spacing w:line="271" w:lineRule="auto"/>
        <w:rPr/>
      </w:pPr>
      <w:r/>
    </w:p>
    <w:p>
      <w:pPr>
        <w:ind w:left="8719"/>
        <w:spacing w:before="68" w:line="560" w:lineRule="exact"/>
        <w:rPr>
          <w:rFonts w:ascii="SimSun" w:hAnsi="SimSun" w:eastAsia="SimSun" w:cs="SimSun"/>
          <w:sz w:val="21"/>
          <w:szCs w:val="21"/>
        </w:rPr>
      </w:pPr>
      <w:r>
        <w:rPr>
          <w:rFonts w:ascii="SimSun" w:hAnsi="SimSun" w:eastAsia="SimSun" w:cs="SimSun"/>
          <w:sz w:val="21"/>
          <w:szCs w:val="21"/>
          <w:spacing w:val="-4"/>
          <w:position w:val="27"/>
        </w:rPr>
        <w:t>刘</w:t>
      </w:r>
      <w:r>
        <w:rPr>
          <w:rFonts w:ascii="SimSun" w:hAnsi="SimSun" w:eastAsia="SimSun" w:cs="SimSun"/>
          <w:sz w:val="21"/>
          <w:szCs w:val="21"/>
          <w:spacing w:val="9"/>
          <w:position w:val="27"/>
        </w:rPr>
        <w:t xml:space="preserve"> </w:t>
      </w:r>
      <w:r>
        <w:rPr>
          <w:rFonts w:ascii="SimSun" w:hAnsi="SimSun" w:eastAsia="SimSun" w:cs="SimSun"/>
          <w:sz w:val="21"/>
          <w:szCs w:val="21"/>
          <w:spacing w:val="-4"/>
          <w:position w:val="27"/>
        </w:rPr>
        <w:t>琪</w:t>
      </w:r>
    </w:p>
    <w:p>
      <w:pPr>
        <w:ind w:left="8829"/>
        <w:spacing w:line="222" w:lineRule="auto"/>
        <w:rPr>
          <w:rFonts w:ascii="SimSun" w:hAnsi="SimSun" w:eastAsia="SimSun" w:cs="SimSun"/>
          <w:sz w:val="21"/>
          <w:szCs w:val="21"/>
        </w:rPr>
      </w:pPr>
      <w:r>
        <w:rPr>
          <w:rFonts w:ascii="SimSun" w:hAnsi="SimSun" w:eastAsia="SimSun" w:cs="SimSun"/>
          <w:sz w:val="21"/>
          <w:szCs w:val="21"/>
          <w:spacing w:val="-3"/>
        </w:rPr>
        <w:t>行长</w:t>
      </w:r>
    </w:p>
    <w:p>
      <w:pPr>
        <w:spacing w:line="222" w:lineRule="auto"/>
        <w:sectPr>
          <w:footerReference w:type="default" r:id="rId18"/>
          <w:pgSz w:w="11907" w:h="16839"/>
          <w:pgMar w:top="1196" w:right="1054" w:bottom="1374" w:left="1139" w:header="0" w:footer="1211" w:gutter="0"/>
        </w:sectPr>
        <w:rPr>
          <w:rFonts w:ascii="SimSun" w:hAnsi="SimSun" w:eastAsia="SimSun" w:cs="SimSun"/>
          <w:sz w:val="21"/>
          <w:szCs w:val="21"/>
        </w:rPr>
      </w:pPr>
    </w:p>
    <w:p>
      <w:pPr>
        <w:ind w:left="3731"/>
        <w:spacing w:before="81" w:line="221" w:lineRule="auto"/>
        <w:rPr>
          <w:rFonts w:ascii="SimSun" w:hAnsi="SimSun" w:eastAsia="SimSun" w:cs="SimSun"/>
          <w:sz w:val="40"/>
          <w:szCs w:val="40"/>
        </w:rPr>
      </w:pPr>
      <w:bookmarkStart w:name="bookmark9" w:id="9"/>
      <w:bookmarkEnd w:id="9"/>
      <w:r>
        <w:rPr>
          <w:rFonts w:ascii="SimSun" w:hAnsi="SimSun" w:eastAsia="SimSun" w:cs="SimSun"/>
          <w:sz w:val="40"/>
          <w:szCs w:val="40"/>
          <w:b/>
          <w:bCs/>
          <w:spacing w:val="-7"/>
        </w:rPr>
        <w:t>监事长致辞</w:t>
      </w:r>
    </w:p>
    <w:p>
      <w:pPr>
        <w:pStyle w:val="BodyText"/>
        <w:spacing w:line="270" w:lineRule="auto"/>
        <w:rPr/>
      </w:pPr>
      <w:r/>
    </w:p>
    <w:p>
      <w:pPr>
        <w:pStyle w:val="BodyText"/>
        <w:spacing w:line="270" w:lineRule="auto"/>
        <w:rPr/>
      </w:pPr>
      <w:r/>
    </w:p>
    <w:p>
      <w:pPr>
        <w:ind w:right="73" w:firstLine="457"/>
        <w:spacing w:before="68" w:line="293" w:lineRule="auto"/>
        <w:jc w:val="both"/>
        <w:rPr>
          <w:rFonts w:ascii="SimSun" w:hAnsi="SimSun" w:eastAsia="SimSun" w:cs="SimSun"/>
          <w:sz w:val="21"/>
          <w:szCs w:val="21"/>
        </w:rPr>
      </w:pPr>
      <w:r>
        <w:rPr>
          <w:rFonts w:ascii="SimSun" w:hAnsi="SimSun" w:eastAsia="SimSun" w:cs="SimSun"/>
          <w:sz w:val="21"/>
          <w:szCs w:val="21"/>
          <w:spacing w:val="-2"/>
        </w:rPr>
        <w:t>日月其迈, 时盛岁新。</w:t>
      </w:r>
      <w:r>
        <w:rPr>
          <w:rFonts w:ascii="Times New Roman" w:hAnsi="Times New Roman" w:eastAsia="Times New Roman" w:cs="Times New Roman"/>
          <w:sz w:val="21"/>
          <w:szCs w:val="21"/>
          <w:spacing w:val="-2"/>
        </w:rPr>
        <w:t>2022 </w:t>
      </w:r>
      <w:r>
        <w:rPr>
          <w:rFonts w:ascii="SimSun" w:hAnsi="SimSun" w:eastAsia="SimSun" w:cs="SimSun"/>
          <w:sz w:val="21"/>
          <w:szCs w:val="21"/>
          <w:spacing w:val="-2"/>
        </w:rPr>
        <w:t>年是我们党和国家历史上极为重要的一</w:t>
      </w:r>
      <w:r>
        <w:rPr>
          <w:rFonts w:ascii="SimSun" w:hAnsi="SimSun" w:eastAsia="SimSun" w:cs="SimSun"/>
          <w:sz w:val="21"/>
          <w:szCs w:val="21"/>
          <w:spacing w:val="-3"/>
        </w:rPr>
        <w:t>年, 交通银行坚持以习近平新时代</w:t>
      </w:r>
      <w:r>
        <w:rPr>
          <w:rFonts w:ascii="SimSun" w:hAnsi="SimSun" w:eastAsia="SimSun" w:cs="SimSun"/>
          <w:sz w:val="21"/>
          <w:szCs w:val="21"/>
        </w:rPr>
        <w:t xml:space="preserve"> </w:t>
      </w:r>
      <w:r>
        <w:rPr>
          <w:rFonts w:ascii="SimSun" w:hAnsi="SimSun" w:eastAsia="SimSun" w:cs="SimSun"/>
          <w:sz w:val="21"/>
          <w:szCs w:val="21"/>
          <w:spacing w:val="-2"/>
        </w:rPr>
        <w:t>中国特色社会主义思想为指导,</w:t>
      </w:r>
      <w:r>
        <w:rPr>
          <w:rFonts w:ascii="SimSun" w:hAnsi="SimSun" w:eastAsia="SimSun" w:cs="SimSun"/>
          <w:sz w:val="21"/>
          <w:szCs w:val="21"/>
          <w:spacing w:val="42"/>
        </w:rPr>
        <w:t xml:space="preserve"> </w:t>
      </w:r>
      <w:r>
        <w:rPr>
          <w:rFonts w:ascii="SimSun" w:hAnsi="SimSun" w:eastAsia="SimSun" w:cs="SimSun"/>
          <w:sz w:val="21"/>
          <w:szCs w:val="21"/>
          <w:spacing w:val="-2"/>
        </w:rPr>
        <w:t>深入学习贯彻党的二十大精神,</w:t>
      </w:r>
      <w:r>
        <w:rPr>
          <w:rFonts w:ascii="SimSun" w:hAnsi="SimSun" w:eastAsia="SimSun" w:cs="SimSun"/>
          <w:sz w:val="21"/>
          <w:szCs w:val="21"/>
          <w:spacing w:val="26"/>
        </w:rPr>
        <w:t xml:space="preserve"> </w:t>
      </w:r>
      <w:r>
        <w:rPr>
          <w:rFonts w:ascii="SimSun" w:hAnsi="SimSun" w:eastAsia="SimSun" w:cs="SimSun"/>
          <w:sz w:val="21"/>
          <w:szCs w:val="21"/>
          <w:spacing w:val="-2"/>
        </w:rPr>
        <w:t>经营管理质效再上新台阶。这一年, 监事</w:t>
      </w:r>
      <w:r>
        <w:rPr>
          <w:rFonts w:ascii="SimSun" w:hAnsi="SimSun" w:eastAsia="SimSun" w:cs="SimSun"/>
          <w:sz w:val="21"/>
          <w:szCs w:val="21"/>
        </w:rPr>
        <w:t xml:space="preserve"> </w:t>
      </w:r>
      <w:r>
        <w:rPr>
          <w:rFonts w:ascii="SimSun" w:hAnsi="SimSun" w:eastAsia="SimSun" w:cs="SimSun"/>
          <w:sz w:val="21"/>
          <w:szCs w:val="21"/>
          <w:spacing w:val="-2"/>
        </w:rPr>
        <w:t>会积极主动作为,</w:t>
      </w:r>
      <w:r>
        <w:rPr>
          <w:rFonts w:ascii="SimSun" w:hAnsi="SimSun" w:eastAsia="SimSun" w:cs="SimSun"/>
          <w:sz w:val="21"/>
          <w:szCs w:val="21"/>
          <w:spacing w:val="39"/>
        </w:rPr>
        <w:t xml:space="preserve"> </w:t>
      </w:r>
      <w:r>
        <w:rPr>
          <w:rFonts w:ascii="SimSun" w:hAnsi="SimSun" w:eastAsia="SimSun" w:cs="SimSun"/>
          <w:sz w:val="21"/>
          <w:szCs w:val="21"/>
          <w:spacing w:val="-2"/>
        </w:rPr>
        <w:t>坚持忠实勤勉、合规高效、精准务实履行监督职责,</w:t>
      </w:r>
      <w:r>
        <w:rPr>
          <w:rFonts w:ascii="SimSun" w:hAnsi="SimSun" w:eastAsia="SimSun" w:cs="SimSun"/>
          <w:sz w:val="21"/>
          <w:szCs w:val="21"/>
          <w:spacing w:val="26"/>
        </w:rPr>
        <w:t xml:space="preserve"> </w:t>
      </w:r>
      <w:r>
        <w:rPr>
          <w:rFonts w:ascii="SimSun" w:hAnsi="SimSun" w:eastAsia="SimSun" w:cs="SimSun"/>
          <w:sz w:val="21"/>
          <w:szCs w:val="21"/>
          <w:spacing w:val="-2"/>
        </w:rPr>
        <w:t>助力全行公司治理现代化水平有效</w:t>
      </w:r>
      <w:r>
        <w:rPr>
          <w:rFonts w:ascii="SimSun" w:hAnsi="SimSun" w:eastAsia="SimSun" w:cs="SimSun"/>
          <w:sz w:val="21"/>
          <w:szCs w:val="21"/>
        </w:rPr>
        <w:t xml:space="preserve"> </w:t>
      </w:r>
      <w:r>
        <w:rPr>
          <w:rFonts w:ascii="SimSun" w:hAnsi="SimSun" w:eastAsia="SimSun" w:cs="SimSun"/>
          <w:sz w:val="21"/>
          <w:szCs w:val="21"/>
          <w:spacing w:val="-8"/>
        </w:rPr>
        <w:t>提升。</w:t>
      </w:r>
    </w:p>
    <w:p>
      <w:pPr>
        <w:ind w:firstLine="430"/>
        <w:spacing w:before="306" w:line="297" w:lineRule="auto"/>
        <w:jc w:val="both"/>
        <w:rPr>
          <w:rFonts w:ascii="SimSun" w:hAnsi="SimSun" w:eastAsia="SimSun" w:cs="SimSun"/>
          <w:sz w:val="21"/>
          <w:szCs w:val="21"/>
        </w:rPr>
      </w:pPr>
      <w:r>
        <w:rPr>
          <w:rFonts w:ascii="SimSun" w:hAnsi="SimSun" w:eastAsia="SimSun" w:cs="SimSun"/>
          <w:sz w:val="21"/>
          <w:szCs w:val="21"/>
          <w:b/>
          <w:bCs/>
          <w:spacing w:val="-1"/>
        </w:rPr>
        <w:t>紧密融入国家发展大局,</w:t>
      </w:r>
      <w:r>
        <w:rPr>
          <w:rFonts w:ascii="SimSun" w:hAnsi="SimSun" w:eastAsia="SimSun" w:cs="SimSun"/>
          <w:sz w:val="21"/>
          <w:szCs w:val="21"/>
          <w:spacing w:val="-1"/>
        </w:rPr>
        <w:t xml:space="preserve"> </w:t>
      </w:r>
      <w:r>
        <w:rPr>
          <w:rFonts w:ascii="SimSun" w:hAnsi="SimSun" w:eastAsia="SimSun" w:cs="SimSun"/>
          <w:sz w:val="21"/>
          <w:szCs w:val="21"/>
          <w:b/>
          <w:bCs/>
          <w:spacing w:val="-1"/>
        </w:rPr>
        <w:t>深耕战略监督。</w:t>
      </w:r>
      <w:r>
        <w:rPr>
          <w:rFonts w:ascii="SimSun" w:hAnsi="SimSun" w:eastAsia="SimSun" w:cs="SimSun"/>
          <w:sz w:val="21"/>
          <w:szCs w:val="21"/>
          <w:spacing w:val="-2"/>
        </w:rPr>
        <w:t>我们始终将工作主线置于国家战略部署框架之中, 积极关注</w:t>
      </w:r>
      <w:r>
        <w:rPr>
          <w:rFonts w:ascii="SimSun" w:hAnsi="SimSun" w:eastAsia="SimSun" w:cs="SimSun"/>
          <w:sz w:val="21"/>
          <w:szCs w:val="21"/>
        </w:rPr>
        <w:t xml:space="preserve">  </w:t>
      </w:r>
      <w:r>
        <w:rPr>
          <w:rFonts w:ascii="SimSun" w:hAnsi="SimSun" w:eastAsia="SimSun" w:cs="SimSun"/>
          <w:sz w:val="21"/>
          <w:szCs w:val="21"/>
          <w:spacing w:val="-3"/>
        </w:rPr>
        <w:t>金融支持科技创新、绿色发展和普惠民生等实体经济重点领域和薄弱环节质效情况,</w:t>
      </w:r>
      <w:r>
        <w:rPr>
          <w:rFonts w:ascii="SimSun" w:hAnsi="SimSun" w:eastAsia="SimSun" w:cs="SimSun"/>
          <w:sz w:val="21"/>
          <w:szCs w:val="21"/>
          <w:spacing w:val="-18"/>
        </w:rPr>
        <w:t xml:space="preserve"> </w:t>
      </w:r>
      <w:r>
        <w:rPr>
          <w:rFonts w:ascii="SimSun" w:hAnsi="SimSun" w:eastAsia="SimSun" w:cs="SimSun"/>
          <w:sz w:val="21"/>
          <w:szCs w:val="21"/>
          <w:spacing w:val="-3"/>
        </w:rPr>
        <w:t>聚焦京津冀协同发展、</w:t>
      </w:r>
      <w:r>
        <w:rPr>
          <w:rFonts w:ascii="SimSun" w:hAnsi="SimSun" w:eastAsia="SimSun" w:cs="SimSun"/>
          <w:sz w:val="21"/>
          <w:szCs w:val="21"/>
        </w:rPr>
        <w:t xml:space="preserve"> </w:t>
      </w:r>
      <w:r>
        <w:rPr>
          <w:rFonts w:ascii="SimSun" w:hAnsi="SimSun" w:eastAsia="SimSun" w:cs="SimSun"/>
          <w:sz w:val="21"/>
          <w:szCs w:val="21"/>
          <w:spacing w:val="-1"/>
        </w:rPr>
        <w:t>粤港澳大湾区建设和海南自贸港等主题开展专项调研, 促进国家决策部署落实到位。我们坚持将监督重点 </w:t>
      </w:r>
      <w:r>
        <w:rPr>
          <w:rFonts w:ascii="SimSun" w:hAnsi="SimSun" w:eastAsia="SimSun" w:cs="SimSun"/>
          <w:sz w:val="21"/>
          <w:szCs w:val="21"/>
          <w:spacing w:val="1"/>
        </w:rPr>
        <w:t>与全行发展战略相契合,</w:t>
      </w:r>
      <w:r>
        <w:rPr>
          <w:rFonts w:ascii="SimSun" w:hAnsi="SimSun" w:eastAsia="SimSun" w:cs="SimSun"/>
          <w:sz w:val="21"/>
          <w:szCs w:val="21"/>
          <w:spacing w:val="42"/>
        </w:rPr>
        <w:t xml:space="preserve"> </w:t>
      </w:r>
      <w:r>
        <w:rPr>
          <w:rFonts w:ascii="SimSun" w:hAnsi="SimSun" w:eastAsia="SimSun" w:cs="SimSun"/>
          <w:sz w:val="21"/>
          <w:szCs w:val="21"/>
          <w:spacing w:val="1"/>
        </w:rPr>
        <w:t>结合"上海主场"</w:t>
      </w:r>
      <w:r>
        <w:rPr>
          <w:rFonts w:ascii="SimSun" w:hAnsi="SimSun" w:eastAsia="SimSun" w:cs="SimSun"/>
          <w:sz w:val="21"/>
          <w:szCs w:val="21"/>
          <w:spacing w:val="-19"/>
        </w:rPr>
        <w:t xml:space="preserve"> </w:t>
      </w:r>
      <w:r>
        <w:rPr>
          <w:rFonts w:ascii="SimSun" w:hAnsi="SimSun" w:eastAsia="SimSun" w:cs="SimSun"/>
          <w:sz w:val="21"/>
          <w:szCs w:val="21"/>
          <w:spacing w:val="1"/>
        </w:rPr>
        <w:t>战略优势培育, 有序跟进本行战略制定、推进实施和总结评估 </w:t>
      </w:r>
      <w:r>
        <w:rPr>
          <w:rFonts w:ascii="SimSun" w:hAnsi="SimSun" w:eastAsia="SimSun" w:cs="SimSun"/>
          <w:sz w:val="21"/>
          <w:szCs w:val="21"/>
          <w:spacing w:val="-4"/>
        </w:rPr>
        <w:t>情况,</w:t>
      </w:r>
      <w:r>
        <w:rPr>
          <w:rFonts w:ascii="SimSun" w:hAnsi="SimSun" w:eastAsia="SimSun" w:cs="SimSun"/>
          <w:sz w:val="21"/>
          <w:szCs w:val="21"/>
          <w:spacing w:val="33"/>
        </w:rPr>
        <w:t xml:space="preserve"> </w:t>
      </w:r>
      <w:r>
        <w:rPr>
          <w:rFonts w:ascii="SimSun" w:hAnsi="SimSun" w:eastAsia="SimSun" w:cs="SimSun"/>
          <w:sz w:val="21"/>
          <w:szCs w:val="21"/>
          <w:spacing w:val="-4"/>
        </w:rPr>
        <w:t>督促相关工作落实落地。</w:t>
      </w:r>
    </w:p>
    <w:p>
      <w:pPr>
        <w:pStyle w:val="BodyText"/>
        <w:spacing w:line="243" w:lineRule="auto"/>
        <w:rPr/>
      </w:pPr>
      <w:r/>
    </w:p>
    <w:p>
      <w:pPr>
        <w:ind w:left="2" w:right="76" w:firstLine="424"/>
        <w:spacing w:before="68" w:line="292" w:lineRule="auto"/>
        <w:jc w:val="both"/>
        <w:rPr>
          <w:rFonts w:ascii="SimSun" w:hAnsi="SimSun" w:eastAsia="SimSun" w:cs="SimSun"/>
          <w:sz w:val="21"/>
          <w:szCs w:val="21"/>
        </w:rPr>
      </w:pPr>
      <w:r>
        <w:rPr>
          <w:rFonts w:ascii="SimSun" w:hAnsi="SimSun" w:eastAsia="SimSun" w:cs="SimSun"/>
          <w:sz w:val="21"/>
          <w:szCs w:val="21"/>
          <w:b/>
          <w:bCs/>
          <w:spacing w:val="-2"/>
        </w:rPr>
        <w:t>构建"三专"</w:t>
      </w:r>
      <w:r>
        <w:rPr>
          <w:rFonts w:ascii="SimSun" w:hAnsi="SimSun" w:eastAsia="SimSun" w:cs="SimSun"/>
          <w:sz w:val="21"/>
          <w:szCs w:val="21"/>
          <w:spacing w:val="-16"/>
        </w:rPr>
        <w:t xml:space="preserve"> </w:t>
      </w:r>
      <w:r>
        <w:rPr>
          <w:rFonts w:ascii="SimSun" w:hAnsi="SimSun" w:eastAsia="SimSun" w:cs="SimSun"/>
          <w:sz w:val="21"/>
          <w:szCs w:val="21"/>
          <w:b/>
          <w:bCs/>
          <w:spacing w:val="-2"/>
        </w:rPr>
        <w:t>工作机制,</w:t>
      </w:r>
      <w:r>
        <w:rPr>
          <w:rFonts w:ascii="SimSun" w:hAnsi="SimSun" w:eastAsia="SimSun" w:cs="SimSun"/>
          <w:sz w:val="21"/>
          <w:szCs w:val="21"/>
          <w:spacing w:val="-2"/>
        </w:rPr>
        <w:t xml:space="preserve"> </w:t>
      </w:r>
      <w:r>
        <w:rPr>
          <w:rFonts w:ascii="SimSun" w:hAnsi="SimSun" w:eastAsia="SimSun" w:cs="SimSun"/>
          <w:sz w:val="21"/>
          <w:szCs w:val="21"/>
          <w:b/>
          <w:bCs/>
          <w:spacing w:val="-2"/>
        </w:rPr>
        <w:t>提升监督质效。</w:t>
      </w:r>
      <w:r>
        <w:rPr>
          <w:rFonts w:ascii="SimSun" w:hAnsi="SimSun" w:eastAsia="SimSun" w:cs="SimSun"/>
          <w:sz w:val="21"/>
          <w:szCs w:val="21"/>
          <w:spacing w:val="34"/>
        </w:rPr>
        <w:t xml:space="preserve"> </w:t>
      </w:r>
      <w:r>
        <w:rPr>
          <w:rFonts w:ascii="SimSun" w:hAnsi="SimSun" w:eastAsia="SimSun" w:cs="SimSun"/>
          <w:sz w:val="21"/>
          <w:szCs w:val="21"/>
          <w:spacing w:val="-2"/>
        </w:rPr>
        <w:t>我们统筹形成了涵盖专项调研、专家座谈、专业培训的一体</w:t>
      </w:r>
      <w:r>
        <w:rPr>
          <w:rFonts w:ascii="SimSun" w:hAnsi="SimSun" w:eastAsia="SimSun" w:cs="SimSun"/>
          <w:sz w:val="21"/>
          <w:szCs w:val="21"/>
        </w:rPr>
        <w:t xml:space="preserve"> </w:t>
      </w:r>
      <w:r>
        <w:rPr>
          <w:rFonts w:ascii="SimSun" w:hAnsi="SimSun" w:eastAsia="SimSun" w:cs="SimSun"/>
          <w:sz w:val="21"/>
          <w:szCs w:val="21"/>
          <w:spacing w:val="-2"/>
        </w:rPr>
        <w:t>化监督模式,</w:t>
      </w:r>
      <w:r>
        <w:rPr>
          <w:rFonts w:ascii="SimSun" w:hAnsi="SimSun" w:eastAsia="SimSun" w:cs="SimSun"/>
          <w:sz w:val="21"/>
          <w:szCs w:val="21"/>
          <w:spacing w:val="37"/>
        </w:rPr>
        <w:t xml:space="preserve"> </w:t>
      </w:r>
      <w:r>
        <w:rPr>
          <w:rFonts w:ascii="SimSun" w:hAnsi="SimSun" w:eastAsia="SimSun" w:cs="SimSun"/>
          <w:sz w:val="21"/>
          <w:szCs w:val="21"/>
          <w:spacing w:val="-2"/>
        </w:rPr>
        <w:t>聚焦战略、风险内控、财务合规等核心监督职责确定六大重点项目,</w:t>
      </w:r>
      <w:r>
        <w:rPr>
          <w:rFonts w:ascii="SimSun" w:hAnsi="SimSun" w:eastAsia="SimSun" w:cs="SimSun"/>
          <w:sz w:val="21"/>
          <w:szCs w:val="21"/>
          <w:spacing w:val="27"/>
        </w:rPr>
        <w:t xml:space="preserve"> </w:t>
      </w:r>
      <w:r>
        <w:rPr>
          <w:rFonts w:ascii="SimSun" w:hAnsi="SimSun" w:eastAsia="SimSun" w:cs="SimSun"/>
          <w:sz w:val="21"/>
          <w:szCs w:val="21"/>
          <w:spacing w:val="-2"/>
        </w:rPr>
        <w:t>深入基层一线进行专项</w:t>
      </w:r>
      <w:r>
        <w:rPr>
          <w:rFonts w:ascii="SimSun" w:hAnsi="SimSun" w:eastAsia="SimSun" w:cs="SimSun"/>
          <w:sz w:val="21"/>
          <w:szCs w:val="21"/>
        </w:rPr>
        <w:t xml:space="preserve"> </w:t>
      </w:r>
      <w:r>
        <w:rPr>
          <w:rFonts w:ascii="SimSun" w:hAnsi="SimSun" w:eastAsia="SimSun" w:cs="SimSun"/>
          <w:sz w:val="21"/>
          <w:szCs w:val="21"/>
          <w:spacing w:val="-3"/>
        </w:rPr>
        <w:t>调研,</w:t>
      </w:r>
      <w:r>
        <w:rPr>
          <w:rFonts w:ascii="SimSun" w:hAnsi="SimSun" w:eastAsia="SimSun" w:cs="SimSun"/>
          <w:sz w:val="21"/>
          <w:szCs w:val="21"/>
          <w:spacing w:val="55"/>
        </w:rPr>
        <w:t xml:space="preserve"> </w:t>
      </w:r>
      <w:r>
        <w:rPr>
          <w:rFonts w:ascii="SimSun" w:hAnsi="SimSun" w:eastAsia="SimSun" w:cs="SimSun"/>
          <w:sz w:val="21"/>
          <w:szCs w:val="21"/>
          <w:spacing w:val="-3"/>
        </w:rPr>
        <w:t>因形就势开展专家座谈,</w:t>
      </w:r>
      <w:r>
        <w:rPr>
          <w:rFonts w:ascii="SimSun" w:hAnsi="SimSun" w:eastAsia="SimSun" w:cs="SimSun"/>
          <w:sz w:val="21"/>
          <w:szCs w:val="21"/>
          <w:spacing w:val="26"/>
        </w:rPr>
        <w:t xml:space="preserve"> </w:t>
      </w:r>
      <w:r>
        <w:rPr>
          <w:rFonts w:ascii="SimSun" w:hAnsi="SimSun" w:eastAsia="SimSun" w:cs="SimSun"/>
          <w:sz w:val="21"/>
          <w:szCs w:val="21"/>
          <w:spacing w:val="-3"/>
        </w:rPr>
        <w:t>适配能力建设所需强化专业培训,</w:t>
      </w:r>
      <w:r>
        <w:rPr>
          <w:rFonts w:ascii="SimSun" w:hAnsi="SimSun" w:eastAsia="SimSun" w:cs="SimSun"/>
          <w:sz w:val="21"/>
          <w:szCs w:val="21"/>
          <w:spacing w:val="26"/>
        </w:rPr>
        <w:t xml:space="preserve"> </w:t>
      </w:r>
      <w:r>
        <w:rPr>
          <w:rFonts w:ascii="SimSun" w:hAnsi="SimSun" w:eastAsia="SimSun" w:cs="SimSun"/>
          <w:sz w:val="21"/>
          <w:szCs w:val="21"/>
          <w:spacing w:val="-3"/>
        </w:rPr>
        <w:t>精准监督水平进一步有效提升。我们提</w:t>
      </w:r>
      <w:r>
        <w:rPr>
          <w:rFonts w:ascii="SimSun" w:hAnsi="SimSun" w:eastAsia="SimSun" w:cs="SimSun"/>
          <w:sz w:val="21"/>
          <w:szCs w:val="21"/>
        </w:rPr>
        <w:t xml:space="preserve"> </w:t>
      </w:r>
      <w:r>
        <w:rPr>
          <w:rFonts w:ascii="SimSun" w:hAnsi="SimSun" w:eastAsia="SimSun" w:cs="SimSun"/>
          <w:sz w:val="21"/>
          <w:szCs w:val="21"/>
          <w:spacing w:val="-1"/>
        </w:rPr>
        <w:t>出了富有建设性和针对性的监督意见建议并呈送董事会和高管层,</w:t>
      </w:r>
      <w:r>
        <w:rPr>
          <w:rFonts w:ascii="SimSun" w:hAnsi="SimSun" w:eastAsia="SimSun" w:cs="SimSun"/>
          <w:sz w:val="21"/>
          <w:szCs w:val="21"/>
          <w:spacing w:val="43"/>
        </w:rPr>
        <w:t xml:space="preserve"> </w:t>
      </w:r>
      <w:r>
        <w:rPr>
          <w:rFonts w:ascii="SimSun" w:hAnsi="SimSun" w:eastAsia="SimSun" w:cs="SimSun"/>
          <w:sz w:val="21"/>
          <w:szCs w:val="21"/>
          <w:spacing w:val="-1"/>
        </w:rPr>
        <w:t>监督成果得到有效采纳和合理转化。</w:t>
      </w:r>
    </w:p>
    <w:p>
      <w:pPr>
        <w:pStyle w:val="BodyText"/>
        <w:spacing w:line="242" w:lineRule="auto"/>
        <w:rPr/>
      </w:pPr>
      <w:r/>
    </w:p>
    <w:p>
      <w:pPr>
        <w:ind w:left="2" w:right="10" w:firstLine="424"/>
        <w:spacing w:before="68" w:line="267" w:lineRule="auto"/>
        <w:rPr>
          <w:rFonts w:ascii="SimSun" w:hAnsi="SimSun" w:eastAsia="SimSun" w:cs="SimSun"/>
          <w:sz w:val="21"/>
          <w:szCs w:val="21"/>
        </w:rPr>
      </w:pPr>
      <w:r>
        <w:rPr>
          <w:rFonts w:ascii="SimSun" w:hAnsi="SimSun" w:eastAsia="SimSun" w:cs="SimSun"/>
          <w:sz w:val="21"/>
          <w:szCs w:val="21"/>
          <w:b/>
          <w:bCs/>
          <w:spacing w:val="-4"/>
        </w:rPr>
        <w:t>持续优化自身运作,</w:t>
      </w:r>
      <w:r>
        <w:rPr>
          <w:rFonts w:ascii="SimSun" w:hAnsi="SimSun" w:eastAsia="SimSun" w:cs="SimSun"/>
          <w:sz w:val="21"/>
          <w:szCs w:val="21"/>
          <w:spacing w:val="-4"/>
        </w:rPr>
        <w:t xml:space="preserve"> </w:t>
      </w:r>
      <w:r>
        <w:rPr>
          <w:rFonts w:ascii="SimSun" w:hAnsi="SimSun" w:eastAsia="SimSun" w:cs="SimSun"/>
          <w:sz w:val="21"/>
          <w:szCs w:val="21"/>
          <w:b/>
          <w:bCs/>
          <w:spacing w:val="-4"/>
        </w:rPr>
        <w:t>夯实履职基础。</w:t>
      </w:r>
      <w:r>
        <w:rPr>
          <w:rFonts w:ascii="SimSun" w:hAnsi="SimSun" w:eastAsia="SimSun" w:cs="SimSun"/>
          <w:sz w:val="21"/>
          <w:szCs w:val="21"/>
          <w:spacing w:val="31"/>
        </w:rPr>
        <w:t xml:space="preserve"> </w:t>
      </w:r>
      <w:r>
        <w:rPr>
          <w:rFonts w:ascii="SimSun" w:hAnsi="SimSun" w:eastAsia="SimSun" w:cs="SimSun"/>
          <w:sz w:val="21"/>
          <w:szCs w:val="21"/>
          <w:spacing w:val="-4"/>
        </w:rPr>
        <w:t>我们优化了监事会议事模式, 针对</w:t>
      </w:r>
      <w:r>
        <w:rPr>
          <w:rFonts w:ascii="SimSun" w:hAnsi="SimSun" w:eastAsia="SimSun" w:cs="SimSun"/>
          <w:sz w:val="21"/>
          <w:szCs w:val="21"/>
          <w:spacing w:val="-5"/>
        </w:rPr>
        <w:t>性完善监事会制度, 合规完成 </w:t>
      </w:r>
      <w:r>
        <w:rPr>
          <w:rFonts w:ascii="SimSun" w:hAnsi="SimSun" w:eastAsia="SimSun" w:cs="SimSun"/>
          <w:sz w:val="21"/>
          <w:szCs w:val="21"/>
          <w:spacing w:val="5"/>
        </w:rPr>
        <w:t>监事会换届,扎实开展履职监督与评价,多措并举确保监督职责全</w:t>
      </w:r>
      <w:r>
        <w:rPr>
          <w:rFonts w:ascii="SimSun" w:hAnsi="SimSun" w:eastAsia="SimSun" w:cs="SimSun"/>
          <w:sz w:val="21"/>
          <w:szCs w:val="21"/>
          <w:spacing w:val="4"/>
        </w:rPr>
        <w:t>覆盖,</w:t>
      </w:r>
      <w:r>
        <w:rPr>
          <w:rFonts w:ascii="SimSun" w:hAnsi="SimSun" w:eastAsia="SimSun" w:cs="SimSun"/>
          <w:sz w:val="21"/>
          <w:szCs w:val="21"/>
          <w:spacing w:val="36"/>
        </w:rPr>
        <w:t xml:space="preserve"> </w:t>
      </w:r>
      <w:r>
        <w:rPr>
          <w:rFonts w:ascii="SimSun" w:hAnsi="SimSun" w:eastAsia="SimSun" w:cs="SimSun"/>
          <w:sz w:val="21"/>
          <w:szCs w:val="21"/>
          <w:spacing w:val="4"/>
        </w:rPr>
        <w:t>为合规高效履职打下坚实基础。</w:t>
      </w:r>
    </w:p>
    <w:p>
      <w:pPr>
        <w:pStyle w:val="BodyText"/>
        <w:spacing w:line="242" w:lineRule="auto"/>
        <w:rPr/>
      </w:pPr>
      <w:r/>
    </w:p>
    <w:p>
      <w:pPr>
        <w:ind w:left="5" w:right="206" w:firstLine="422"/>
        <w:spacing w:before="68" w:line="267" w:lineRule="auto"/>
        <w:rPr>
          <w:rFonts w:ascii="SimSun" w:hAnsi="SimSun" w:eastAsia="SimSun" w:cs="SimSun"/>
          <w:sz w:val="21"/>
          <w:szCs w:val="21"/>
        </w:rPr>
      </w:pPr>
      <w:r>
        <w:rPr>
          <w:rFonts w:ascii="SimSun" w:hAnsi="SimSun" w:eastAsia="SimSun" w:cs="SimSun"/>
          <w:sz w:val="21"/>
          <w:szCs w:val="21"/>
          <w:spacing w:val="3"/>
        </w:rPr>
        <w:t>笃志前行,</w:t>
      </w:r>
      <w:r>
        <w:rPr>
          <w:rFonts w:ascii="SimSun" w:hAnsi="SimSun" w:eastAsia="SimSun" w:cs="SimSun"/>
          <w:sz w:val="21"/>
          <w:szCs w:val="21"/>
          <w:spacing w:val="39"/>
        </w:rPr>
        <w:t xml:space="preserve"> </w:t>
      </w:r>
      <w:r>
        <w:rPr>
          <w:rFonts w:ascii="SimSun" w:hAnsi="SimSun" w:eastAsia="SimSun" w:cs="SimSun"/>
          <w:sz w:val="21"/>
          <w:szCs w:val="21"/>
          <w:spacing w:val="3"/>
        </w:rPr>
        <w:t>虽远必达。</w:t>
      </w:r>
      <w:r>
        <w:rPr>
          <w:rFonts w:ascii="Times New Roman" w:hAnsi="Times New Roman" w:eastAsia="Times New Roman" w:cs="Times New Roman"/>
          <w:sz w:val="21"/>
          <w:szCs w:val="21"/>
          <w:spacing w:val="3"/>
        </w:rPr>
        <w:t>2023</w:t>
      </w:r>
      <w:r>
        <w:rPr>
          <w:rFonts w:ascii="Times New Roman" w:hAnsi="Times New Roman" w:eastAsia="Times New Roman" w:cs="Times New Roman"/>
          <w:sz w:val="21"/>
          <w:szCs w:val="21"/>
          <w:spacing w:val="41"/>
          <w:w w:val="101"/>
        </w:rPr>
        <w:t xml:space="preserve"> </w:t>
      </w:r>
      <w:r>
        <w:rPr>
          <w:rFonts w:ascii="SimSun" w:hAnsi="SimSun" w:eastAsia="SimSun" w:cs="SimSun"/>
          <w:sz w:val="21"/>
          <w:szCs w:val="21"/>
          <w:spacing w:val="3"/>
        </w:rPr>
        <w:t>年监事会将始终心怀"国之大者",聚</w:t>
      </w:r>
      <w:r>
        <w:rPr>
          <w:rFonts w:ascii="SimSun" w:hAnsi="SimSun" w:eastAsia="SimSun" w:cs="SimSun"/>
          <w:sz w:val="21"/>
          <w:szCs w:val="21"/>
          <w:spacing w:val="2"/>
        </w:rPr>
        <w:t>焦核心职责进一步提升监督实效,</w:t>
      </w:r>
      <w:r>
        <w:rPr>
          <w:rFonts w:ascii="SimSun" w:hAnsi="SimSun" w:eastAsia="SimSun" w:cs="SimSun"/>
          <w:sz w:val="21"/>
          <w:szCs w:val="21"/>
        </w:rPr>
        <w:t xml:space="preserve"> </w:t>
      </w:r>
      <w:r>
        <w:rPr>
          <w:rFonts w:ascii="SimSun" w:hAnsi="SimSun" w:eastAsia="SimSun" w:cs="SimSun"/>
          <w:sz w:val="21"/>
          <w:szCs w:val="21"/>
          <w:spacing w:val="3"/>
        </w:rPr>
        <w:t>与公司治理各方共同努力,合力推动交行高质量发展。</w:t>
      </w:r>
    </w:p>
    <w:p>
      <w:pPr>
        <w:pStyle w:val="BodyText"/>
        <w:spacing w:line="270" w:lineRule="auto"/>
        <w:rPr/>
      </w:pPr>
      <w:r/>
    </w:p>
    <w:p>
      <w:pPr>
        <w:pStyle w:val="BodyText"/>
        <w:spacing w:line="271" w:lineRule="auto"/>
        <w:rPr/>
      </w:pPr>
      <w:r/>
    </w:p>
    <w:p>
      <w:pPr>
        <w:pStyle w:val="BodyText"/>
        <w:spacing w:line="271" w:lineRule="auto"/>
        <w:rPr/>
      </w:pPr>
      <w:r/>
    </w:p>
    <w:p>
      <w:pPr>
        <w:pStyle w:val="BodyText"/>
        <w:spacing w:line="271" w:lineRule="auto"/>
        <w:rPr/>
      </w:pPr>
      <w:r/>
    </w:p>
    <w:p>
      <w:pPr>
        <w:pStyle w:val="BodyText"/>
        <w:spacing w:line="271" w:lineRule="auto"/>
        <w:rPr/>
      </w:pPr>
      <w:r/>
    </w:p>
    <w:p>
      <w:pPr>
        <w:ind w:left="8612"/>
        <w:spacing w:before="69" w:line="562" w:lineRule="exact"/>
        <w:rPr>
          <w:rFonts w:ascii="SimSun" w:hAnsi="SimSun" w:eastAsia="SimSun" w:cs="SimSun"/>
          <w:sz w:val="21"/>
          <w:szCs w:val="21"/>
        </w:rPr>
      </w:pPr>
      <w:r>
        <w:rPr>
          <w:rFonts w:ascii="SimSun" w:hAnsi="SimSun" w:eastAsia="SimSun" w:cs="SimSun"/>
          <w:sz w:val="21"/>
          <w:szCs w:val="21"/>
          <w:spacing w:val="-2"/>
          <w:position w:val="27"/>
        </w:rPr>
        <w:t>徐吉明</w:t>
      </w:r>
    </w:p>
    <w:p>
      <w:pPr>
        <w:ind w:left="8613"/>
        <w:spacing w:line="222" w:lineRule="auto"/>
        <w:rPr>
          <w:rFonts w:ascii="SimSun" w:hAnsi="SimSun" w:eastAsia="SimSun" w:cs="SimSun"/>
          <w:sz w:val="21"/>
          <w:szCs w:val="21"/>
        </w:rPr>
      </w:pPr>
      <w:r>
        <w:rPr>
          <w:rFonts w:ascii="SimSun" w:hAnsi="SimSun" w:eastAsia="SimSun" w:cs="SimSun"/>
          <w:sz w:val="21"/>
          <w:szCs w:val="21"/>
          <w:spacing w:val="-2"/>
        </w:rPr>
        <w:t>监事长</w:t>
      </w:r>
    </w:p>
    <w:p>
      <w:pPr>
        <w:spacing w:line="222" w:lineRule="auto"/>
        <w:sectPr>
          <w:footerReference w:type="default" r:id="rId19"/>
          <w:pgSz w:w="11907" w:h="16839"/>
          <w:pgMar w:top="1164" w:right="1054" w:bottom="1375" w:left="1139" w:header="0" w:footer="1211" w:gutter="0"/>
        </w:sectPr>
        <w:rPr>
          <w:rFonts w:ascii="SimSun" w:hAnsi="SimSun" w:eastAsia="SimSun" w:cs="SimSun"/>
          <w:sz w:val="21"/>
          <w:szCs w:val="21"/>
        </w:rPr>
      </w:pPr>
    </w:p>
    <w:p>
      <w:pPr>
        <w:ind w:left="3134"/>
        <w:spacing w:before="79" w:line="221" w:lineRule="auto"/>
        <w:rPr>
          <w:rFonts w:ascii="SimSun" w:hAnsi="SimSun" w:eastAsia="SimSun" w:cs="SimSun"/>
          <w:sz w:val="40"/>
          <w:szCs w:val="40"/>
        </w:rPr>
      </w:pPr>
      <w:bookmarkStart w:name="bookmark11" w:id="10"/>
      <w:bookmarkEnd w:id="10"/>
      <w:bookmarkStart w:name="bookmark10" w:id="11"/>
      <w:bookmarkEnd w:id="11"/>
      <w:r>
        <w:rPr>
          <w:rFonts w:ascii="SimSun" w:hAnsi="SimSun" w:eastAsia="SimSun" w:cs="SimSun"/>
          <w:sz w:val="40"/>
          <w:szCs w:val="40"/>
          <w:b/>
          <w:bCs/>
          <w:spacing w:val="-6"/>
        </w:rPr>
        <w:t>管理层讨论与分析</w:t>
      </w:r>
    </w:p>
    <w:p>
      <w:pPr>
        <w:ind w:left="427"/>
        <w:spacing w:before="302" w:line="221" w:lineRule="auto"/>
        <w:outlineLvl w:val="0"/>
        <w:rPr>
          <w:rFonts w:ascii="SimSun" w:hAnsi="SimSun" w:eastAsia="SimSun" w:cs="SimSun"/>
          <w:sz w:val="21"/>
          <w:szCs w:val="21"/>
        </w:rPr>
      </w:pPr>
      <w:r>
        <w:rPr>
          <w:rFonts w:ascii="SimSun" w:hAnsi="SimSun" w:eastAsia="SimSun" w:cs="SimSun"/>
          <w:sz w:val="21"/>
          <w:szCs w:val="21"/>
          <w:b/>
          <w:bCs/>
          <w:spacing w:val="-5"/>
        </w:rPr>
        <w:t>一、经济金融形势</w:t>
      </w:r>
    </w:p>
    <w:p>
      <w:pPr>
        <w:ind w:left="1" w:right="73" w:firstLine="415"/>
        <w:spacing w:before="306" w:line="297" w:lineRule="auto"/>
        <w:jc w:val="both"/>
        <w:rPr>
          <w:rFonts w:ascii="SimSun" w:hAnsi="SimSun" w:eastAsia="SimSun" w:cs="SimSun"/>
          <w:sz w:val="21"/>
          <w:szCs w:val="21"/>
        </w:rPr>
      </w:pPr>
      <w:r>
        <w:rPr>
          <w:rFonts w:ascii="Times New Roman" w:hAnsi="Times New Roman" w:eastAsia="Times New Roman" w:cs="Times New Roman"/>
          <w:sz w:val="21"/>
          <w:szCs w:val="21"/>
          <w:spacing w:val="-1"/>
        </w:rPr>
        <w:t>2022 </w:t>
      </w:r>
      <w:r>
        <w:rPr>
          <w:rFonts w:ascii="SimSun" w:hAnsi="SimSun" w:eastAsia="SimSun" w:cs="SimSun"/>
          <w:sz w:val="21"/>
          <w:szCs w:val="21"/>
          <w:spacing w:val="-1"/>
        </w:rPr>
        <w:t>年, 面对复杂严峻的国内外形势和多重超</w:t>
      </w:r>
      <w:r>
        <w:rPr>
          <w:rFonts w:ascii="SimSun" w:hAnsi="SimSun" w:eastAsia="SimSun" w:cs="SimSun"/>
          <w:sz w:val="21"/>
          <w:szCs w:val="21"/>
          <w:spacing w:val="-2"/>
        </w:rPr>
        <w:t>预期因素冲击, 在党中央的坚强领导下, 我国高效统筹</w:t>
      </w:r>
      <w:r>
        <w:rPr>
          <w:rFonts w:ascii="SimSun" w:hAnsi="SimSun" w:eastAsia="SimSun" w:cs="SimSun"/>
          <w:sz w:val="21"/>
          <w:szCs w:val="21"/>
        </w:rPr>
        <w:t xml:space="preserve"> </w:t>
      </w:r>
      <w:r>
        <w:rPr>
          <w:rFonts w:ascii="SimSun" w:hAnsi="SimSun" w:eastAsia="SimSun" w:cs="SimSun"/>
          <w:sz w:val="21"/>
          <w:szCs w:val="21"/>
        </w:rPr>
        <w:t>疫情防控和经济社会发展, 加快落实稳经济一揽子</w:t>
      </w:r>
      <w:r>
        <w:rPr>
          <w:rFonts w:ascii="SimSun" w:hAnsi="SimSun" w:eastAsia="SimSun" w:cs="SimSun"/>
          <w:sz w:val="21"/>
          <w:szCs w:val="21"/>
          <w:spacing w:val="-1"/>
        </w:rPr>
        <w:t>政策和接续措施, 加大保供稳价和助企纾困力度, 工业</w:t>
      </w:r>
      <w:r>
        <w:rPr>
          <w:rFonts w:ascii="SimSun" w:hAnsi="SimSun" w:eastAsia="SimSun" w:cs="SimSun"/>
          <w:sz w:val="21"/>
          <w:szCs w:val="21"/>
        </w:rPr>
        <w:t xml:space="preserve"> </w:t>
      </w:r>
      <w:r>
        <w:rPr>
          <w:rFonts w:ascii="SimSun" w:hAnsi="SimSun" w:eastAsia="SimSun" w:cs="SimSun"/>
          <w:sz w:val="21"/>
          <w:szCs w:val="21"/>
          <w:spacing w:val="-2"/>
        </w:rPr>
        <w:t>生产总体稳定,</w:t>
      </w:r>
      <w:r>
        <w:rPr>
          <w:rFonts w:ascii="SimSun" w:hAnsi="SimSun" w:eastAsia="SimSun" w:cs="SimSun"/>
          <w:sz w:val="21"/>
          <w:szCs w:val="21"/>
          <w:spacing w:val="28"/>
        </w:rPr>
        <w:t xml:space="preserve"> </w:t>
      </w:r>
      <w:r>
        <w:rPr>
          <w:rFonts w:ascii="SimSun" w:hAnsi="SimSun" w:eastAsia="SimSun" w:cs="SimSun"/>
          <w:sz w:val="21"/>
          <w:szCs w:val="21"/>
          <w:spacing w:val="-2"/>
        </w:rPr>
        <w:t>经济总量再上新台阶, 全年国内生产总值首次超过</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2"/>
        </w:rPr>
        <w:t>120 </w:t>
      </w:r>
      <w:r>
        <w:rPr>
          <w:rFonts w:ascii="SimSun" w:hAnsi="SimSun" w:eastAsia="SimSun" w:cs="SimSun"/>
          <w:sz w:val="21"/>
          <w:szCs w:val="21"/>
          <w:spacing w:val="-3"/>
        </w:rPr>
        <w:t>万亿元人民币。同时,</w:t>
      </w:r>
      <w:r>
        <w:rPr>
          <w:rFonts w:ascii="SimSun" w:hAnsi="SimSun" w:eastAsia="SimSun" w:cs="SimSun"/>
          <w:sz w:val="21"/>
          <w:szCs w:val="21"/>
          <w:spacing w:val="33"/>
        </w:rPr>
        <w:t xml:space="preserve"> </w:t>
      </w:r>
      <w:r>
        <w:rPr>
          <w:rFonts w:ascii="SimSun" w:hAnsi="SimSun" w:eastAsia="SimSun" w:cs="SimSun"/>
          <w:sz w:val="21"/>
          <w:szCs w:val="21"/>
          <w:spacing w:val="-3"/>
        </w:rPr>
        <w:t>高质量发展</w:t>
      </w:r>
      <w:r>
        <w:rPr>
          <w:rFonts w:ascii="SimSun" w:hAnsi="SimSun" w:eastAsia="SimSun" w:cs="SimSun"/>
          <w:sz w:val="21"/>
          <w:szCs w:val="21"/>
        </w:rPr>
        <w:t xml:space="preserve"> </w:t>
      </w:r>
      <w:r>
        <w:rPr>
          <w:rFonts w:ascii="SimSun" w:hAnsi="SimSun" w:eastAsia="SimSun" w:cs="SimSun"/>
          <w:sz w:val="21"/>
          <w:szCs w:val="21"/>
          <w:spacing w:val="-2"/>
        </w:rPr>
        <w:t>不断取得新成效,</w:t>
      </w:r>
      <w:r>
        <w:rPr>
          <w:rFonts w:ascii="SimSun" w:hAnsi="SimSun" w:eastAsia="SimSun" w:cs="SimSun"/>
          <w:sz w:val="21"/>
          <w:szCs w:val="21"/>
          <w:spacing w:val="30"/>
        </w:rPr>
        <w:t xml:space="preserve"> </w:t>
      </w:r>
      <w:r>
        <w:rPr>
          <w:rFonts w:ascii="SimSun" w:hAnsi="SimSun" w:eastAsia="SimSun" w:cs="SimSun"/>
          <w:sz w:val="21"/>
          <w:szCs w:val="21"/>
          <w:spacing w:val="-2"/>
        </w:rPr>
        <w:t>高技术制造业等新动能快速成长,</w:t>
      </w:r>
      <w:r>
        <w:rPr>
          <w:rFonts w:ascii="SimSun" w:hAnsi="SimSun" w:eastAsia="SimSun" w:cs="SimSun"/>
          <w:sz w:val="21"/>
          <w:szCs w:val="21"/>
          <w:spacing w:val="28"/>
        </w:rPr>
        <w:t xml:space="preserve"> </w:t>
      </w:r>
      <w:r>
        <w:rPr>
          <w:rFonts w:ascii="SimSun" w:hAnsi="SimSun" w:eastAsia="SimSun" w:cs="SimSun"/>
          <w:sz w:val="21"/>
          <w:szCs w:val="21"/>
          <w:spacing w:val="-2"/>
        </w:rPr>
        <w:t>现代服务</w:t>
      </w:r>
      <w:r>
        <w:rPr>
          <w:rFonts w:ascii="SimSun" w:hAnsi="SimSun" w:eastAsia="SimSun" w:cs="SimSun"/>
          <w:sz w:val="21"/>
          <w:szCs w:val="21"/>
          <w:spacing w:val="-3"/>
        </w:rPr>
        <w:t>业增势较好, 粮食产量再创新高,</w:t>
      </w:r>
      <w:r>
        <w:rPr>
          <w:rFonts w:ascii="SimSun" w:hAnsi="SimSun" w:eastAsia="SimSun" w:cs="SimSun"/>
          <w:sz w:val="21"/>
          <w:szCs w:val="21"/>
          <w:spacing w:val="28"/>
        </w:rPr>
        <w:t xml:space="preserve"> </w:t>
      </w:r>
      <w:r>
        <w:rPr>
          <w:rFonts w:ascii="SimSun" w:hAnsi="SimSun" w:eastAsia="SimSun" w:cs="SimSun"/>
          <w:sz w:val="21"/>
          <w:szCs w:val="21"/>
          <w:spacing w:val="-3"/>
        </w:rPr>
        <w:t>就业物价</w:t>
      </w:r>
      <w:r>
        <w:rPr>
          <w:rFonts w:ascii="SimSun" w:hAnsi="SimSun" w:eastAsia="SimSun" w:cs="SimSun"/>
          <w:sz w:val="21"/>
          <w:szCs w:val="21"/>
        </w:rPr>
        <w:t xml:space="preserve"> </w:t>
      </w:r>
      <w:r>
        <w:rPr>
          <w:rFonts w:ascii="SimSun" w:hAnsi="SimSun" w:eastAsia="SimSun" w:cs="SimSun"/>
          <w:sz w:val="21"/>
          <w:szCs w:val="21"/>
          <w:spacing w:val="-6"/>
        </w:rPr>
        <w:t>保持稳定,</w:t>
      </w:r>
      <w:r>
        <w:rPr>
          <w:rFonts w:ascii="SimSun" w:hAnsi="SimSun" w:eastAsia="SimSun" w:cs="SimSun"/>
          <w:sz w:val="21"/>
          <w:szCs w:val="21"/>
          <w:spacing w:val="58"/>
        </w:rPr>
        <w:t xml:space="preserve"> </w:t>
      </w:r>
      <w:r>
        <w:rPr>
          <w:rFonts w:ascii="SimSun" w:hAnsi="SimSun" w:eastAsia="SimSun" w:cs="SimSun"/>
          <w:sz w:val="21"/>
          <w:szCs w:val="21"/>
          <w:spacing w:val="-6"/>
        </w:rPr>
        <w:t>民生保障坚实有力。</w:t>
      </w:r>
    </w:p>
    <w:p>
      <w:pPr>
        <w:ind w:right="72" w:firstLine="422"/>
        <w:spacing w:before="309" w:line="303" w:lineRule="auto"/>
        <w:jc w:val="both"/>
        <w:rPr>
          <w:rFonts w:ascii="SimSun" w:hAnsi="SimSun" w:eastAsia="SimSun" w:cs="SimSun"/>
          <w:sz w:val="21"/>
          <w:szCs w:val="21"/>
        </w:rPr>
      </w:pPr>
      <w:r>
        <w:rPr>
          <w:rFonts w:ascii="SimSun" w:hAnsi="SimSun" w:eastAsia="SimSun" w:cs="SimSun"/>
          <w:sz w:val="21"/>
          <w:szCs w:val="21"/>
        </w:rPr>
        <w:t>稳健的货币政策和审慎的监管环境, 提升金</w:t>
      </w:r>
      <w:r>
        <w:rPr>
          <w:rFonts w:ascii="SimSun" w:hAnsi="SimSun" w:eastAsia="SimSun" w:cs="SimSun"/>
          <w:sz w:val="21"/>
          <w:szCs w:val="21"/>
          <w:spacing w:val="-1"/>
        </w:rPr>
        <w:t>融服务实体经济质效。报告期内, 人民银行两次降低存款</w:t>
      </w:r>
      <w:r>
        <w:rPr>
          <w:rFonts w:ascii="SimSun" w:hAnsi="SimSun" w:eastAsia="SimSun" w:cs="SimSun"/>
          <w:sz w:val="21"/>
          <w:szCs w:val="21"/>
        </w:rPr>
        <w:t xml:space="preserve"> </w:t>
      </w:r>
      <w:r>
        <w:rPr>
          <w:rFonts w:ascii="SimSun" w:hAnsi="SimSun" w:eastAsia="SimSun" w:cs="SimSun"/>
          <w:sz w:val="21"/>
          <w:szCs w:val="21"/>
          <w:spacing w:val="10"/>
        </w:rPr>
        <w:t>准备金率,引导贷款市场报价利率(</w:t>
      </w:r>
      <w:r>
        <w:rPr>
          <w:rFonts w:ascii="Times New Roman" w:hAnsi="Times New Roman" w:eastAsia="Times New Roman" w:cs="Times New Roman"/>
          <w:sz w:val="21"/>
          <w:szCs w:val="21"/>
        </w:rPr>
        <w:t>LPR</w:t>
      </w:r>
      <w:r>
        <w:rPr>
          <w:rFonts w:ascii="SimSun" w:hAnsi="SimSun" w:eastAsia="SimSun" w:cs="SimSun"/>
          <w:sz w:val="21"/>
          <w:szCs w:val="21"/>
          <w:spacing w:val="10"/>
        </w:rPr>
        <w:t>)下降, 确保市</w:t>
      </w:r>
      <w:r>
        <w:rPr>
          <w:rFonts w:ascii="SimSun" w:hAnsi="SimSun" w:eastAsia="SimSun" w:cs="SimSun"/>
          <w:sz w:val="21"/>
          <w:szCs w:val="21"/>
          <w:spacing w:val="9"/>
        </w:rPr>
        <w:t>场流动性充裕,推动降低企业融资成本。持续发</w:t>
      </w:r>
      <w:r>
        <w:rPr>
          <w:rFonts w:ascii="SimSun" w:hAnsi="SimSun" w:eastAsia="SimSun" w:cs="SimSun"/>
          <w:sz w:val="21"/>
          <w:szCs w:val="21"/>
        </w:rPr>
        <w:t xml:space="preserve"> </w:t>
      </w:r>
      <w:r>
        <w:rPr>
          <w:rFonts w:ascii="SimSun" w:hAnsi="SimSun" w:eastAsia="SimSun" w:cs="SimSun"/>
          <w:sz w:val="21"/>
          <w:szCs w:val="21"/>
          <w:spacing w:val="-1"/>
        </w:rPr>
        <w:t>挥结构性货币政策工具牵引带动作用, 加大对普惠小微、科技</w:t>
      </w:r>
      <w:r>
        <w:rPr>
          <w:rFonts w:ascii="SimSun" w:hAnsi="SimSun" w:eastAsia="SimSun" w:cs="SimSun"/>
          <w:sz w:val="21"/>
          <w:szCs w:val="21"/>
          <w:spacing w:val="-2"/>
        </w:rPr>
        <w:t>创新等重点领域金融支持,</w:t>
      </w:r>
      <w:r>
        <w:rPr>
          <w:rFonts w:ascii="SimSun" w:hAnsi="SimSun" w:eastAsia="SimSun" w:cs="SimSun"/>
          <w:sz w:val="21"/>
          <w:szCs w:val="21"/>
          <w:spacing w:val="42"/>
        </w:rPr>
        <w:t xml:space="preserve"> </w:t>
      </w:r>
      <w:r>
        <w:rPr>
          <w:rFonts w:ascii="SimSun" w:hAnsi="SimSun" w:eastAsia="SimSun" w:cs="SimSun"/>
          <w:sz w:val="21"/>
          <w:szCs w:val="21"/>
          <w:spacing w:val="-2"/>
        </w:rPr>
        <w:t>同时通过政策性</w:t>
      </w:r>
      <w:r>
        <w:rPr>
          <w:rFonts w:ascii="SimSun" w:hAnsi="SimSun" w:eastAsia="SimSun" w:cs="SimSun"/>
          <w:sz w:val="21"/>
          <w:szCs w:val="21"/>
        </w:rPr>
        <w:t xml:space="preserve"> </w:t>
      </w:r>
      <w:r>
        <w:rPr>
          <w:rFonts w:ascii="SimSun" w:hAnsi="SimSun" w:eastAsia="SimSun" w:cs="SimSun"/>
          <w:sz w:val="21"/>
          <w:szCs w:val="21"/>
          <w:spacing w:val="-2"/>
        </w:rPr>
        <w:t>开发性金融工具、设备更新改造专项再贷款等增量工具, 加大对基础设施和重点项目融资支持。</w:t>
      </w:r>
      <w:r>
        <w:rPr>
          <w:rFonts w:ascii="SimSun" w:hAnsi="SimSun" w:eastAsia="SimSun" w:cs="SimSun"/>
          <w:sz w:val="21"/>
          <w:szCs w:val="21"/>
          <w:spacing w:val="-35"/>
        </w:rPr>
        <w:t xml:space="preserve"> </w:t>
      </w:r>
      <w:r>
        <w:rPr>
          <w:rFonts w:ascii="SimSun" w:hAnsi="SimSun" w:eastAsia="SimSun" w:cs="SimSun"/>
          <w:sz w:val="21"/>
          <w:szCs w:val="21"/>
          <w:spacing w:val="-2"/>
        </w:rPr>
        <w:t>完善房地</w:t>
      </w:r>
      <w:r>
        <w:rPr>
          <w:rFonts w:ascii="SimSun" w:hAnsi="SimSun" w:eastAsia="SimSun" w:cs="SimSun"/>
          <w:sz w:val="21"/>
          <w:szCs w:val="21"/>
        </w:rPr>
        <w:t xml:space="preserve"> </w:t>
      </w:r>
      <w:r>
        <w:rPr>
          <w:rFonts w:ascii="SimSun" w:hAnsi="SimSun" w:eastAsia="SimSun" w:cs="SimSun"/>
          <w:sz w:val="21"/>
          <w:szCs w:val="21"/>
          <w:spacing w:val="-1"/>
        </w:rPr>
        <w:t>产金融宏观审慎管理,</w:t>
      </w:r>
      <w:r>
        <w:rPr>
          <w:rFonts w:ascii="SimSun" w:hAnsi="SimSun" w:eastAsia="SimSun" w:cs="SimSun"/>
          <w:sz w:val="21"/>
          <w:szCs w:val="21"/>
          <w:spacing w:val="27"/>
        </w:rPr>
        <w:t xml:space="preserve"> </w:t>
      </w:r>
      <w:r>
        <w:rPr>
          <w:rFonts w:ascii="SimSun" w:hAnsi="SimSun" w:eastAsia="SimSun" w:cs="SimSun"/>
          <w:sz w:val="21"/>
          <w:szCs w:val="21"/>
          <w:spacing w:val="-1"/>
        </w:rPr>
        <w:t>更好满足合理住房信贷需求, 促进房地产市场平稳健康发展。完善金融机</w:t>
      </w:r>
      <w:r>
        <w:rPr>
          <w:rFonts w:ascii="SimSun" w:hAnsi="SimSun" w:eastAsia="SimSun" w:cs="SimSun"/>
          <w:sz w:val="21"/>
          <w:szCs w:val="21"/>
          <w:spacing w:val="-2"/>
        </w:rPr>
        <w:t>构监管框</w:t>
      </w:r>
      <w:r>
        <w:rPr>
          <w:rFonts w:ascii="SimSun" w:hAnsi="SimSun" w:eastAsia="SimSun" w:cs="SimSun"/>
          <w:sz w:val="21"/>
          <w:szCs w:val="21"/>
        </w:rPr>
        <w:t xml:space="preserve"> </w:t>
      </w:r>
      <w:r>
        <w:rPr>
          <w:rFonts w:ascii="SimSun" w:hAnsi="SimSun" w:eastAsia="SimSun" w:cs="SimSun"/>
          <w:sz w:val="21"/>
          <w:szCs w:val="21"/>
          <w:spacing w:val="4"/>
        </w:rPr>
        <w:t>架,评估认定 </w:t>
      </w:r>
      <w:r>
        <w:rPr>
          <w:rFonts w:ascii="Times New Roman" w:hAnsi="Times New Roman" w:eastAsia="Times New Roman" w:cs="Times New Roman"/>
          <w:sz w:val="21"/>
          <w:szCs w:val="21"/>
          <w:spacing w:val="4"/>
        </w:rPr>
        <w:t>19  </w:t>
      </w:r>
      <w:r>
        <w:rPr>
          <w:rFonts w:ascii="SimSun" w:hAnsi="SimSun" w:eastAsia="SimSun" w:cs="SimSun"/>
          <w:sz w:val="21"/>
          <w:szCs w:val="21"/>
          <w:spacing w:val="4"/>
        </w:rPr>
        <w:t>家国内系统重要性银行,持续做好对系统重要性银行的附加监管</w:t>
      </w:r>
      <w:r>
        <w:rPr>
          <w:rFonts w:ascii="SimSun" w:hAnsi="SimSun" w:eastAsia="SimSun" w:cs="SimSun"/>
          <w:sz w:val="21"/>
          <w:szCs w:val="21"/>
          <w:spacing w:val="3"/>
        </w:rPr>
        <w:t>。坚持市场化、法治化</w:t>
      </w:r>
      <w:r>
        <w:rPr>
          <w:rFonts w:ascii="SimSun" w:hAnsi="SimSun" w:eastAsia="SimSun" w:cs="SimSun"/>
          <w:sz w:val="21"/>
          <w:szCs w:val="21"/>
        </w:rPr>
        <w:t xml:space="preserve"> </w:t>
      </w:r>
      <w:r>
        <w:rPr>
          <w:rFonts w:ascii="SimSun" w:hAnsi="SimSun" w:eastAsia="SimSun" w:cs="SimSun"/>
          <w:sz w:val="21"/>
          <w:szCs w:val="21"/>
          <w:spacing w:val="-2"/>
        </w:rPr>
        <w:t>处置风险事件,</w:t>
      </w:r>
      <w:r>
        <w:rPr>
          <w:rFonts w:ascii="SimSun" w:hAnsi="SimSun" w:eastAsia="SimSun" w:cs="SimSun"/>
          <w:sz w:val="21"/>
          <w:szCs w:val="21"/>
          <w:spacing w:val="43"/>
        </w:rPr>
        <w:t xml:space="preserve"> </w:t>
      </w:r>
      <w:r>
        <w:rPr>
          <w:rFonts w:ascii="SimSun" w:hAnsi="SimSun" w:eastAsia="SimSun" w:cs="SimSun"/>
          <w:sz w:val="21"/>
          <w:szCs w:val="21"/>
          <w:spacing w:val="-2"/>
        </w:rPr>
        <w:t>确保银行业金融机构整体经营稳健。</w:t>
      </w:r>
    </w:p>
    <w:p>
      <w:pPr>
        <w:pStyle w:val="BodyText"/>
        <w:rPr/>
      </w:pPr>
      <w:r/>
    </w:p>
    <w:p>
      <w:pPr>
        <w:ind w:right="72" w:firstLine="422"/>
        <w:spacing w:before="69" w:line="284" w:lineRule="auto"/>
        <w:jc w:val="both"/>
        <w:rPr>
          <w:rFonts w:ascii="SimSun" w:hAnsi="SimSun" w:eastAsia="SimSun" w:cs="SimSun"/>
          <w:sz w:val="21"/>
          <w:szCs w:val="21"/>
        </w:rPr>
      </w:pPr>
      <w:r>
        <w:rPr>
          <w:rFonts w:ascii="SimSun" w:hAnsi="SimSun" w:eastAsia="SimSun" w:cs="SimSun"/>
          <w:sz w:val="21"/>
          <w:szCs w:val="21"/>
        </w:rPr>
        <w:t>银行业持续加大实体经济支持力度, 在审慎经</w:t>
      </w:r>
      <w:r>
        <w:rPr>
          <w:rFonts w:ascii="SimSun" w:hAnsi="SimSun" w:eastAsia="SimSun" w:cs="SimSun"/>
          <w:sz w:val="21"/>
          <w:szCs w:val="21"/>
          <w:spacing w:val="-1"/>
        </w:rPr>
        <w:t>营前提下增加贷款投放, 信贷结构持续优化, 扩大制造</w:t>
      </w:r>
      <w:r>
        <w:rPr>
          <w:rFonts w:ascii="SimSun" w:hAnsi="SimSun" w:eastAsia="SimSun" w:cs="SimSun"/>
          <w:sz w:val="21"/>
          <w:szCs w:val="21"/>
        </w:rPr>
        <w:t xml:space="preserve"> </w:t>
      </w:r>
      <w:r>
        <w:rPr>
          <w:rFonts w:ascii="SimSun" w:hAnsi="SimSun" w:eastAsia="SimSun" w:cs="SimSun"/>
          <w:sz w:val="21"/>
          <w:szCs w:val="21"/>
        </w:rPr>
        <w:t>业中长期贷款、普惠小微贷款投放, 加强对科技创</w:t>
      </w:r>
      <w:r>
        <w:rPr>
          <w:rFonts w:ascii="SimSun" w:hAnsi="SimSun" w:eastAsia="SimSun" w:cs="SimSun"/>
          <w:sz w:val="21"/>
          <w:szCs w:val="21"/>
          <w:spacing w:val="-1"/>
        </w:rPr>
        <w:t>新、绿色低碳、现代农业等重点领域的金融供给。贷款</w:t>
      </w:r>
      <w:r>
        <w:rPr>
          <w:rFonts w:ascii="SimSun" w:hAnsi="SimSun" w:eastAsia="SimSun" w:cs="SimSun"/>
          <w:sz w:val="21"/>
          <w:szCs w:val="21"/>
        </w:rPr>
        <w:t xml:space="preserve"> </w:t>
      </w:r>
      <w:r>
        <w:rPr>
          <w:rFonts w:ascii="SimSun" w:hAnsi="SimSun" w:eastAsia="SimSun" w:cs="SimSun"/>
          <w:sz w:val="21"/>
          <w:szCs w:val="21"/>
          <w:spacing w:val="-1"/>
        </w:rPr>
        <w:t>利率稳中有降,</w:t>
      </w:r>
      <w:r>
        <w:rPr>
          <w:rFonts w:ascii="SimSun" w:hAnsi="SimSun" w:eastAsia="SimSun" w:cs="SimSun"/>
          <w:sz w:val="21"/>
          <w:szCs w:val="21"/>
          <w:spacing w:val="26"/>
        </w:rPr>
        <w:t xml:space="preserve"> </w:t>
      </w:r>
      <w:r>
        <w:rPr>
          <w:rFonts w:ascii="SimSun" w:hAnsi="SimSun" w:eastAsia="SimSun" w:cs="SimSun"/>
          <w:sz w:val="21"/>
          <w:szCs w:val="21"/>
          <w:spacing w:val="-1"/>
        </w:rPr>
        <w:t>贷款加权平均利率持续处于历史低位,</w:t>
      </w:r>
      <w:r>
        <w:rPr>
          <w:rFonts w:ascii="SimSun" w:hAnsi="SimSun" w:eastAsia="SimSun" w:cs="SimSun"/>
          <w:sz w:val="21"/>
          <w:szCs w:val="21"/>
          <w:spacing w:val="32"/>
        </w:rPr>
        <w:t xml:space="preserve"> </w:t>
      </w:r>
      <w:r>
        <w:rPr>
          <w:rFonts w:ascii="SimSun" w:hAnsi="SimSun" w:eastAsia="SimSun" w:cs="SimSun"/>
          <w:sz w:val="21"/>
          <w:szCs w:val="21"/>
          <w:spacing w:val="-1"/>
        </w:rPr>
        <w:t>推动银行</w:t>
      </w:r>
      <w:r>
        <w:rPr>
          <w:rFonts w:ascii="SimSun" w:hAnsi="SimSun" w:eastAsia="SimSun" w:cs="SimSun"/>
          <w:sz w:val="21"/>
          <w:szCs w:val="21"/>
          <w:spacing w:val="-2"/>
        </w:rPr>
        <w:t>业金融机构向实体经济合理让利。</w:t>
      </w:r>
    </w:p>
    <w:p>
      <w:pPr>
        <w:pStyle w:val="BodyText"/>
        <w:spacing w:line="241" w:lineRule="auto"/>
        <w:rPr/>
      </w:pPr>
      <w:r/>
    </w:p>
    <w:p>
      <w:pPr>
        <w:ind w:left="427"/>
        <w:spacing w:before="68" w:line="221" w:lineRule="auto"/>
        <w:outlineLvl w:val="0"/>
        <w:rPr>
          <w:rFonts w:ascii="SimSun" w:hAnsi="SimSun" w:eastAsia="SimSun" w:cs="SimSun"/>
          <w:sz w:val="21"/>
          <w:szCs w:val="21"/>
        </w:rPr>
      </w:pPr>
      <w:bookmarkStart w:name="bookmark12" w:id="12"/>
      <w:bookmarkEnd w:id="12"/>
      <w:r>
        <w:rPr>
          <w:rFonts w:ascii="SimSun" w:hAnsi="SimSun" w:eastAsia="SimSun" w:cs="SimSun"/>
          <w:sz w:val="21"/>
          <w:szCs w:val="21"/>
          <w:b/>
          <w:bCs/>
          <w:spacing w:val="-3"/>
        </w:rPr>
        <w:t>二、财务报表分析</w:t>
      </w:r>
    </w:p>
    <w:p>
      <w:pPr>
        <w:ind w:left="14" w:right="75" w:firstLine="405"/>
        <w:spacing w:before="310" w:line="284" w:lineRule="auto"/>
        <w:jc w:val="both"/>
        <w:rPr>
          <w:rFonts w:ascii="SimSun" w:hAnsi="SimSun" w:eastAsia="SimSun" w:cs="SimSun"/>
          <w:sz w:val="21"/>
          <w:szCs w:val="21"/>
        </w:rPr>
      </w:pPr>
      <w:r>
        <w:rPr>
          <w:rFonts w:ascii="SimSun" w:hAnsi="SimSun" w:eastAsia="SimSun" w:cs="SimSun"/>
          <w:sz w:val="21"/>
          <w:szCs w:val="21"/>
          <w:spacing w:val="1"/>
        </w:rPr>
        <w:t>报告期内,</w:t>
      </w:r>
      <w:r>
        <w:rPr>
          <w:rFonts w:ascii="SimSun" w:hAnsi="SimSun" w:eastAsia="SimSun" w:cs="SimSun"/>
          <w:sz w:val="21"/>
          <w:szCs w:val="21"/>
          <w:spacing w:val="27"/>
        </w:rPr>
        <w:t xml:space="preserve"> </w:t>
      </w:r>
      <w:r>
        <w:rPr>
          <w:rFonts w:ascii="SimSun" w:hAnsi="SimSun" w:eastAsia="SimSun" w:cs="SimSun"/>
          <w:sz w:val="21"/>
          <w:szCs w:val="21"/>
          <w:spacing w:val="1"/>
        </w:rPr>
        <w:t>本集团坚决贯彻落实党中央各项决策部署,</w:t>
      </w:r>
      <w:r>
        <w:rPr>
          <w:rFonts w:ascii="SimSun" w:hAnsi="SimSun" w:eastAsia="SimSun" w:cs="SimSun"/>
          <w:sz w:val="21"/>
          <w:szCs w:val="21"/>
          <w:spacing w:val="27"/>
        </w:rPr>
        <w:t xml:space="preserve"> </w:t>
      </w:r>
      <w:r>
        <w:rPr>
          <w:rFonts w:ascii="SimSun" w:hAnsi="SimSun" w:eastAsia="SimSun" w:cs="SimSun"/>
          <w:sz w:val="21"/>
          <w:szCs w:val="21"/>
          <w:spacing w:val="1"/>
        </w:rPr>
        <w:t>坚</w:t>
      </w:r>
      <w:r>
        <w:rPr>
          <w:rFonts w:ascii="SimSun" w:hAnsi="SimSun" w:eastAsia="SimSun" w:cs="SimSun"/>
          <w:sz w:val="21"/>
          <w:szCs w:val="21"/>
        </w:rPr>
        <w:t>持稳中求进工作总基调, 全面贯彻"疫情要 </w:t>
      </w:r>
      <w:r>
        <w:rPr>
          <w:rFonts w:ascii="SimSun" w:hAnsi="SimSun" w:eastAsia="SimSun" w:cs="SimSun"/>
          <w:sz w:val="21"/>
          <w:szCs w:val="21"/>
          <w:spacing w:val="14"/>
        </w:rPr>
        <w:t>防住,经济要稳住,</w:t>
      </w:r>
      <w:r>
        <w:rPr>
          <w:rFonts w:ascii="SimSun" w:hAnsi="SimSun" w:eastAsia="SimSun" w:cs="SimSun"/>
          <w:sz w:val="21"/>
          <w:szCs w:val="21"/>
          <w:spacing w:val="45"/>
        </w:rPr>
        <w:t xml:space="preserve"> </w:t>
      </w:r>
      <w:r>
        <w:rPr>
          <w:rFonts w:ascii="SimSun" w:hAnsi="SimSun" w:eastAsia="SimSun" w:cs="SimSun"/>
          <w:sz w:val="21"/>
          <w:szCs w:val="21"/>
          <w:spacing w:val="14"/>
        </w:rPr>
        <w:t>发展要安全"的要求,持续推进金融工作"三项任务",各项工作保持并巩固了"稳</w:t>
      </w:r>
      <w:r>
        <w:rPr>
          <w:rFonts w:ascii="SimSun" w:hAnsi="SimSun" w:eastAsia="SimSun" w:cs="SimSun"/>
          <w:sz w:val="21"/>
          <w:szCs w:val="21"/>
        </w:rPr>
        <w:t xml:space="preserve"> </w:t>
      </w:r>
      <w:r>
        <w:rPr>
          <w:rFonts w:ascii="SimSun" w:hAnsi="SimSun" w:eastAsia="SimSun" w:cs="SimSun"/>
          <w:sz w:val="21"/>
          <w:szCs w:val="21"/>
          <w:spacing w:val="5"/>
        </w:rPr>
        <w:t>中有进,稳中提质" 的良好态势。</w:t>
      </w:r>
    </w:p>
    <w:p>
      <w:pPr>
        <w:pStyle w:val="BodyText"/>
        <w:rPr/>
      </w:pPr>
      <w:r/>
    </w:p>
    <w:p>
      <w:pPr>
        <w:ind w:right="74" w:firstLine="431"/>
        <w:spacing w:before="68" w:line="284" w:lineRule="auto"/>
        <w:jc w:val="both"/>
        <w:rPr>
          <w:rFonts w:ascii="SimSun" w:hAnsi="SimSun" w:eastAsia="SimSun" w:cs="SimSun"/>
          <w:sz w:val="21"/>
          <w:szCs w:val="21"/>
        </w:rPr>
      </w:pPr>
      <w:r>
        <w:rPr>
          <w:rFonts w:ascii="SimSun" w:hAnsi="SimSun" w:eastAsia="SimSun" w:cs="SimSun"/>
          <w:sz w:val="21"/>
          <w:szCs w:val="21"/>
          <w:b/>
          <w:bCs/>
          <w:spacing w:val="6"/>
        </w:rPr>
        <w:t>聚焦价值创造,盈利能力保持稳定。</w:t>
      </w:r>
      <w:r>
        <w:rPr>
          <w:rFonts w:ascii="SimSun" w:hAnsi="SimSun" w:eastAsia="SimSun" w:cs="SimSun"/>
          <w:sz w:val="21"/>
          <w:szCs w:val="21"/>
          <w:spacing w:val="6"/>
        </w:rPr>
        <w:t>报告期内,集</w:t>
      </w:r>
      <w:r>
        <w:rPr>
          <w:rFonts w:ascii="SimSun" w:hAnsi="SimSun" w:eastAsia="SimSun" w:cs="SimSun"/>
          <w:sz w:val="21"/>
          <w:szCs w:val="21"/>
          <w:spacing w:val="5"/>
        </w:rPr>
        <w:t>团实现净利润(归属于母公司股东) </w:t>
      </w:r>
      <w:r>
        <w:rPr>
          <w:rFonts w:ascii="Times New Roman" w:hAnsi="Times New Roman" w:eastAsia="Times New Roman" w:cs="Times New Roman"/>
          <w:sz w:val="21"/>
          <w:szCs w:val="21"/>
          <w:spacing w:val="5"/>
        </w:rPr>
        <w:t>921.49  </w:t>
      </w:r>
      <w:r>
        <w:rPr>
          <w:rFonts w:ascii="SimSun" w:hAnsi="SimSun" w:eastAsia="SimSun" w:cs="SimSun"/>
          <w:sz w:val="21"/>
          <w:szCs w:val="21"/>
          <w:spacing w:val="5"/>
        </w:rPr>
        <w:t>亿元,</w:t>
      </w:r>
      <w:r>
        <w:rPr>
          <w:rFonts w:ascii="SimSun" w:hAnsi="SimSun" w:eastAsia="SimSun" w:cs="SimSun"/>
          <w:sz w:val="21"/>
          <w:szCs w:val="21"/>
        </w:rPr>
        <w:t xml:space="preserve"> </w:t>
      </w:r>
      <w:r>
        <w:rPr>
          <w:rFonts w:ascii="SimSun" w:hAnsi="SimSun" w:eastAsia="SimSun" w:cs="SimSun"/>
          <w:sz w:val="21"/>
          <w:szCs w:val="21"/>
          <w:spacing w:val="1"/>
        </w:rPr>
        <w:t>同比增长</w:t>
      </w:r>
      <w:r>
        <w:rPr>
          <w:rFonts w:ascii="SimSun" w:hAnsi="SimSun" w:eastAsia="SimSun" w:cs="SimSun"/>
          <w:sz w:val="21"/>
          <w:szCs w:val="21"/>
          <w:spacing w:val="-24"/>
        </w:rPr>
        <w:t xml:space="preserve"> </w:t>
      </w:r>
      <w:r>
        <w:rPr>
          <w:rFonts w:ascii="Times New Roman" w:hAnsi="Times New Roman" w:eastAsia="Times New Roman" w:cs="Times New Roman"/>
          <w:sz w:val="21"/>
          <w:szCs w:val="21"/>
          <w:spacing w:val="1"/>
        </w:rPr>
        <w:t>5.22%</w:t>
      </w:r>
      <w:r>
        <w:rPr>
          <w:rFonts w:ascii="SimSun" w:hAnsi="SimSun" w:eastAsia="SimSun" w:cs="SimSun"/>
          <w:sz w:val="21"/>
          <w:szCs w:val="21"/>
          <w:spacing w:val="1"/>
        </w:rPr>
        <w:t>;实现营业收入</w:t>
      </w:r>
      <w:r>
        <w:rPr>
          <w:rFonts w:ascii="SimSun" w:hAnsi="SimSun" w:eastAsia="SimSun" w:cs="SimSun"/>
          <w:sz w:val="21"/>
          <w:szCs w:val="21"/>
          <w:spacing w:val="-30"/>
        </w:rPr>
        <w:t xml:space="preserve"> </w:t>
      </w:r>
      <w:r>
        <w:rPr>
          <w:rFonts w:ascii="Times New Roman" w:hAnsi="Times New Roman" w:eastAsia="Times New Roman" w:cs="Times New Roman"/>
          <w:sz w:val="21"/>
          <w:szCs w:val="21"/>
          <w:spacing w:val="1"/>
        </w:rPr>
        <w:t>2,729.78</w:t>
      </w:r>
      <w:r>
        <w:rPr>
          <w:rFonts w:ascii="Times New Roman" w:hAnsi="Times New Roman" w:eastAsia="Times New Roman" w:cs="Times New Roman"/>
          <w:sz w:val="21"/>
          <w:szCs w:val="21"/>
          <w:spacing w:val="26"/>
        </w:rPr>
        <w:t xml:space="preserve"> </w:t>
      </w:r>
      <w:r>
        <w:rPr>
          <w:rFonts w:ascii="SimSun" w:hAnsi="SimSun" w:eastAsia="SimSun" w:cs="SimSun"/>
          <w:sz w:val="21"/>
          <w:szCs w:val="21"/>
          <w:spacing w:val="1"/>
        </w:rPr>
        <w:t>亿元,</w:t>
      </w:r>
      <w:r>
        <w:rPr>
          <w:rFonts w:ascii="SimSun" w:hAnsi="SimSun" w:eastAsia="SimSun" w:cs="SimSun"/>
          <w:sz w:val="21"/>
          <w:szCs w:val="21"/>
          <w:spacing w:val="49"/>
        </w:rPr>
        <w:t xml:space="preserve"> </w:t>
      </w:r>
      <w:r>
        <w:rPr>
          <w:rFonts w:ascii="SimSun" w:hAnsi="SimSun" w:eastAsia="SimSun" w:cs="SimSun"/>
          <w:sz w:val="21"/>
          <w:szCs w:val="21"/>
          <w:spacing w:val="1"/>
        </w:rPr>
        <w:t>同比增长 </w:t>
      </w:r>
      <w:r>
        <w:rPr>
          <w:rFonts w:ascii="Times New Roman" w:hAnsi="Times New Roman" w:eastAsia="Times New Roman" w:cs="Times New Roman"/>
          <w:sz w:val="21"/>
          <w:szCs w:val="21"/>
          <w:spacing w:val="1"/>
        </w:rPr>
        <w:t>1.33%</w:t>
      </w:r>
      <w:r>
        <w:rPr>
          <w:rFonts w:ascii="SimSun" w:hAnsi="SimSun" w:eastAsia="SimSun" w:cs="SimSun"/>
          <w:sz w:val="21"/>
          <w:szCs w:val="21"/>
          <w:spacing w:val="1"/>
        </w:rPr>
        <w:t>。净利息收益率 </w:t>
      </w:r>
      <w:r>
        <w:rPr>
          <w:rFonts w:ascii="Times New Roman" w:hAnsi="Times New Roman" w:eastAsia="Times New Roman" w:cs="Times New Roman"/>
          <w:sz w:val="21"/>
          <w:szCs w:val="21"/>
          <w:spacing w:val="1"/>
        </w:rPr>
        <w:t>1.48%</w:t>
      </w:r>
      <w:r>
        <w:rPr>
          <w:rFonts w:ascii="SimSun" w:hAnsi="SimSun" w:eastAsia="SimSun" w:cs="SimSun"/>
          <w:sz w:val="21"/>
          <w:szCs w:val="21"/>
          <w:spacing w:val="1"/>
        </w:rPr>
        <w:t>,平均资产收益率</w:t>
      </w:r>
      <w:r>
        <w:rPr>
          <w:rFonts w:ascii="SimSun" w:hAnsi="SimSun" w:eastAsia="SimSun" w:cs="SimSun"/>
          <w:sz w:val="21"/>
          <w:szCs w:val="21"/>
        </w:rPr>
        <w:t xml:space="preserve"> </w:t>
      </w:r>
      <w:r>
        <w:rPr>
          <w:rFonts w:ascii="Times New Roman" w:hAnsi="Times New Roman" w:eastAsia="Times New Roman" w:cs="Times New Roman"/>
          <w:sz w:val="21"/>
          <w:szCs w:val="21"/>
          <w:spacing w:val="-3"/>
        </w:rPr>
        <w:t>0.75%</w:t>
      </w:r>
      <w:r>
        <w:rPr>
          <w:rFonts w:ascii="SimSun" w:hAnsi="SimSun" w:eastAsia="SimSun" w:cs="SimSun"/>
          <w:sz w:val="21"/>
          <w:szCs w:val="21"/>
          <w:spacing w:val="-3"/>
        </w:rPr>
        <w:t>,</w:t>
      </w:r>
      <w:r>
        <w:rPr>
          <w:rFonts w:ascii="SimSun" w:hAnsi="SimSun" w:eastAsia="SimSun" w:cs="SimSun"/>
          <w:sz w:val="21"/>
          <w:szCs w:val="21"/>
          <w:spacing w:val="41"/>
        </w:rPr>
        <w:t xml:space="preserve"> </w:t>
      </w:r>
      <w:r>
        <w:rPr>
          <w:rFonts w:ascii="SimSun" w:hAnsi="SimSun" w:eastAsia="SimSun" w:cs="SimSun"/>
          <w:sz w:val="21"/>
          <w:szCs w:val="21"/>
          <w:spacing w:val="-3"/>
        </w:rPr>
        <w:t>加权平均净资产收益率</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3"/>
        </w:rPr>
        <w:t>10.33%</w:t>
      </w:r>
      <w:r>
        <w:rPr>
          <w:rFonts w:ascii="SimSun" w:hAnsi="SimSun" w:eastAsia="SimSun" w:cs="SimSun"/>
          <w:sz w:val="21"/>
          <w:szCs w:val="21"/>
          <w:spacing w:val="-3"/>
        </w:rPr>
        <w:t>。</w:t>
      </w:r>
    </w:p>
    <w:p>
      <w:pPr>
        <w:pStyle w:val="BodyText"/>
        <w:spacing w:line="241" w:lineRule="auto"/>
        <w:rPr/>
      </w:pPr>
      <w:r/>
    </w:p>
    <w:p>
      <w:pPr>
        <w:ind w:firstLine="422"/>
        <w:spacing w:before="69" w:line="282" w:lineRule="auto"/>
        <w:jc w:val="both"/>
        <w:rPr>
          <w:rFonts w:ascii="SimSun" w:hAnsi="SimSun" w:eastAsia="SimSun" w:cs="SimSun"/>
          <w:sz w:val="21"/>
          <w:szCs w:val="21"/>
        </w:rPr>
      </w:pPr>
      <w:r>
        <w:rPr>
          <w:rFonts w:ascii="SimSun" w:hAnsi="SimSun" w:eastAsia="SimSun" w:cs="SimSun"/>
          <w:sz w:val="21"/>
          <w:szCs w:val="21"/>
          <w:b/>
          <w:bCs/>
          <w:spacing w:val="1"/>
        </w:rPr>
        <w:t>加大资产投放,积极服务实体经济。</w:t>
      </w:r>
      <w:r>
        <w:rPr>
          <w:rFonts w:ascii="SimSun" w:hAnsi="SimSun" w:eastAsia="SimSun" w:cs="SimSun"/>
          <w:sz w:val="21"/>
          <w:szCs w:val="21"/>
          <w:spacing w:val="1"/>
        </w:rPr>
        <w:t>报告期末,</w:t>
      </w:r>
      <w:r>
        <w:rPr>
          <w:rFonts w:ascii="SimSun" w:hAnsi="SimSun" w:eastAsia="SimSun" w:cs="SimSun"/>
          <w:sz w:val="21"/>
          <w:szCs w:val="21"/>
          <w:spacing w:val="29"/>
        </w:rPr>
        <w:t xml:space="preserve"> </w:t>
      </w:r>
      <w:r>
        <w:rPr>
          <w:rFonts w:ascii="SimSun" w:hAnsi="SimSun" w:eastAsia="SimSun" w:cs="SimSun"/>
          <w:sz w:val="21"/>
          <w:szCs w:val="21"/>
          <w:spacing w:val="1"/>
        </w:rPr>
        <w:t>集团资产总额 </w:t>
      </w:r>
      <w:r>
        <w:rPr>
          <w:rFonts w:ascii="Times New Roman" w:hAnsi="Times New Roman" w:eastAsia="Times New Roman" w:cs="Times New Roman"/>
          <w:sz w:val="21"/>
          <w:szCs w:val="21"/>
          <w:spacing w:val="1"/>
        </w:rPr>
        <w:t>12.99</w:t>
      </w:r>
      <w:r>
        <w:rPr>
          <w:rFonts w:ascii="Times New Roman" w:hAnsi="Times New Roman" w:eastAsia="Times New Roman" w:cs="Times New Roman"/>
          <w:sz w:val="21"/>
          <w:szCs w:val="21"/>
          <w:spacing w:val="33"/>
        </w:rPr>
        <w:t xml:space="preserve"> </w:t>
      </w:r>
      <w:r>
        <w:rPr>
          <w:rFonts w:ascii="SimSun" w:hAnsi="SimSun" w:eastAsia="SimSun" w:cs="SimSun"/>
          <w:sz w:val="21"/>
          <w:szCs w:val="21"/>
          <w:spacing w:val="1"/>
        </w:rPr>
        <w:t>万亿元</w:t>
      </w:r>
      <w:r>
        <w:rPr>
          <w:rFonts w:ascii="SimSun" w:hAnsi="SimSun" w:eastAsia="SimSun" w:cs="SimSun"/>
          <w:sz w:val="21"/>
          <w:szCs w:val="21"/>
        </w:rPr>
        <w:t>,较上年末增长 </w:t>
      </w:r>
      <w:r>
        <w:rPr>
          <w:rFonts w:ascii="Times New Roman" w:hAnsi="Times New Roman" w:eastAsia="Times New Roman" w:cs="Times New Roman"/>
          <w:sz w:val="21"/>
          <w:szCs w:val="21"/>
        </w:rPr>
        <w:t>11.37%</w:t>
      </w:r>
      <w:r>
        <w:rPr>
          <w:rFonts w:ascii="SimSun" w:hAnsi="SimSun" w:eastAsia="SimSun" w:cs="SimSun"/>
          <w:sz w:val="21"/>
          <w:szCs w:val="21"/>
        </w:rPr>
        <w:t>。 </w:t>
      </w:r>
      <w:r>
        <w:rPr>
          <w:rFonts w:ascii="SimSun" w:hAnsi="SimSun" w:eastAsia="SimSun" w:cs="SimSun"/>
          <w:sz w:val="21"/>
          <w:szCs w:val="21"/>
          <w:spacing w:val="-3"/>
        </w:rPr>
        <w:t>其中客户贷款余额</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3"/>
        </w:rPr>
        <w:t>7.30 </w:t>
      </w:r>
      <w:r>
        <w:rPr>
          <w:rFonts w:ascii="SimSun" w:hAnsi="SimSun" w:eastAsia="SimSun" w:cs="SimSun"/>
          <w:sz w:val="21"/>
          <w:szCs w:val="21"/>
          <w:spacing w:val="-3"/>
        </w:rPr>
        <w:t>万亿元, 较上年末增加</w:t>
      </w:r>
      <w:r>
        <w:rPr>
          <w:rFonts w:ascii="SimSun" w:hAnsi="SimSun" w:eastAsia="SimSun" w:cs="SimSun"/>
          <w:sz w:val="21"/>
          <w:szCs w:val="21"/>
          <w:spacing w:val="-46"/>
        </w:rPr>
        <w:t xml:space="preserve"> </w:t>
      </w:r>
      <w:r>
        <w:rPr>
          <w:rFonts w:ascii="Times New Roman" w:hAnsi="Times New Roman" w:eastAsia="Times New Roman" w:cs="Times New Roman"/>
          <w:sz w:val="21"/>
          <w:szCs w:val="21"/>
          <w:spacing w:val="-3"/>
        </w:rPr>
        <w:t>7,358 </w:t>
      </w:r>
      <w:r>
        <w:rPr>
          <w:rFonts w:ascii="SimSun" w:hAnsi="SimSun" w:eastAsia="SimSun" w:cs="SimSun"/>
          <w:sz w:val="21"/>
          <w:szCs w:val="21"/>
          <w:spacing w:val="-3"/>
        </w:rPr>
        <w:t>亿</w:t>
      </w:r>
      <w:r>
        <w:rPr>
          <w:rFonts w:ascii="SimSun" w:hAnsi="SimSun" w:eastAsia="SimSun" w:cs="SimSun"/>
          <w:sz w:val="21"/>
          <w:szCs w:val="21"/>
          <w:spacing w:val="-4"/>
        </w:rPr>
        <w:t>元, 增幅</w:t>
      </w:r>
      <w:r>
        <w:rPr>
          <w:rFonts w:ascii="SimSun" w:hAnsi="SimSun" w:eastAsia="SimSun" w:cs="SimSun"/>
          <w:sz w:val="21"/>
          <w:szCs w:val="21"/>
          <w:spacing w:val="-30"/>
        </w:rPr>
        <w:t xml:space="preserve"> </w:t>
      </w:r>
      <w:r>
        <w:rPr>
          <w:rFonts w:ascii="Times New Roman" w:hAnsi="Times New Roman" w:eastAsia="Times New Roman" w:cs="Times New Roman"/>
          <w:sz w:val="21"/>
          <w:szCs w:val="21"/>
          <w:spacing w:val="-4"/>
        </w:rPr>
        <w:t>11.22%</w:t>
      </w:r>
      <w:r>
        <w:rPr>
          <w:rFonts w:ascii="Times New Roman" w:hAnsi="Times New Roman" w:eastAsia="Times New Roman" w:cs="Times New Roman"/>
          <w:sz w:val="21"/>
          <w:szCs w:val="21"/>
          <w:spacing w:val="-30"/>
        </w:rPr>
        <w:t xml:space="preserve"> </w:t>
      </w:r>
      <w:r>
        <w:rPr>
          <w:rFonts w:ascii="SimSun" w:hAnsi="SimSun" w:eastAsia="SimSun" w:cs="SimSun"/>
          <w:sz w:val="21"/>
          <w:szCs w:val="21"/>
          <w:spacing w:val="-4"/>
        </w:rPr>
        <w:t>,</w:t>
      </w:r>
      <w:r>
        <w:rPr>
          <w:rFonts w:ascii="SimSun" w:hAnsi="SimSun" w:eastAsia="SimSun" w:cs="SimSun"/>
          <w:sz w:val="21"/>
          <w:szCs w:val="21"/>
          <w:spacing w:val="28"/>
        </w:rPr>
        <w:t xml:space="preserve"> </w:t>
      </w:r>
      <w:r>
        <w:rPr>
          <w:rFonts w:ascii="SimSun" w:hAnsi="SimSun" w:eastAsia="SimSun" w:cs="SimSun"/>
          <w:sz w:val="21"/>
          <w:szCs w:val="21"/>
          <w:spacing w:val="-4"/>
        </w:rPr>
        <w:t>同比多增</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4"/>
        </w:rPr>
        <w:t>238</w:t>
      </w:r>
      <w:r>
        <w:rPr>
          <w:rFonts w:ascii="Times New Roman" w:hAnsi="Times New Roman" w:eastAsia="Times New Roman" w:cs="Times New Roman"/>
          <w:sz w:val="21"/>
          <w:szCs w:val="21"/>
          <w:spacing w:val="10"/>
        </w:rPr>
        <w:t xml:space="preserve"> </w:t>
      </w:r>
      <w:r>
        <w:rPr>
          <w:rFonts w:ascii="SimSun" w:hAnsi="SimSun" w:eastAsia="SimSun" w:cs="SimSun"/>
          <w:sz w:val="21"/>
          <w:szCs w:val="21"/>
          <w:spacing w:val="-4"/>
        </w:rPr>
        <w:t>亿元; 债券投资余 </w:t>
      </w:r>
      <w:r>
        <w:rPr>
          <w:rFonts w:ascii="SimSun" w:hAnsi="SimSun" w:eastAsia="SimSun" w:cs="SimSun"/>
          <w:sz w:val="21"/>
          <w:szCs w:val="21"/>
          <w:spacing w:val="-2"/>
        </w:rPr>
        <w:t>额</w:t>
      </w:r>
      <w:r>
        <w:rPr>
          <w:rFonts w:ascii="SimSun" w:hAnsi="SimSun" w:eastAsia="SimSun" w:cs="SimSun"/>
          <w:sz w:val="21"/>
          <w:szCs w:val="21"/>
          <w:spacing w:val="-39"/>
        </w:rPr>
        <w:t xml:space="preserve"> </w:t>
      </w:r>
      <w:r>
        <w:rPr>
          <w:rFonts w:ascii="Times New Roman" w:hAnsi="Times New Roman" w:eastAsia="Times New Roman" w:cs="Times New Roman"/>
          <w:sz w:val="21"/>
          <w:szCs w:val="21"/>
          <w:spacing w:val="-2"/>
        </w:rPr>
        <w:t>3.42</w:t>
      </w:r>
      <w:r>
        <w:rPr>
          <w:rFonts w:ascii="Times New Roman" w:hAnsi="Times New Roman" w:eastAsia="Times New Roman" w:cs="Times New Roman"/>
          <w:sz w:val="21"/>
          <w:szCs w:val="21"/>
          <w:spacing w:val="14"/>
        </w:rPr>
        <w:t xml:space="preserve"> </w:t>
      </w:r>
      <w:r>
        <w:rPr>
          <w:rFonts w:ascii="SimSun" w:hAnsi="SimSun" w:eastAsia="SimSun" w:cs="SimSun"/>
          <w:sz w:val="21"/>
          <w:szCs w:val="21"/>
          <w:spacing w:val="-2"/>
        </w:rPr>
        <w:t>万亿元,较上年末增加</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2"/>
        </w:rPr>
        <w:t>3,954 </w:t>
      </w:r>
      <w:r>
        <w:rPr>
          <w:rFonts w:ascii="SimSun" w:hAnsi="SimSun" w:eastAsia="SimSun" w:cs="SimSun"/>
          <w:sz w:val="21"/>
          <w:szCs w:val="21"/>
          <w:spacing w:val="-2"/>
        </w:rPr>
        <w:t>亿元,</w:t>
      </w:r>
      <w:r>
        <w:rPr>
          <w:rFonts w:ascii="SimSun" w:hAnsi="SimSun" w:eastAsia="SimSun" w:cs="SimSun"/>
          <w:sz w:val="21"/>
          <w:szCs w:val="21"/>
          <w:spacing w:val="32"/>
        </w:rPr>
        <w:t xml:space="preserve"> </w:t>
      </w:r>
      <w:r>
        <w:rPr>
          <w:rFonts w:ascii="SimSun" w:hAnsi="SimSun" w:eastAsia="SimSun" w:cs="SimSun"/>
          <w:sz w:val="21"/>
          <w:szCs w:val="21"/>
          <w:spacing w:val="-2"/>
        </w:rPr>
        <w:t>增幅</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2"/>
        </w:rPr>
        <w:t>13.09%</w:t>
      </w:r>
      <w:r>
        <w:rPr>
          <w:rFonts w:ascii="Times New Roman" w:hAnsi="Times New Roman" w:eastAsia="Times New Roman" w:cs="Times New Roman"/>
          <w:sz w:val="21"/>
          <w:szCs w:val="21"/>
          <w:spacing w:val="-30"/>
        </w:rPr>
        <w:t xml:space="preserve"> </w:t>
      </w:r>
      <w:r>
        <w:rPr>
          <w:rFonts w:ascii="SimSun" w:hAnsi="SimSun" w:eastAsia="SimSun" w:cs="SimSun"/>
          <w:sz w:val="21"/>
          <w:szCs w:val="21"/>
          <w:spacing w:val="-2"/>
        </w:rPr>
        <w:t>,</w:t>
      </w:r>
      <w:r>
        <w:rPr>
          <w:rFonts w:ascii="SimSun" w:hAnsi="SimSun" w:eastAsia="SimSun" w:cs="SimSun"/>
          <w:sz w:val="21"/>
          <w:szCs w:val="21"/>
          <w:spacing w:val="49"/>
        </w:rPr>
        <w:t xml:space="preserve"> </w:t>
      </w:r>
      <w:r>
        <w:rPr>
          <w:rFonts w:ascii="SimSun" w:hAnsi="SimSun" w:eastAsia="SimSun" w:cs="SimSun"/>
          <w:sz w:val="21"/>
          <w:szCs w:val="21"/>
          <w:spacing w:val="-2"/>
        </w:rPr>
        <w:t>同比多增</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2"/>
        </w:rPr>
        <w:t>1,618 </w:t>
      </w:r>
      <w:r>
        <w:rPr>
          <w:rFonts w:ascii="SimSun" w:hAnsi="SimSun" w:eastAsia="SimSun" w:cs="SimSun"/>
          <w:sz w:val="21"/>
          <w:szCs w:val="21"/>
          <w:spacing w:val="-2"/>
        </w:rPr>
        <w:t>亿元。</w:t>
      </w:r>
    </w:p>
    <w:p>
      <w:pPr>
        <w:pStyle w:val="BodyText"/>
        <w:spacing w:line="248" w:lineRule="auto"/>
        <w:rPr/>
      </w:pPr>
      <w:r/>
    </w:p>
    <w:p>
      <w:pPr>
        <w:ind w:right="200" w:firstLine="424"/>
        <w:spacing w:before="69" w:line="285" w:lineRule="auto"/>
        <w:jc w:val="both"/>
        <w:rPr>
          <w:rFonts w:ascii="SimSun" w:hAnsi="SimSun" w:eastAsia="SimSun" w:cs="SimSun"/>
          <w:sz w:val="21"/>
          <w:szCs w:val="21"/>
        </w:rPr>
      </w:pPr>
      <w:r>
        <w:rPr>
          <w:rFonts w:ascii="SimSun" w:hAnsi="SimSun" w:eastAsia="SimSun" w:cs="SimSun"/>
          <w:sz w:val="21"/>
          <w:szCs w:val="21"/>
          <w:b/>
          <w:bCs/>
          <w:spacing w:val="-4"/>
        </w:rPr>
        <w:t>筑牢安全底座,夯实风险管理基础。</w:t>
      </w:r>
      <w:r>
        <w:rPr>
          <w:rFonts w:ascii="SimSun" w:hAnsi="SimSun" w:eastAsia="SimSun" w:cs="SimSun"/>
          <w:sz w:val="21"/>
          <w:szCs w:val="21"/>
          <w:spacing w:val="-4"/>
        </w:rPr>
        <w:t>资产质量攻坚战取得明显成效,报告期末,集团不</w:t>
      </w:r>
      <w:r>
        <w:rPr>
          <w:rFonts w:ascii="SimSun" w:hAnsi="SimSun" w:eastAsia="SimSun" w:cs="SimSun"/>
          <w:sz w:val="21"/>
          <w:szCs w:val="21"/>
          <w:spacing w:val="-5"/>
        </w:rPr>
        <w:t>良贷款率</w:t>
      </w:r>
      <w:r>
        <w:rPr>
          <w:rFonts w:ascii="SimSun" w:hAnsi="SimSun" w:eastAsia="SimSun" w:cs="SimSun"/>
          <w:sz w:val="21"/>
          <w:szCs w:val="21"/>
          <w:spacing w:val="-30"/>
        </w:rPr>
        <w:t xml:space="preserve"> </w:t>
      </w:r>
      <w:r>
        <w:rPr>
          <w:rFonts w:ascii="Times New Roman" w:hAnsi="Times New Roman" w:eastAsia="Times New Roman" w:cs="Times New Roman"/>
          <w:sz w:val="21"/>
          <w:szCs w:val="21"/>
          <w:spacing w:val="-5"/>
        </w:rPr>
        <w:t>1.35%</w:t>
      </w:r>
      <w:r>
        <w:rPr>
          <w:rFonts w:ascii="Times New Roman" w:hAnsi="Times New Roman" w:eastAsia="Times New Roman" w:cs="Times New Roman"/>
          <w:sz w:val="21"/>
          <w:szCs w:val="21"/>
          <w:spacing w:val="-30"/>
        </w:rPr>
        <w:t xml:space="preserve"> </w:t>
      </w:r>
      <w:r>
        <w:rPr>
          <w:rFonts w:ascii="SimSun" w:hAnsi="SimSun" w:eastAsia="SimSun" w:cs="SimSun"/>
          <w:sz w:val="21"/>
          <w:szCs w:val="21"/>
          <w:spacing w:val="-5"/>
        </w:rPr>
        <w:t>,</w:t>
      </w:r>
      <w:r>
        <w:rPr>
          <w:rFonts w:ascii="SimSun" w:hAnsi="SimSun" w:eastAsia="SimSun" w:cs="SimSun"/>
          <w:sz w:val="21"/>
          <w:szCs w:val="21"/>
        </w:rPr>
        <w:t xml:space="preserve"> </w:t>
      </w:r>
      <w:r>
        <w:rPr>
          <w:rFonts w:ascii="SimSun" w:hAnsi="SimSun" w:eastAsia="SimSun" w:cs="SimSun"/>
          <w:sz w:val="21"/>
          <w:szCs w:val="21"/>
          <w:spacing w:val="4"/>
        </w:rPr>
        <w:t>较上年末下降</w:t>
      </w:r>
      <w:r>
        <w:rPr>
          <w:rFonts w:ascii="SimSun" w:hAnsi="SimSun" w:eastAsia="SimSun" w:cs="SimSun"/>
          <w:sz w:val="21"/>
          <w:szCs w:val="21"/>
          <w:spacing w:val="-37"/>
        </w:rPr>
        <w:t xml:space="preserve"> </w:t>
      </w:r>
      <w:r>
        <w:rPr>
          <w:rFonts w:ascii="Times New Roman" w:hAnsi="Times New Roman" w:eastAsia="Times New Roman" w:cs="Times New Roman"/>
          <w:sz w:val="21"/>
          <w:szCs w:val="21"/>
          <w:spacing w:val="4"/>
        </w:rPr>
        <w:t>0.13 </w:t>
      </w:r>
      <w:r>
        <w:rPr>
          <w:rFonts w:ascii="SimSun" w:hAnsi="SimSun" w:eastAsia="SimSun" w:cs="SimSun"/>
          <w:sz w:val="21"/>
          <w:szCs w:val="21"/>
          <w:spacing w:val="4"/>
        </w:rPr>
        <w:t>个百分点;拨备覆盖率</w:t>
      </w:r>
      <w:r>
        <w:rPr>
          <w:rFonts w:ascii="SimSun" w:hAnsi="SimSun" w:eastAsia="SimSun" w:cs="SimSun"/>
          <w:sz w:val="21"/>
          <w:szCs w:val="21"/>
          <w:spacing w:val="-20"/>
        </w:rPr>
        <w:t xml:space="preserve"> </w:t>
      </w:r>
      <w:r>
        <w:rPr>
          <w:rFonts w:ascii="Times New Roman" w:hAnsi="Times New Roman" w:eastAsia="Times New Roman" w:cs="Times New Roman"/>
          <w:sz w:val="21"/>
          <w:szCs w:val="21"/>
          <w:spacing w:val="4"/>
        </w:rPr>
        <w:t>180.68</w:t>
      </w:r>
      <w:r>
        <w:rPr>
          <w:rFonts w:ascii="Times New Roman" w:hAnsi="Times New Roman" w:eastAsia="Times New Roman" w:cs="Times New Roman"/>
          <w:sz w:val="21"/>
          <w:szCs w:val="21"/>
          <w:spacing w:val="3"/>
        </w:rPr>
        <w:t>%</w:t>
      </w:r>
      <w:r>
        <w:rPr>
          <w:rFonts w:ascii="SimSun" w:hAnsi="SimSun" w:eastAsia="SimSun" w:cs="SimSun"/>
          <w:sz w:val="21"/>
          <w:szCs w:val="21"/>
          <w:spacing w:val="3"/>
        </w:rPr>
        <w:t>,较上年末上升</w:t>
      </w:r>
      <w:r>
        <w:rPr>
          <w:rFonts w:ascii="SimSun" w:hAnsi="SimSun" w:eastAsia="SimSun" w:cs="SimSun"/>
          <w:sz w:val="21"/>
          <w:szCs w:val="21"/>
          <w:spacing w:val="-20"/>
        </w:rPr>
        <w:t xml:space="preserve"> </w:t>
      </w:r>
      <w:r>
        <w:rPr>
          <w:rFonts w:ascii="Times New Roman" w:hAnsi="Times New Roman" w:eastAsia="Times New Roman" w:cs="Times New Roman"/>
          <w:sz w:val="21"/>
          <w:szCs w:val="21"/>
          <w:spacing w:val="3"/>
        </w:rPr>
        <w:t>14.18 </w:t>
      </w:r>
      <w:r>
        <w:rPr>
          <w:rFonts w:ascii="SimSun" w:hAnsi="SimSun" w:eastAsia="SimSun" w:cs="SimSun"/>
          <w:sz w:val="21"/>
          <w:szCs w:val="21"/>
          <w:spacing w:val="3"/>
        </w:rPr>
        <w:t>个百分点;逾期贷款率</w:t>
      </w:r>
      <w:r>
        <w:rPr>
          <w:rFonts w:ascii="SimSun" w:hAnsi="SimSun" w:eastAsia="SimSun" w:cs="SimSun"/>
          <w:sz w:val="21"/>
          <w:szCs w:val="21"/>
          <w:spacing w:val="-20"/>
        </w:rPr>
        <w:t xml:space="preserve"> </w:t>
      </w:r>
      <w:r>
        <w:rPr>
          <w:rFonts w:ascii="Times New Roman" w:hAnsi="Times New Roman" w:eastAsia="Times New Roman" w:cs="Times New Roman"/>
          <w:sz w:val="21"/>
          <w:szCs w:val="21"/>
          <w:spacing w:val="3"/>
        </w:rPr>
        <w:t>1.16%</w:t>
      </w:r>
      <w:r>
        <w:rPr>
          <w:rFonts w:ascii="Times New Roman" w:hAnsi="Times New Roman" w:eastAsia="Times New Roman" w:cs="Times New Roman"/>
          <w:sz w:val="21"/>
          <w:szCs w:val="21"/>
          <w:spacing w:val="-31"/>
        </w:rPr>
        <w:t xml:space="preserve"> </w:t>
      </w:r>
      <w:r>
        <w:rPr>
          <w:rFonts w:ascii="SimSun" w:hAnsi="SimSun" w:eastAsia="SimSun" w:cs="SimSun"/>
          <w:sz w:val="21"/>
          <w:szCs w:val="21"/>
          <w:spacing w:val="3"/>
        </w:rPr>
        <w:t>,</w:t>
      </w:r>
      <w:r>
        <w:rPr>
          <w:rFonts w:ascii="SimSun" w:hAnsi="SimSun" w:eastAsia="SimSun" w:cs="SimSun"/>
          <w:sz w:val="21"/>
          <w:szCs w:val="21"/>
        </w:rPr>
        <w:t xml:space="preserve"> </w:t>
      </w:r>
      <w:r>
        <w:rPr>
          <w:rFonts w:ascii="SimSun" w:hAnsi="SimSun" w:eastAsia="SimSun" w:cs="SimSun"/>
          <w:sz w:val="21"/>
          <w:szCs w:val="21"/>
          <w:spacing w:val="-2"/>
        </w:rPr>
        <w:t>较上年末下降</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2"/>
        </w:rPr>
        <w:t>0.17 </w:t>
      </w:r>
      <w:r>
        <w:rPr>
          <w:rFonts w:ascii="SimSun" w:hAnsi="SimSun" w:eastAsia="SimSun" w:cs="SimSun"/>
          <w:sz w:val="21"/>
          <w:szCs w:val="21"/>
          <w:spacing w:val="-2"/>
        </w:rPr>
        <w:t>个百分点。</w:t>
      </w:r>
    </w:p>
    <w:p>
      <w:pPr>
        <w:ind w:left="535"/>
        <w:spacing w:before="307" w:line="560" w:lineRule="exact"/>
        <w:rPr>
          <w:rFonts w:ascii="SimSun" w:hAnsi="SimSun" w:eastAsia="SimSun" w:cs="SimSun"/>
          <w:sz w:val="21"/>
          <w:szCs w:val="21"/>
        </w:rPr>
      </w:pPr>
      <w:r>
        <w:rPr>
          <w:rFonts w:ascii="SimSun" w:hAnsi="SimSun" w:eastAsia="SimSun" w:cs="SimSun"/>
          <w:sz w:val="21"/>
          <w:szCs w:val="21"/>
          <w:b/>
          <w:bCs/>
          <w:spacing w:val="6"/>
          <w:position w:val="27"/>
        </w:rPr>
        <w:t>(一)利润表主要项目分析</w:t>
      </w:r>
    </w:p>
    <w:p>
      <w:pPr>
        <w:ind w:left="429"/>
        <w:spacing w:line="221" w:lineRule="auto"/>
        <w:rPr>
          <w:rFonts w:ascii="SimSun" w:hAnsi="SimSun" w:eastAsia="SimSun" w:cs="SimSun"/>
          <w:sz w:val="21"/>
          <w:szCs w:val="21"/>
        </w:rPr>
      </w:pPr>
      <w:r>
        <w:rPr>
          <w:rFonts w:ascii="Times New Roman" w:hAnsi="Times New Roman" w:eastAsia="Times New Roman" w:cs="Times New Roman"/>
          <w:sz w:val="21"/>
          <w:szCs w:val="21"/>
          <w:b/>
          <w:bCs/>
          <w:spacing w:val="-4"/>
        </w:rPr>
        <w:t>1.</w:t>
      </w:r>
      <w:r>
        <w:rPr>
          <w:rFonts w:ascii="SimSun" w:hAnsi="SimSun" w:eastAsia="SimSun" w:cs="SimSun"/>
          <w:sz w:val="21"/>
          <w:szCs w:val="21"/>
          <w:b/>
          <w:bCs/>
          <w:spacing w:val="-4"/>
        </w:rPr>
        <w:t>利润总额</w:t>
      </w:r>
    </w:p>
    <w:p>
      <w:pPr>
        <w:spacing w:line="221" w:lineRule="auto"/>
        <w:sectPr>
          <w:footerReference w:type="default" r:id="rId20"/>
          <w:pgSz w:w="11907" w:h="16839"/>
          <w:pgMar w:top="1164" w:right="1055" w:bottom="1374" w:left="1140" w:header="0" w:footer="1211" w:gutter="0"/>
        </w:sectPr>
        <w:rPr>
          <w:rFonts w:ascii="SimSun" w:hAnsi="SimSun" w:eastAsia="SimSun" w:cs="SimSun"/>
          <w:sz w:val="21"/>
          <w:szCs w:val="21"/>
        </w:rPr>
      </w:pPr>
    </w:p>
    <w:p>
      <w:pPr>
        <w:ind w:left="24" w:firstLine="416"/>
        <w:spacing w:before="42" w:line="284" w:lineRule="auto"/>
        <w:jc w:val="both"/>
        <w:rPr>
          <w:rFonts w:ascii="SimSun" w:hAnsi="SimSun" w:eastAsia="SimSun" w:cs="SimSun"/>
          <w:sz w:val="21"/>
          <w:szCs w:val="21"/>
        </w:rPr>
      </w:pPr>
      <w:r>
        <w:rPr>
          <w:rFonts w:ascii="SimSun" w:hAnsi="SimSun" w:eastAsia="SimSun" w:cs="SimSun"/>
          <w:sz w:val="21"/>
          <w:szCs w:val="21"/>
        </w:rPr>
        <w:t>报告期内,</w:t>
      </w:r>
      <w:r>
        <w:rPr>
          <w:rFonts w:ascii="SimSun" w:hAnsi="SimSun" w:eastAsia="SimSun" w:cs="SimSun"/>
          <w:sz w:val="21"/>
          <w:szCs w:val="21"/>
          <w:spacing w:val="30"/>
        </w:rPr>
        <w:t xml:space="preserve"> </w:t>
      </w:r>
      <w:r>
        <w:rPr>
          <w:rFonts w:ascii="SimSun" w:hAnsi="SimSun" w:eastAsia="SimSun" w:cs="SimSun"/>
          <w:sz w:val="21"/>
          <w:szCs w:val="21"/>
        </w:rPr>
        <w:t>本集团实现利润总额</w:t>
      </w:r>
      <w:r>
        <w:rPr>
          <w:rFonts w:ascii="SimSun" w:hAnsi="SimSun" w:eastAsia="SimSun" w:cs="SimSun"/>
          <w:sz w:val="21"/>
          <w:szCs w:val="21"/>
          <w:spacing w:val="-42"/>
        </w:rPr>
        <w:t xml:space="preserve"> </w:t>
      </w:r>
      <w:r>
        <w:rPr>
          <w:rFonts w:ascii="Times New Roman" w:hAnsi="Times New Roman" w:eastAsia="Times New Roman" w:cs="Times New Roman"/>
          <w:sz w:val="21"/>
          <w:szCs w:val="21"/>
        </w:rPr>
        <w:t>982.</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rPr>
        <w:t>15 </w:t>
      </w:r>
      <w:r>
        <w:rPr>
          <w:rFonts w:ascii="SimSun" w:hAnsi="SimSun" w:eastAsia="SimSun" w:cs="SimSun"/>
          <w:sz w:val="21"/>
          <w:szCs w:val="21"/>
        </w:rPr>
        <w:t>亿元,</w:t>
      </w:r>
      <w:r>
        <w:rPr>
          <w:rFonts w:ascii="SimSun" w:hAnsi="SimSun" w:eastAsia="SimSun" w:cs="SimSun"/>
          <w:sz w:val="21"/>
          <w:szCs w:val="21"/>
          <w:spacing w:val="50"/>
        </w:rPr>
        <w:t xml:space="preserve"> </w:t>
      </w:r>
      <w:r>
        <w:rPr>
          <w:rFonts w:ascii="SimSun" w:hAnsi="SimSun" w:eastAsia="SimSun" w:cs="SimSun"/>
          <w:sz w:val="21"/>
          <w:szCs w:val="21"/>
        </w:rPr>
        <w:t>同比增加</w:t>
      </w:r>
      <w:r>
        <w:rPr>
          <w:rFonts w:ascii="SimSun" w:hAnsi="SimSun" w:eastAsia="SimSun" w:cs="SimSun"/>
          <w:sz w:val="21"/>
          <w:szCs w:val="21"/>
          <w:spacing w:val="-46"/>
        </w:rPr>
        <w:t xml:space="preserve"> </w:t>
      </w:r>
      <w:r>
        <w:rPr>
          <w:rFonts w:ascii="Times New Roman" w:hAnsi="Times New Roman" w:eastAsia="Times New Roman" w:cs="Times New Roman"/>
          <w:sz w:val="21"/>
          <w:szCs w:val="21"/>
        </w:rPr>
        <w:t>42.56 </w:t>
      </w:r>
      <w:r>
        <w:rPr>
          <w:rFonts w:ascii="SimSun" w:hAnsi="SimSun" w:eastAsia="SimSun" w:cs="SimSun"/>
          <w:sz w:val="21"/>
          <w:szCs w:val="21"/>
        </w:rPr>
        <w:t>亿元,增幅</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1"/>
        </w:rPr>
        <w:t>4.53%</w:t>
      </w:r>
      <w:r>
        <w:rPr>
          <w:rFonts w:ascii="SimSun" w:hAnsi="SimSun" w:eastAsia="SimSun" w:cs="SimSun"/>
          <w:sz w:val="21"/>
          <w:szCs w:val="21"/>
          <w:spacing w:val="-1"/>
        </w:rPr>
        <w:t>。利润增长主要来源</w:t>
      </w:r>
      <w:r>
        <w:rPr>
          <w:rFonts w:ascii="SimSun" w:hAnsi="SimSun" w:eastAsia="SimSun" w:cs="SimSun"/>
          <w:sz w:val="21"/>
          <w:szCs w:val="21"/>
        </w:rPr>
        <w:t xml:space="preserve"> </w:t>
      </w:r>
      <w:r>
        <w:rPr>
          <w:rFonts w:ascii="SimSun" w:hAnsi="SimSun" w:eastAsia="SimSun" w:cs="SimSun"/>
          <w:sz w:val="21"/>
          <w:szCs w:val="21"/>
        </w:rPr>
        <w:t>于利息净收入同比增加和信用减值损失同比减少。</w:t>
      </w:r>
      <w:r>
        <w:rPr>
          <w:rFonts w:ascii="SimSun" w:hAnsi="SimSun" w:eastAsia="SimSun" w:cs="SimSun"/>
          <w:sz w:val="21"/>
          <w:szCs w:val="21"/>
          <w:spacing w:val="-14"/>
        </w:rPr>
        <w:t xml:space="preserve"> </w:t>
      </w:r>
      <w:r>
        <w:rPr>
          <w:rFonts w:ascii="SimSun" w:hAnsi="SimSun" w:eastAsia="SimSun" w:cs="SimSun"/>
          <w:sz w:val="21"/>
          <w:szCs w:val="21"/>
        </w:rPr>
        <w:t>报告期内集团利息净收入同比增加 </w:t>
      </w:r>
      <w:r>
        <w:rPr>
          <w:rFonts w:ascii="Times New Roman" w:hAnsi="Times New Roman" w:eastAsia="Times New Roman" w:cs="Times New Roman"/>
          <w:sz w:val="21"/>
          <w:szCs w:val="21"/>
        </w:rPr>
        <w:t>82.44  </w:t>
      </w:r>
      <w:r>
        <w:rPr>
          <w:rFonts w:ascii="SimSun" w:hAnsi="SimSun" w:eastAsia="SimSun" w:cs="SimSun"/>
          <w:sz w:val="21"/>
          <w:szCs w:val="21"/>
        </w:rPr>
        <w:t>亿元,</w:t>
      </w:r>
      <w:r>
        <w:rPr>
          <w:rFonts w:ascii="SimSun" w:hAnsi="SimSun" w:eastAsia="SimSun" w:cs="SimSun"/>
          <w:sz w:val="21"/>
          <w:szCs w:val="21"/>
          <w:spacing w:val="34"/>
        </w:rPr>
        <w:t xml:space="preserve"> </w:t>
      </w:r>
      <w:r>
        <w:rPr>
          <w:rFonts w:ascii="SimSun" w:hAnsi="SimSun" w:eastAsia="SimSun" w:cs="SimSun"/>
          <w:sz w:val="21"/>
          <w:szCs w:val="21"/>
        </w:rPr>
        <w:t>增幅 </w:t>
      </w:r>
      <w:r>
        <w:rPr>
          <w:rFonts w:ascii="Times New Roman" w:hAnsi="Times New Roman" w:eastAsia="Times New Roman" w:cs="Times New Roman"/>
          <w:sz w:val="21"/>
          <w:szCs w:val="21"/>
          <w:spacing w:val="1"/>
        </w:rPr>
        <w:t>5.10%</w:t>
      </w:r>
      <w:r>
        <w:rPr>
          <w:rFonts w:ascii="SimSun" w:hAnsi="SimSun" w:eastAsia="SimSun" w:cs="SimSun"/>
          <w:sz w:val="21"/>
          <w:szCs w:val="21"/>
          <w:spacing w:val="1"/>
        </w:rPr>
        <w:t>,</w:t>
      </w:r>
      <w:r>
        <w:rPr>
          <w:rFonts w:ascii="SimSun" w:hAnsi="SimSun" w:eastAsia="SimSun" w:cs="SimSun"/>
          <w:sz w:val="21"/>
          <w:szCs w:val="21"/>
          <w:spacing w:val="40"/>
        </w:rPr>
        <w:t xml:space="preserve"> </w:t>
      </w:r>
      <w:r>
        <w:rPr>
          <w:rFonts w:ascii="SimSun" w:hAnsi="SimSun" w:eastAsia="SimSun" w:cs="SimSun"/>
          <w:sz w:val="21"/>
          <w:szCs w:val="21"/>
          <w:spacing w:val="1"/>
        </w:rPr>
        <w:t>信用减值损失同比减少</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1"/>
        </w:rPr>
        <w:t>59.60 </w:t>
      </w:r>
      <w:r>
        <w:rPr>
          <w:rFonts w:ascii="SimSun" w:hAnsi="SimSun" w:eastAsia="SimSun" w:cs="SimSun"/>
          <w:sz w:val="21"/>
          <w:szCs w:val="21"/>
          <w:spacing w:val="1"/>
        </w:rPr>
        <w:t>亿元,降幅</w:t>
      </w:r>
      <w:r>
        <w:rPr>
          <w:rFonts w:ascii="SimSun" w:hAnsi="SimSun" w:eastAsia="SimSun" w:cs="SimSun"/>
          <w:sz w:val="21"/>
          <w:szCs w:val="21"/>
          <w:spacing w:val="-40"/>
        </w:rPr>
        <w:t xml:space="preserve"> </w:t>
      </w:r>
      <w:r>
        <w:rPr>
          <w:rFonts w:ascii="Times New Roman" w:hAnsi="Times New Roman" w:eastAsia="Times New Roman" w:cs="Times New Roman"/>
          <w:sz w:val="21"/>
          <w:szCs w:val="21"/>
          <w:spacing w:val="1"/>
        </w:rPr>
        <w:t>8.98%</w:t>
      </w:r>
      <w:r>
        <w:rPr>
          <w:rFonts w:ascii="SimSun" w:hAnsi="SimSun" w:eastAsia="SimSun" w:cs="SimSun"/>
          <w:sz w:val="21"/>
          <w:szCs w:val="21"/>
          <w:spacing w:val="1"/>
        </w:rPr>
        <w:t>。</w:t>
      </w:r>
    </w:p>
    <w:p>
      <w:pPr>
        <w:pStyle w:val="BodyText"/>
        <w:spacing w:line="242" w:lineRule="auto"/>
        <w:rPr/>
      </w:pPr>
      <w:r/>
    </w:p>
    <w:p>
      <w:pPr>
        <w:ind w:left="443"/>
        <w:spacing w:before="69" w:line="221" w:lineRule="auto"/>
        <w:rPr>
          <w:rFonts w:ascii="SimSun" w:hAnsi="SimSun" w:eastAsia="SimSun" w:cs="SimSun"/>
          <w:sz w:val="21"/>
          <w:szCs w:val="21"/>
        </w:rPr>
      </w:pPr>
      <w:r>
        <w:rPr>
          <w:rFonts w:ascii="SimSun" w:hAnsi="SimSun" w:eastAsia="SimSun" w:cs="SimSun"/>
          <w:sz w:val="21"/>
          <w:szCs w:val="21"/>
          <w:spacing w:val="-1"/>
        </w:rPr>
        <w:t>本集团在所示期间的利润表项目的部分资料如下:</w:t>
      </w:r>
    </w:p>
    <w:p>
      <w:pPr>
        <w:pStyle w:val="BodyText"/>
        <w:spacing w:line="248" w:lineRule="auto"/>
        <w:rPr/>
      </w:pPr>
      <w:r/>
    </w:p>
    <w:p>
      <w:pPr>
        <w:spacing w:before="59" w:line="250" w:lineRule="exact"/>
        <w:jc w:val="right"/>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position w:val="2"/>
        </w:rPr>
        <w:t>(</w:t>
      </w:r>
      <w:r>
        <w:rPr>
          <w:rFonts w:ascii="SimSun" w:hAnsi="SimSun" w:eastAsia="SimSun" w:cs="SimSun"/>
          <w:sz w:val="18"/>
          <w:szCs w:val="18"/>
          <w:spacing w:val="5"/>
          <w:position w:val="2"/>
        </w:rPr>
        <w:t>除另有标明外,人民币百万元</w:t>
      </w:r>
      <w:r>
        <w:rPr>
          <w:rFonts w:ascii="Times New Roman" w:hAnsi="Times New Roman" w:eastAsia="Times New Roman" w:cs="Times New Roman"/>
          <w:sz w:val="18"/>
          <w:szCs w:val="18"/>
          <w:spacing w:val="5"/>
          <w:position w:val="2"/>
        </w:rPr>
        <w:t>)</w:t>
      </w:r>
    </w:p>
    <w:p>
      <w:pPr>
        <w:spacing w:line="30" w:lineRule="auto"/>
        <w:rPr>
          <w:rFonts w:ascii="Arial"/>
          <w:sz w:val="2"/>
        </w:rPr>
      </w:pPr>
      <w:r>
        <w:rPr>
          <w:rFonts w:ascii="Arial"/>
          <w:sz w:val="2"/>
        </w:rPr>
      </w:r>
    </w:p>
    <w:tbl>
      <w:tblPr>
        <w:tblStyle w:val="TableNormal"/>
        <w:tblW w:w="9654"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4071"/>
        <w:gridCol w:w="1860"/>
        <w:gridCol w:w="2423"/>
        <w:gridCol w:w="1300"/>
      </w:tblGrid>
      <w:tr>
        <w:trPr>
          <w:trHeight w:val="383" w:hRule="atLeast"/>
        </w:trPr>
        <w:tc>
          <w:tcPr>
            <w:tcW w:w="4071" w:type="dxa"/>
            <w:vAlign w:val="top"/>
            <w:tcBorders>
              <w:bottom w:val="single" w:color="000000" w:sz="2" w:space="0"/>
              <w:top w:val="single" w:color="000000" w:sz="2" w:space="0"/>
            </w:tcBorders>
          </w:tcPr>
          <w:p>
            <w:pPr>
              <w:rPr>
                <w:rFonts w:ascii="Arial"/>
                <w:sz w:val="21"/>
              </w:rPr>
            </w:pPr>
            <w:r/>
          </w:p>
        </w:tc>
        <w:tc>
          <w:tcPr>
            <w:shd w:val="clear" w:fill="DBE5F1"/>
            <w:tcW w:w="1860" w:type="dxa"/>
            <w:vAlign w:val="top"/>
            <w:tcBorders>
              <w:bottom w:val="single" w:color="000000" w:sz="2" w:space="0"/>
              <w:top w:val="single" w:color="000000" w:sz="2" w:space="0"/>
            </w:tcBorders>
          </w:tcPr>
          <w:p>
            <w:pPr>
              <w:pStyle w:val="TableText"/>
              <w:ind w:left="1269"/>
              <w:spacing w:before="114" w:line="220" w:lineRule="auto"/>
              <w:rPr>
                <w:sz w:val="18"/>
                <w:szCs w:val="18"/>
              </w:rPr>
            </w:pPr>
            <w:r>
              <w:rPr>
                <w:rFonts w:ascii="Times New Roman" w:hAnsi="Times New Roman" w:eastAsia="Times New Roman" w:cs="Times New Roman"/>
                <w:sz w:val="18"/>
                <w:szCs w:val="18"/>
                <w:b/>
                <w:bCs/>
                <w:spacing w:val="-2"/>
              </w:rPr>
              <w:t>2022</w:t>
            </w:r>
            <w:r>
              <w:rPr>
                <w:sz w:val="18"/>
                <w:szCs w:val="18"/>
                <w:b/>
                <w:bCs/>
                <w:spacing w:val="-2"/>
              </w:rPr>
              <w:t>年</w:t>
            </w:r>
          </w:p>
        </w:tc>
        <w:tc>
          <w:tcPr>
            <w:tcW w:w="2423" w:type="dxa"/>
            <w:vAlign w:val="top"/>
            <w:tcBorders>
              <w:bottom w:val="single" w:color="000000" w:sz="2" w:space="0"/>
              <w:top w:val="single" w:color="000000" w:sz="2" w:space="0"/>
            </w:tcBorders>
          </w:tcPr>
          <w:p>
            <w:pPr>
              <w:pStyle w:val="TableText"/>
              <w:ind w:left="1269"/>
              <w:spacing w:before="114" w:line="220" w:lineRule="auto"/>
              <w:rPr>
                <w:sz w:val="18"/>
                <w:szCs w:val="18"/>
              </w:rPr>
            </w:pPr>
            <w:r>
              <w:rPr>
                <w:rFonts w:ascii="Times New Roman" w:hAnsi="Times New Roman" w:eastAsia="Times New Roman" w:cs="Times New Roman"/>
                <w:sz w:val="18"/>
                <w:szCs w:val="18"/>
                <w:spacing w:val="-1"/>
              </w:rPr>
              <w:t>2021</w:t>
            </w:r>
            <w:r>
              <w:rPr>
                <w:sz w:val="18"/>
                <w:szCs w:val="18"/>
                <w:spacing w:val="-1"/>
              </w:rPr>
              <w:t>年</w:t>
            </w:r>
          </w:p>
        </w:tc>
        <w:tc>
          <w:tcPr>
            <w:tcW w:w="1300" w:type="dxa"/>
            <w:vAlign w:val="top"/>
            <w:tcBorders>
              <w:bottom w:val="single" w:color="000000" w:sz="2" w:space="0"/>
              <w:top w:val="single" w:color="000000" w:sz="2" w:space="0"/>
            </w:tcBorders>
          </w:tcPr>
          <w:p>
            <w:pPr>
              <w:pStyle w:val="TableText"/>
              <w:ind w:left="624"/>
              <w:spacing w:before="87" w:line="250" w:lineRule="exact"/>
              <w:rPr>
                <w:rFonts w:ascii="Times New Roman" w:hAnsi="Times New Roman" w:eastAsia="Times New Roman" w:cs="Times New Roman"/>
                <w:sz w:val="18"/>
                <w:szCs w:val="18"/>
              </w:rPr>
            </w:pPr>
            <w:r>
              <w:rPr>
                <w:sz w:val="18"/>
                <w:szCs w:val="18"/>
                <w:spacing w:val="-2"/>
                <w:position w:val="2"/>
              </w:rPr>
              <w:t>增减</w:t>
            </w:r>
            <w:r>
              <w:rPr>
                <w:rFonts w:ascii="Times New Roman" w:hAnsi="Times New Roman" w:eastAsia="Times New Roman" w:cs="Times New Roman"/>
                <w:sz w:val="18"/>
                <w:szCs w:val="18"/>
                <w:spacing w:val="-2"/>
                <w:position w:val="2"/>
              </w:rPr>
              <w:t>(%)</w:t>
            </w:r>
          </w:p>
        </w:tc>
      </w:tr>
      <w:tr>
        <w:trPr>
          <w:trHeight w:val="379" w:hRule="atLeast"/>
        </w:trPr>
        <w:tc>
          <w:tcPr>
            <w:tcW w:w="4071" w:type="dxa"/>
            <w:vAlign w:val="top"/>
            <w:tcBorders>
              <w:bottom w:val="single" w:color="000000" w:sz="2" w:space="0"/>
              <w:top w:val="single" w:color="000000" w:sz="2" w:space="0"/>
            </w:tcBorders>
          </w:tcPr>
          <w:p>
            <w:pPr>
              <w:pStyle w:val="TableText"/>
              <w:ind w:left="79"/>
              <w:spacing w:before="110" w:line="220" w:lineRule="auto"/>
              <w:rPr>
                <w:sz w:val="18"/>
                <w:szCs w:val="18"/>
              </w:rPr>
            </w:pPr>
            <w:r>
              <w:rPr>
                <w:sz w:val="18"/>
                <w:szCs w:val="18"/>
                <w:spacing w:val="-2"/>
              </w:rPr>
              <w:t>利息净收入</w:t>
            </w:r>
          </w:p>
        </w:tc>
        <w:tc>
          <w:tcPr>
            <w:shd w:val="clear" w:fill="DBE5F1"/>
            <w:tcW w:w="1860" w:type="dxa"/>
            <w:vAlign w:val="top"/>
            <w:tcBorders>
              <w:bottom w:val="single" w:color="000000" w:sz="2" w:space="0"/>
              <w:top w:val="single" w:color="000000" w:sz="2" w:space="0"/>
            </w:tcBorders>
          </w:tcPr>
          <w:p>
            <w:pPr>
              <w:ind w:left="1231"/>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169,937</w:t>
            </w:r>
          </w:p>
        </w:tc>
        <w:tc>
          <w:tcPr>
            <w:tcW w:w="2423" w:type="dxa"/>
            <w:vAlign w:val="top"/>
            <w:tcBorders>
              <w:bottom w:val="single" w:color="000000" w:sz="2" w:space="0"/>
              <w:top w:val="single" w:color="000000" w:sz="2" w:space="0"/>
            </w:tcBorders>
          </w:tcPr>
          <w:p>
            <w:pPr>
              <w:ind w:left="1241"/>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161,693</w:t>
            </w:r>
          </w:p>
        </w:tc>
        <w:tc>
          <w:tcPr>
            <w:tcW w:w="1300" w:type="dxa"/>
            <w:vAlign w:val="top"/>
            <w:tcBorders>
              <w:bottom w:val="single" w:color="000000" w:sz="2" w:space="0"/>
              <w:top w:val="single" w:color="000000" w:sz="2" w:space="0"/>
            </w:tcBorders>
          </w:tcPr>
          <w:p>
            <w:pPr>
              <w:ind w:left="939"/>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5.10</w:t>
            </w:r>
          </w:p>
        </w:tc>
      </w:tr>
      <w:tr>
        <w:trPr>
          <w:trHeight w:val="379" w:hRule="atLeast"/>
        </w:trPr>
        <w:tc>
          <w:tcPr>
            <w:tcW w:w="4071" w:type="dxa"/>
            <w:vAlign w:val="top"/>
            <w:tcBorders>
              <w:bottom w:val="single" w:color="000000" w:sz="2" w:space="0"/>
              <w:top w:val="single" w:color="000000" w:sz="2" w:space="0"/>
            </w:tcBorders>
          </w:tcPr>
          <w:p>
            <w:pPr>
              <w:pStyle w:val="TableText"/>
              <w:ind w:left="81"/>
              <w:spacing w:before="110" w:line="220" w:lineRule="auto"/>
              <w:rPr>
                <w:sz w:val="18"/>
                <w:szCs w:val="18"/>
              </w:rPr>
            </w:pPr>
            <w:r>
              <w:rPr>
                <w:sz w:val="18"/>
                <w:szCs w:val="18"/>
                <w:spacing w:val="-2"/>
              </w:rPr>
              <w:t>非利息净收入</w:t>
            </w:r>
          </w:p>
        </w:tc>
        <w:tc>
          <w:tcPr>
            <w:shd w:val="clear" w:fill="DBE5F1"/>
            <w:tcW w:w="1860" w:type="dxa"/>
            <w:vAlign w:val="top"/>
            <w:tcBorders>
              <w:bottom w:val="single" w:color="000000" w:sz="2" w:space="0"/>
              <w:top w:val="single" w:color="000000" w:sz="2" w:space="0"/>
            </w:tcBorders>
          </w:tcPr>
          <w:p>
            <w:pPr>
              <w:ind w:left="1231"/>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103,041</w:t>
            </w:r>
          </w:p>
        </w:tc>
        <w:tc>
          <w:tcPr>
            <w:tcW w:w="2423" w:type="dxa"/>
            <w:vAlign w:val="top"/>
            <w:tcBorders>
              <w:bottom w:val="single" w:color="000000" w:sz="2" w:space="0"/>
              <w:top w:val="single" w:color="000000" w:sz="2" w:space="0"/>
            </w:tcBorders>
          </w:tcPr>
          <w:p>
            <w:pPr>
              <w:ind w:left="1241"/>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107,697</w:t>
            </w:r>
          </w:p>
        </w:tc>
        <w:tc>
          <w:tcPr>
            <w:tcW w:w="1300" w:type="dxa"/>
            <w:vAlign w:val="top"/>
            <w:tcBorders>
              <w:bottom w:val="single" w:color="000000" w:sz="2" w:space="0"/>
              <w:top w:val="single" w:color="000000" w:sz="2" w:space="0"/>
            </w:tcBorders>
          </w:tcPr>
          <w:p>
            <w:pPr>
              <w:ind w:left="818"/>
              <w:spacing w:before="139"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(4.32)</w:t>
            </w:r>
          </w:p>
        </w:tc>
      </w:tr>
      <w:tr>
        <w:trPr>
          <w:trHeight w:val="378" w:hRule="atLeast"/>
        </w:trPr>
        <w:tc>
          <w:tcPr>
            <w:tcW w:w="4071" w:type="dxa"/>
            <w:vAlign w:val="top"/>
            <w:tcBorders>
              <w:bottom w:val="single" w:color="000000" w:sz="2" w:space="0"/>
              <w:top w:val="single" w:color="000000" w:sz="2" w:space="0"/>
            </w:tcBorders>
          </w:tcPr>
          <w:p>
            <w:pPr>
              <w:pStyle w:val="TableText"/>
              <w:ind w:left="79"/>
              <w:spacing w:before="110" w:line="220" w:lineRule="auto"/>
              <w:rPr>
                <w:sz w:val="18"/>
                <w:szCs w:val="18"/>
              </w:rPr>
            </w:pPr>
            <w:r>
              <w:rPr>
                <w:sz w:val="18"/>
                <w:szCs w:val="18"/>
                <w:spacing w:val="-1"/>
              </w:rPr>
              <w:t>其中</w:t>
            </w:r>
            <w:r>
              <w:rPr>
                <w:rFonts w:ascii="Times New Roman" w:hAnsi="Times New Roman" w:eastAsia="Times New Roman" w:cs="Times New Roman"/>
                <w:sz w:val="18"/>
                <w:szCs w:val="18"/>
                <w:spacing w:val="-1"/>
              </w:rPr>
              <w:t>:</w:t>
            </w:r>
            <w:r>
              <w:rPr>
                <w:sz w:val="18"/>
                <w:szCs w:val="18"/>
                <w:spacing w:val="-1"/>
              </w:rPr>
              <w:t>手续费及佣金净收入</w:t>
            </w:r>
          </w:p>
        </w:tc>
        <w:tc>
          <w:tcPr>
            <w:shd w:val="clear" w:fill="DBE5F1"/>
            <w:tcW w:w="1860" w:type="dxa"/>
            <w:vAlign w:val="top"/>
            <w:tcBorders>
              <w:bottom w:val="single" w:color="000000" w:sz="2" w:space="0"/>
              <w:top w:val="single" w:color="000000" w:sz="2" w:space="0"/>
            </w:tcBorders>
          </w:tcPr>
          <w:p>
            <w:pPr>
              <w:ind w:left="1315"/>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44,639</w:t>
            </w:r>
          </w:p>
        </w:tc>
        <w:tc>
          <w:tcPr>
            <w:tcW w:w="2423" w:type="dxa"/>
            <w:vAlign w:val="top"/>
            <w:tcBorders>
              <w:bottom w:val="single" w:color="000000" w:sz="2" w:space="0"/>
              <w:top w:val="single" w:color="000000" w:sz="2" w:space="0"/>
            </w:tcBorders>
          </w:tcPr>
          <w:p>
            <w:pPr>
              <w:ind w:left="1314"/>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47,573</w:t>
            </w:r>
          </w:p>
        </w:tc>
        <w:tc>
          <w:tcPr>
            <w:tcW w:w="1300" w:type="dxa"/>
            <w:vAlign w:val="top"/>
            <w:tcBorders>
              <w:bottom w:val="single" w:color="000000" w:sz="2" w:space="0"/>
              <w:top w:val="single" w:color="000000" w:sz="2" w:space="0"/>
            </w:tcBorders>
          </w:tcPr>
          <w:p>
            <w:pPr>
              <w:ind w:left="818"/>
              <w:spacing w:before="139"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(6.17)</w:t>
            </w:r>
          </w:p>
        </w:tc>
      </w:tr>
      <w:tr>
        <w:trPr>
          <w:trHeight w:val="379" w:hRule="atLeast"/>
        </w:trPr>
        <w:tc>
          <w:tcPr>
            <w:tcW w:w="4071" w:type="dxa"/>
            <w:vAlign w:val="top"/>
            <w:tcBorders>
              <w:bottom w:val="single" w:color="000000" w:sz="2" w:space="0"/>
              <w:top w:val="single" w:color="000000" w:sz="2" w:space="0"/>
            </w:tcBorders>
          </w:tcPr>
          <w:p>
            <w:pPr>
              <w:pStyle w:val="TableText"/>
              <w:ind w:left="84"/>
              <w:spacing w:before="111" w:line="220" w:lineRule="auto"/>
              <w:rPr>
                <w:sz w:val="18"/>
                <w:szCs w:val="18"/>
              </w:rPr>
            </w:pPr>
            <w:r>
              <w:rPr>
                <w:sz w:val="18"/>
                <w:szCs w:val="18"/>
                <w:b/>
                <w:bCs/>
                <w:spacing w:val="-5"/>
              </w:rPr>
              <w:t>营业收入</w:t>
            </w:r>
          </w:p>
        </w:tc>
        <w:tc>
          <w:tcPr>
            <w:shd w:val="clear" w:fill="DBE5F1"/>
            <w:tcW w:w="1860" w:type="dxa"/>
            <w:vAlign w:val="top"/>
            <w:tcBorders>
              <w:bottom w:val="single" w:color="000000" w:sz="2" w:space="0"/>
              <w:top w:val="single" w:color="000000" w:sz="2" w:space="0"/>
            </w:tcBorders>
          </w:tcPr>
          <w:p>
            <w:pPr>
              <w:ind w:left="1224"/>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272,978</w:t>
            </w:r>
          </w:p>
        </w:tc>
        <w:tc>
          <w:tcPr>
            <w:tcW w:w="2423" w:type="dxa"/>
            <w:vAlign w:val="top"/>
            <w:tcBorders>
              <w:bottom w:val="single" w:color="000000" w:sz="2" w:space="0"/>
              <w:top w:val="single" w:color="000000" w:sz="2" w:space="0"/>
            </w:tcBorders>
          </w:tcPr>
          <w:p>
            <w:pPr>
              <w:ind w:left="1223"/>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269,390</w:t>
            </w:r>
          </w:p>
        </w:tc>
        <w:tc>
          <w:tcPr>
            <w:tcW w:w="1300" w:type="dxa"/>
            <w:vAlign w:val="top"/>
            <w:tcBorders>
              <w:bottom w:val="single" w:color="000000" w:sz="2" w:space="0"/>
              <w:top w:val="single" w:color="000000" w:sz="2" w:space="0"/>
            </w:tcBorders>
          </w:tcPr>
          <w:p>
            <w:pPr>
              <w:ind w:left="952"/>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1.33</w:t>
            </w:r>
          </w:p>
        </w:tc>
      </w:tr>
      <w:tr>
        <w:trPr>
          <w:trHeight w:val="379" w:hRule="atLeast"/>
        </w:trPr>
        <w:tc>
          <w:tcPr>
            <w:tcW w:w="4071" w:type="dxa"/>
            <w:vAlign w:val="top"/>
            <w:tcBorders>
              <w:bottom w:val="single" w:color="000000" w:sz="2" w:space="0"/>
              <w:top w:val="single" w:color="000000" w:sz="2" w:space="0"/>
            </w:tcBorders>
          </w:tcPr>
          <w:p>
            <w:pPr>
              <w:pStyle w:val="TableText"/>
              <w:ind w:left="78"/>
              <w:spacing w:before="111" w:line="220" w:lineRule="auto"/>
              <w:rPr>
                <w:sz w:val="18"/>
                <w:szCs w:val="18"/>
              </w:rPr>
            </w:pPr>
            <w:r>
              <w:rPr>
                <w:sz w:val="18"/>
                <w:szCs w:val="18"/>
                <w:spacing w:val="-2"/>
              </w:rPr>
              <w:t>税金及附加</w:t>
            </w:r>
          </w:p>
        </w:tc>
        <w:tc>
          <w:tcPr>
            <w:shd w:val="clear" w:fill="DBE5F1"/>
            <w:tcW w:w="1860" w:type="dxa"/>
            <w:vAlign w:val="top"/>
            <w:tcBorders>
              <w:bottom w:val="single" w:color="000000" w:sz="2" w:space="0"/>
              <w:top w:val="single" w:color="000000" w:sz="2" w:space="0"/>
            </w:tcBorders>
          </w:tcPr>
          <w:p>
            <w:pPr>
              <w:ind w:left="1296"/>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(3,119)</w:t>
            </w:r>
          </w:p>
        </w:tc>
        <w:tc>
          <w:tcPr>
            <w:tcW w:w="2423" w:type="dxa"/>
            <w:vAlign w:val="top"/>
            <w:tcBorders>
              <w:bottom w:val="single" w:color="000000" w:sz="2" w:space="0"/>
              <w:top w:val="single" w:color="000000" w:sz="2" w:space="0"/>
            </w:tcBorders>
          </w:tcPr>
          <w:p>
            <w:pPr>
              <w:ind w:left="1287"/>
              <w:spacing w:before="141"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(3,001)</w:t>
            </w:r>
          </w:p>
        </w:tc>
        <w:tc>
          <w:tcPr>
            <w:tcW w:w="1300" w:type="dxa"/>
            <w:vAlign w:val="top"/>
            <w:tcBorders>
              <w:bottom w:val="single" w:color="000000" w:sz="2" w:space="0"/>
              <w:top w:val="single" w:color="000000" w:sz="2" w:space="0"/>
            </w:tcBorders>
          </w:tcPr>
          <w:p>
            <w:pPr>
              <w:ind w:left="938"/>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3.93</w:t>
            </w:r>
          </w:p>
        </w:tc>
      </w:tr>
      <w:tr>
        <w:trPr>
          <w:trHeight w:val="379" w:hRule="atLeast"/>
        </w:trPr>
        <w:tc>
          <w:tcPr>
            <w:tcW w:w="4071" w:type="dxa"/>
            <w:vAlign w:val="top"/>
            <w:tcBorders>
              <w:bottom w:val="single" w:color="000000" w:sz="2" w:space="0"/>
              <w:top w:val="single" w:color="000000" w:sz="2" w:space="0"/>
            </w:tcBorders>
          </w:tcPr>
          <w:p>
            <w:pPr>
              <w:pStyle w:val="TableText"/>
              <w:ind w:left="78"/>
              <w:spacing w:before="111" w:line="220" w:lineRule="auto"/>
              <w:rPr>
                <w:sz w:val="18"/>
                <w:szCs w:val="18"/>
              </w:rPr>
            </w:pPr>
            <w:r>
              <w:rPr>
                <w:sz w:val="18"/>
                <w:szCs w:val="18"/>
                <w:spacing w:val="-1"/>
              </w:rPr>
              <w:t>业务及管理费</w:t>
            </w:r>
          </w:p>
        </w:tc>
        <w:tc>
          <w:tcPr>
            <w:shd w:val="clear" w:fill="DBE5F1"/>
            <w:tcW w:w="1860" w:type="dxa"/>
            <w:vAlign w:val="top"/>
            <w:tcBorders>
              <w:bottom w:val="single" w:color="000000" w:sz="2" w:space="0"/>
              <w:top w:val="single" w:color="000000" w:sz="2" w:space="0"/>
            </w:tcBorders>
          </w:tcPr>
          <w:p>
            <w:pPr>
              <w:ind w:left="1198"/>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(76,825)</w:t>
            </w:r>
          </w:p>
        </w:tc>
        <w:tc>
          <w:tcPr>
            <w:tcW w:w="2423" w:type="dxa"/>
            <w:vAlign w:val="top"/>
            <w:tcBorders>
              <w:bottom w:val="single" w:color="000000" w:sz="2" w:space="0"/>
              <w:top w:val="single" w:color="000000" w:sz="2" w:space="0"/>
            </w:tcBorders>
          </w:tcPr>
          <w:p>
            <w:pPr>
              <w:ind w:left="1198"/>
              <w:spacing w:before="141"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(74,545)</w:t>
            </w:r>
          </w:p>
        </w:tc>
        <w:tc>
          <w:tcPr>
            <w:tcW w:w="1300" w:type="dxa"/>
            <w:vAlign w:val="top"/>
            <w:tcBorders>
              <w:bottom w:val="single" w:color="000000" w:sz="2" w:space="0"/>
              <w:top w:val="single" w:color="000000" w:sz="2" w:space="0"/>
            </w:tcBorders>
          </w:tcPr>
          <w:p>
            <w:pPr>
              <w:ind w:left="938"/>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3.06</w:t>
            </w:r>
          </w:p>
        </w:tc>
      </w:tr>
      <w:tr>
        <w:trPr>
          <w:trHeight w:val="379" w:hRule="atLeast"/>
        </w:trPr>
        <w:tc>
          <w:tcPr>
            <w:tcW w:w="4071" w:type="dxa"/>
            <w:vAlign w:val="top"/>
            <w:tcBorders>
              <w:bottom w:val="single" w:color="000000" w:sz="2" w:space="0"/>
              <w:top w:val="single" w:color="000000" w:sz="2" w:space="0"/>
            </w:tcBorders>
          </w:tcPr>
          <w:p>
            <w:pPr>
              <w:pStyle w:val="TableText"/>
              <w:ind w:left="79"/>
              <w:spacing w:before="111" w:line="220" w:lineRule="auto"/>
              <w:rPr>
                <w:sz w:val="18"/>
                <w:szCs w:val="18"/>
              </w:rPr>
            </w:pPr>
            <w:r>
              <w:rPr>
                <w:sz w:val="18"/>
                <w:szCs w:val="18"/>
                <w:spacing w:val="-1"/>
              </w:rPr>
              <w:t>信用减值损失</w:t>
            </w:r>
          </w:p>
        </w:tc>
        <w:tc>
          <w:tcPr>
            <w:shd w:val="clear" w:fill="DBE5F1"/>
            <w:tcW w:w="1860" w:type="dxa"/>
            <w:vAlign w:val="top"/>
            <w:tcBorders>
              <w:bottom w:val="single" w:color="000000" w:sz="2" w:space="0"/>
              <w:top w:val="single" w:color="000000" w:sz="2" w:space="0"/>
            </w:tcBorders>
          </w:tcPr>
          <w:p>
            <w:pPr>
              <w:ind w:left="1207"/>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(60,411)</w:t>
            </w:r>
          </w:p>
        </w:tc>
        <w:tc>
          <w:tcPr>
            <w:tcW w:w="2423" w:type="dxa"/>
            <w:vAlign w:val="top"/>
            <w:tcBorders>
              <w:bottom w:val="single" w:color="000000" w:sz="2" w:space="0"/>
              <w:top w:val="single" w:color="000000" w:sz="2" w:space="0"/>
            </w:tcBorders>
          </w:tcPr>
          <w:p>
            <w:pPr>
              <w:ind w:left="1198"/>
              <w:spacing w:before="141"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(66,371)</w:t>
            </w:r>
          </w:p>
        </w:tc>
        <w:tc>
          <w:tcPr>
            <w:tcW w:w="1300" w:type="dxa"/>
            <w:vAlign w:val="top"/>
            <w:tcBorders>
              <w:bottom w:val="single" w:color="000000" w:sz="2" w:space="0"/>
              <w:top w:val="single" w:color="000000" w:sz="2" w:space="0"/>
            </w:tcBorders>
          </w:tcPr>
          <w:p>
            <w:pPr>
              <w:ind w:left="818"/>
              <w:spacing w:before="141"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(8.98)</w:t>
            </w:r>
          </w:p>
        </w:tc>
      </w:tr>
      <w:tr>
        <w:trPr>
          <w:trHeight w:val="378" w:hRule="atLeast"/>
        </w:trPr>
        <w:tc>
          <w:tcPr>
            <w:tcW w:w="4071" w:type="dxa"/>
            <w:vAlign w:val="top"/>
            <w:tcBorders>
              <w:bottom w:val="single" w:color="000000" w:sz="2" w:space="0"/>
              <w:top w:val="single" w:color="000000" w:sz="2" w:space="0"/>
            </w:tcBorders>
          </w:tcPr>
          <w:p>
            <w:pPr>
              <w:pStyle w:val="TableText"/>
              <w:ind w:left="79"/>
              <w:spacing w:before="111" w:line="220" w:lineRule="auto"/>
              <w:rPr>
                <w:sz w:val="18"/>
                <w:szCs w:val="18"/>
              </w:rPr>
            </w:pPr>
            <w:r>
              <w:rPr>
                <w:sz w:val="18"/>
                <w:szCs w:val="18"/>
                <w:spacing w:val="-1"/>
              </w:rPr>
              <w:t>其他资产减值损失</w:t>
            </w:r>
          </w:p>
        </w:tc>
        <w:tc>
          <w:tcPr>
            <w:shd w:val="clear" w:fill="DBE5F1"/>
            <w:tcW w:w="1860" w:type="dxa"/>
            <w:vAlign w:val="top"/>
            <w:tcBorders>
              <w:bottom w:val="single" w:color="000000" w:sz="2" w:space="0"/>
              <w:top w:val="single" w:color="000000" w:sz="2" w:space="0"/>
            </w:tcBorders>
          </w:tcPr>
          <w:p>
            <w:pPr>
              <w:ind w:left="1287"/>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(1,897)</w:t>
            </w:r>
          </w:p>
        </w:tc>
        <w:tc>
          <w:tcPr>
            <w:tcW w:w="2423" w:type="dxa"/>
            <w:vAlign w:val="top"/>
            <w:tcBorders>
              <w:bottom w:val="single" w:color="000000" w:sz="2" w:space="0"/>
              <w:top w:val="single" w:color="000000" w:sz="2" w:space="0"/>
            </w:tcBorders>
          </w:tcPr>
          <w:p>
            <w:pPr>
              <w:ind w:left="1287"/>
              <w:spacing w:before="141"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(2,320)</w:t>
            </w:r>
          </w:p>
        </w:tc>
        <w:tc>
          <w:tcPr>
            <w:tcW w:w="1300" w:type="dxa"/>
            <w:vAlign w:val="top"/>
            <w:tcBorders>
              <w:bottom w:val="single" w:color="000000" w:sz="2" w:space="0"/>
              <w:top w:val="single" w:color="000000" w:sz="2" w:space="0"/>
            </w:tcBorders>
          </w:tcPr>
          <w:p>
            <w:pPr>
              <w:ind w:left="727"/>
              <w:spacing w:before="141"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(18.23)</w:t>
            </w:r>
          </w:p>
        </w:tc>
      </w:tr>
      <w:tr>
        <w:trPr>
          <w:trHeight w:val="378" w:hRule="atLeast"/>
        </w:trPr>
        <w:tc>
          <w:tcPr>
            <w:tcW w:w="4071" w:type="dxa"/>
            <w:vAlign w:val="top"/>
            <w:tcBorders>
              <w:bottom w:val="single" w:color="000000" w:sz="2" w:space="0"/>
              <w:top w:val="single" w:color="000000" w:sz="2" w:space="0"/>
            </w:tcBorders>
          </w:tcPr>
          <w:p>
            <w:pPr>
              <w:pStyle w:val="TableText"/>
              <w:ind w:left="79"/>
              <w:spacing w:before="112" w:line="220" w:lineRule="auto"/>
              <w:rPr>
                <w:sz w:val="18"/>
                <w:szCs w:val="18"/>
              </w:rPr>
            </w:pPr>
            <w:r>
              <w:rPr>
                <w:sz w:val="18"/>
                <w:szCs w:val="18"/>
                <w:spacing w:val="-2"/>
              </w:rPr>
              <w:t>保险业务支出</w:t>
            </w:r>
          </w:p>
        </w:tc>
        <w:tc>
          <w:tcPr>
            <w:shd w:val="clear" w:fill="DBE5F1"/>
            <w:tcW w:w="1860" w:type="dxa"/>
            <w:vAlign w:val="top"/>
            <w:tcBorders>
              <w:bottom w:val="single" w:color="000000" w:sz="2" w:space="0"/>
              <w:top w:val="single" w:color="000000" w:sz="2" w:space="0"/>
            </w:tcBorders>
          </w:tcPr>
          <w:p>
            <w:pPr>
              <w:ind w:left="1198"/>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(19,380)</w:t>
            </w:r>
          </w:p>
        </w:tc>
        <w:tc>
          <w:tcPr>
            <w:tcW w:w="2423" w:type="dxa"/>
            <w:vAlign w:val="top"/>
            <w:tcBorders>
              <w:bottom w:val="single" w:color="000000" w:sz="2" w:space="0"/>
              <w:top w:val="single" w:color="000000" w:sz="2" w:space="0"/>
            </w:tcBorders>
          </w:tcPr>
          <w:p>
            <w:pPr>
              <w:ind w:left="1198"/>
              <w:spacing w:before="142"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(17,054)</w:t>
            </w:r>
          </w:p>
        </w:tc>
        <w:tc>
          <w:tcPr>
            <w:tcW w:w="1300" w:type="dxa"/>
            <w:vAlign w:val="top"/>
            <w:tcBorders>
              <w:bottom w:val="single" w:color="000000" w:sz="2" w:space="0"/>
              <w:top w:val="single" w:color="000000" w:sz="2" w:space="0"/>
            </w:tcBorders>
          </w:tcPr>
          <w:p>
            <w:pPr>
              <w:ind w:left="861"/>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13.64</w:t>
            </w:r>
          </w:p>
        </w:tc>
      </w:tr>
      <w:tr>
        <w:trPr>
          <w:trHeight w:val="379" w:hRule="atLeast"/>
        </w:trPr>
        <w:tc>
          <w:tcPr>
            <w:tcW w:w="4071" w:type="dxa"/>
            <w:vAlign w:val="top"/>
            <w:tcBorders>
              <w:bottom w:val="single" w:color="000000" w:sz="2" w:space="0"/>
              <w:top w:val="single" w:color="000000" w:sz="2" w:space="0"/>
            </w:tcBorders>
          </w:tcPr>
          <w:p>
            <w:pPr>
              <w:pStyle w:val="TableText"/>
              <w:ind w:left="79"/>
              <w:spacing w:before="113" w:line="220" w:lineRule="auto"/>
              <w:rPr>
                <w:sz w:val="18"/>
                <w:szCs w:val="18"/>
              </w:rPr>
            </w:pPr>
            <w:r>
              <w:rPr>
                <w:sz w:val="18"/>
                <w:szCs w:val="18"/>
                <w:spacing w:val="-2"/>
              </w:rPr>
              <w:t>其他业务成本</w:t>
            </w:r>
          </w:p>
        </w:tc>
        <w:tc>
          <w:tcPr>
            <w:shd w:val="clear" w:fill="DBE5F1"/>
            <w:tcW w:w="1860" w:type="dxa"/>
            <w:vAlign w:val="top"/>
            <w:tcBorders>
              <w:bottom w:val="single" w:color="000000" w:sz="2" w:space="0"/>
              <w:top w:val="single" w:color="000000" w:sz="2" w:space="0"/>
            </w:tcBorders>
          </w:tcPr>
          <w:p>
            <w:pPr>
              <w:ind w:left="1198"/>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(13,379)</w:t>
            </w:r>
          </w:p>
        </w:tc>
        <w:tc>
          <w:tcPr>
            <w:tcW w:w="2423" w:type="dxa"/>
            <w:vAlign w:val="top"/>
            <w:tcBorders>
              <w:bottom w:val="single" w:color="000000" w:sz="2" w:space="0"/>
              <w:top w:val="single" w:color="000000" w:sz="2" w:space="0"/>
            </w:tcBorders>
          </w:tcPr>
          <w:p>
            <w:pPr>
              <w:ind w:left="1198"/>
              <w:spacing w:before="143"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(12,346)</w:t>
            </w:r>
          </w:p>
        </w:tc>
        <w:tc>
          <w:tcPr>
            <w:tcW w:w="1300" w:type="dxa"/>
            <w:vAlign w:val="top"/>
            <w:tcBorders>
              <w:bottom w:val="single" w:color="000000" w:sz="2" w:space="0"/>
              <w:top w:val="single" w:color="000000" w:sz="2" w:space="0"/>
            </w:tcBorders>
          </w:tcPr>
          <w:p>
            <w:pPr>
              <w:ind w:left="942"/>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8.37</w:t>
            </w:r>
          </w:p>
        </w:tc>
      </w:tr>
      <w:tr>
        <w:trPr>
          <w:trHeight w:val="379" w:hRule="atLeast"/>
        </w:trPr>
        <w:tc>
          <w:tcPr>
            <w:tcW w:w="4071" w:type="dxa"/>
            <w:vAlign w:val="top"/>
            <w:tcBorders>
              <w:bottom w:val="single" w:color="000000" w:sz="2" w:space="0"/>
              <w:top w:val="single" w:color="000000" w:sz="2" w:space="0"/>
            </w:tcBorders>
          </w:tcPr>
          <w:p>
            <w:pPr>
              <w:pStyle w:val="TableText"/>
              <w:ind w:left="84"/>
              <w:spacing w:before="113" w:line="221" w:lineRule="auto"/>
              <w:rPr>
                <w:sz w:val="18"/>
                <w:szCs w:val="18"/>
              </w:rPr>
            </w:pPr>
            <w:r>
              <w:rPr>
                <w:sz w:val="18"/>
                <w:szCs w:val="18"/>
                <w:b/>
                <w:bCs/>
                <w:spacing w:val="-5"/>
              </w:rPr>
              <w:t>营业利润</w:t>
            </w:r>
          </w:p>
        </w:tc>
        <w:tc>
          <w:tcPr>
            <w:shd w:val="clear" w:fill="DBE5F1"/>
            <w:tcW w:w="1860" w:type="dxa"/>
            <w:vAlign w:val="top"/>
            <w:tcBorders>
              <w:bottom w:val="single" w:color="000000" w:sz="2" w:space="0"/>
              <w:top w:val="single" w:color="000000" w:sz="2" w:space="0"/>
            </w:tcBorders>
          </w:tcPr>
          <w:p>
            <w:pPr>
              <w:ind w:left="1316"/>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97,976</w:t>
            </w:r>
          </w:p>
        </w:tc>
        <w:tc>
          <w:tcPr>
            <w:tcW w:w="2423" w:type="dxa"/>
            <w:vAlign w:val="top"/>
            <w:tcBorders>
              <w:bottom w:val="single" w:color="000000" w:sz="2" w:space="0"/>
              <w:top w:val="single" w:color="000000" w:sz="2" w:space="0"/>
            </w:tcBorders>
          </w:tcPr>
          <w:p>
            <w:pPr>
              <w:ind w:left="1318"/>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93,753</w:t>
            </w:r>
          </w:p>
        </w:tc>
        <w:tc>
          <w:tcPr>
            <w:tcW w:w="1300" w:type="dxa"/>
            <w:vAlign w:val="top"/>
            <w:tcBorders>
              <w:bottom w:val="single" w:color="000000" w:sz="2" w:space="0"/>
              <w:top w:val="single" w:color="000000" w:sz="2" w:space="0"/>
            </w:tcBorders>
          </w:tcPr>
          <w:p>
            <w:pPr>
              <w:ind w:left="934"/>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4.49</w:t>
            </w:r>
          </w:p>
        </w:tc>
      </w:tr>
      <w:tr>
        <w:trPr>
          <w:trHeight w:val="379" w:hRule="atLeast"/>
        </w:trPr>
        <w:tc>
          <w:tcPr>
            <w:tcW w:w="4071" w:type="dxa"/>
            <w:vAlign w:val="top"/>
            <w:tcBorders>
              <w:bottom w:val="single" w:color="000000" w:sz="2" w:space="0"/>
              <w:top w:val="single" w:color="000000" w:sz="2" w:space="0"/>
            </w:tcBorders>
          </w:tcPr>
          <w:p>
            <w:pPr>
              <w:pStyle w:val="TableText"/>
              <w:ind w:left="84"/>
              <w:spacing w:before="114" w:line="220" w:lineRule="auto"/>
              <w:rPr>
                <w:sz w:val="18"/>
                <w:szCs w:val="18"/>
              </w:rPr>
            </w:pPr>
            <w:r>
              <w:rPr>
                <w:sz w:val="18"/>
                <w:szCs w:val="18"/>
                <w:spacing w:val="-2"/>
              </w:rPr>
              <w:t>营业外收支净额</w:t>
            </w:r>
          </w:p>
        </w:tc>
        <w:tc>
          <w:tcPr>
            <w:shd w:val="clear" w:fill="DBE5F1"/>
            <w:tcW w:w="1860" w:type="dxa"/>
            <w:vAlign w:val="top"/>
            <w:tcBorders>
              <w:bottom w:val="single" w:color="000000" w:sz="2" w:space="0"/>
              <w:top w:val="single" w:color="000000" w:sz="2" w:space="0"/>
            </w:tcBorders>
          </w:tcPr>
          <w:p>
            <w:pPr>
              <w:ind w:left="1538"/>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248</w:t>
            </w:r>
          </w:p>
        </w:tc>
        <w:tc>
          <w:tcPr>
            <w:tcW w:w="2423" w:type="dxa"/>
            <w:vAlign w:val="top"/>
            <w:tcBorders>
              <w:bottom w:val="single" w:color="000000" w:sz="2" w:space="0"/>
              <w:top w:val="single" w:color="000000" w:sz="2" w:space="0"/>
            </w:tcBorders>
          </w:tcPr>
          <w:p>
            <w:pPr>
              <w:ind w:left="1538"/>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206</w:t>
            </w:r>
          </w:p>
        </w:tc>
        <w:tc>
          <w:tcPr>
            <w:tcW w:w="1300" w:type="dxa"/>
            <w:vAlign w:val="top"/>
            <w:tcBorders>
              <w:bottom w:val="single" w:color="000000" w:sz="2" w:space="0"/>
              <w:top w:val="single" w:color="000000" w:sz="2" w:space="0"/>
            </w:tcBorders>
          </w:tcPr>
          <w:p>
            <w:pPr>
              <w:ind w:left="843"/>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20.39</w:t>
            </w:r>
          </w:p>
        </w:tc>
      </w:tr>
      <w:tr>
        <w:trPr>
          <w:trHeight w:val="379" w:hRule="atLeast"/>
        </w:trPr>
        <w:tc>
          <w:tcPr>
            <w:tcW w:w="4071" w:type="dxa"/>
            <w:vAlign w:val="top"/>
            <w:tcBorders>
              <w:bottom w:val="single" w:color="000000" w:sz="2" w:space="0"/>
              <w:top w:val="single" w:color="000000" w:sz="2" w:space="0"/>
            </w:tcBorders>
          </w:tcPr>
          <w:p>
            <w:pPr>
              <w:pStyle w:val="TableText"/>
              <w:ind w:left="79"/>
              <w:spacing w:before="114" w:line="220" w:lineRule="auto"/>
              <w:rPr>
                <w:sz w:val="18"/>
                <w:szCs w:val="18"/>
              </w:rPr>
            </w:pPr>
            <w:r>
              <w:rPr>
                <w:sz w:val="18"/>
                <w:szCs w:val="18"/>
                <w:b/>
                <w:bCs/>
                <w:spacing w:val="-4"/>
              </w:rPr>
              <w:t>利润总额</w:t>
            </w:r>
          </w:p>
        </w:tc>
        <w:tc>
          <w:tcPr>
            <w:shd w:val="clear" w:fill="DBE5F1"/>
            <w:tcW w:w="1860" w:type="dxa"/>
            <w:vAlign w:val="top"/>
            <w:tcBorders>
              <w:bottom w:val="single" w:color="000000" w:sz="2" w:space="0"/>
              <w:top w:val="single" w:color="000000" w:sz="2" w:space="0"/>
            </w:tcBorders>
          </w:tcPr>
          <w:p>
            <w:pPr>
              <w:ind w:left="1316"/>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98,215</w:t>
            </w:r>
          </w:p>
        </w:tc>
        <w:tc>
          <w:tcPr>
            <w:tcW w:w="2423" w:type="dxa"/>
            <w:vAlign w:val="top"/>
            <w:tcBorders>
              <w:bottom w:val="single" w:color="000000" w:sz="2" w:space="0"/>
              <w:top w:val="single" w:color="000000" w:sz="2" w:space="0"/>
            </w:tcBorders>
          </w:tcPr>
          <w:p>
            <w:pPr>
              <w:ind w:left="1318"/>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93,959</w:t>
            </w:r>
          </w:p>
        </w:tc>
        <w:tc>
          <w:tcPr>
            <w:tcW w:w="1300" w:type="dxa"/>
            <w:vAlign w:val="top"/>
            <w:tcBorders>
              <w:bottom w:val="single" w:color="000000" w:sz="2" w:space="0"/>
              <w:top w:val="single" w:color="000000" w:sz="2" w:space="0"/>
            </w:tcBorders>
          </w:tcPr>
          <w:p>
            <w:pPr>
              <w:ind w:left="934"/>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4.53</w:t>
            </w:r>
          </w:p>
        </w:tc>
      </w:tr>
      <w:tr>
        <w:trPr>
          <w:trHeight w:val="379" w:hRule="atLeast"/>
        </w:trPr>
        <w:tc>
          <w:tcPr>
            <w:tcW w:w="4071" w:type="dxa"/>
            <w:vAlign w:val="top"/>
            <w:tcBorders>
              <w:bottom w:val="single" w:color="000000" w:sz="2" w:space="0"/>
              <w:top w:val="single" w:color="000000" w:sz="2" w:space="0"/>
            </w:tcBorders>
          </w:tcPr>
          <w:p>
            <w:pPr>
              <w:pStyle w:val="TableText"/>
              <w:ind w:left="79"/>
              <w:spacing w:before="114" w:line="220" w:lineRule="auto"/>
              <w:rPr>
                <w:sz w:val="18"/>
                <w:szCs w:val="18"/>
              </w:rPr>
            </w:pPr>
            <w:r>
              <w:rPr>
                <w:sz w:val="18"/>
                <w:szCs w:val="18"/>
                <w:spacing w:val="-2"/>
              </w:rPr>
              <w:t>所得税费用</w:t>
            </w:r>
          </w:p>
        </w:tc>
        <w:tc>
          <w:tcPr>
            <w:shd w:val="clear" w:fill="DBE5F1"/>
            <w:tcW w:w="1860" w:type="dxa"/>
            <w:vAlign w:val="top"/>
            <w:tcBorders>
              <w:bottom w:val="single" w:color="000000" w:sz="2" w:space="0"/>
              <w:top w:val="single" w:color="000000" w:sz="2" w:space="0"/>
            </w:tcBorders>
          </w:tcPr>
          <w:p>
            <w:pPr>
              <w:ind w:left="1287"/>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(6,185)</w:t>
            </w:r>
          </w:p>
        </w:tc>
        <w:tc>
          <w:tcPr>
            <w:tcW w:w="2423" w:type="dxa"/>
            <w:vAlign w:val="top"/>
            <w:tcBorders>
              <w:bottom w:val="single" w:color="000000" w:sz="2" w:space="0"/>
              <w:top w:val="single" w:color="000000" w:sz="2" w:space="0"/>
            </w:tcBorders>
          </w:tcPr>
          <w:p>
            <w:pPr>
              <w:ind w:left="1287"/>
              <w:spacing w:before="143"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(5,020)</w:t>
            </w:r>
          </w:p>
        </w:tc>
        <w:tc>
          <w:tcPr>
            <w:tcW w:w="1300" w:type="dxa"/>
            <w:vAlign w:val="top"/>
            <w:tcBorders>
              <w:bottom w:val="single" w:color="000000" w:sz="2" w:space="0"/>
              <w:top w:val="single" w:color="000000" w:sz="2" w:space="0"/>
            </w:tcBorders>
          </w:tcPr>
          <w:p>
            <w:pPr>
              <w:ind w:left="843"/>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23.21</w:t>
            </w:r>
          </w:p>
        </w:tc>
      </w:tr>
      <w:tr>
        <w:trPr>
          <w:trHeight w:val="379" w:hRule="atLeast"/>
        </w:trPr>
        <w:tc>
          <w:tcPr>
            <w:tcW w:w="4071" w:type="dxa"/>
            <w:vAlign w:val="top"/>
            <w:tcBorders>
              <w:bottom w:val="single" w:color="000000" w:sz="2" w:space="0"/>
              <w:top w:val="single" w:color="000000" w:sz="2" w:space="0"/>
            </w:tcBorders>
          </w:tcPr>
          <w:p>
            <w:pPr>
              <w:pStyle w:val="TableText"/>
              <w:ind w:left="81"/>
              <w:spacing w:before="113" w:line="221" w:lineRule="auto"/>
              <w:rPr>
                <w:sz w:val="18"/>
                <w:szCs w:val="18"/>
              </w:rPr>
            </w:pPr>
            <w:r>
              <w:rPr>
                <w:sz w:val="18"/>
                <w:szCs w:val="18"/>
                <w:b/>
                <w:bCs/>
                <w:spacing w:val="-5"/>
              </w:rPr>
              <w:t>净利润</w:t>
            </w:r>
          </w:p>
        </w:tc>
        <w:tc>
          <w:tcPr>
            <w:shd w:val="clear" w:fill="DBE5F1"/>
            <w:tcW w:w="1860" w:type="dxa"/>
            <w:vAlign w:val="top"/>
            <w:tcBorders>
              <w:bottom w:val="single" w:color="000000" w:sz="2" w:space="0"/>
              <w:top w:val="single" w:color="000000" w:sz="2" w:space="0"/>
            </w:tcBorders>
          </w:tcPr>
          <w:p>
            <w:pPr>
              <w:ind w:left="1316"/>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92,030</w:t>
            </w:r>
          </w:p>
        </w:tc>
        <w:tc>
          <w:tcPr>
            <w:tcW w:w="2423" w:type="dxa"/>
            <w:vAlign w:val="top"/>
            <w:tcBorders>
              <w:bottom w:val="single" w:color="000000" w:sz="2" w:space="0"/>
              <w:top w:val="single" w:color="000000" w:sz="2" w:space="0"/>
            </w:tcBorders>
          </w:tcPr>
          <w:p>
            <w:pPr>
              <w:ind w:left="1322"/>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88,939</w:t>
            </w:r>
          </w:p>
        </w:tc>
        <w:tc>
          <w:tcPr>
            <w:tcW w:w="1300" w:type="dxa"/>
            <w:vAlign w:val="top"/>
            <w:tcBorders>
              <w:bottom w:val="single" w:color="000000" w:sz="2" w:space="0"/>
              <w:top w:val="single" w:color="000000" w:sz="2" w:space="0"/>
            </w:tcBorders>
          </w:tcPr>
          <w:p>
            <w:pPr>
              <w:ind w:left="938"/>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3.48</w:t>
            </w:r>
          </w:p>
        </w:tc>
      </w:tr>
      <w:tr>
        <w:trPr>
          <w:trHeight w:val="383" w:hRule="atLeast"/>
        </w:trPr>
        <w:tc>
          <w:tcPr>
            <w:tcW w:w="4071" w:type="dxa"/>
            <w:vAlign w:val="top"/>
            <w:tcBorders>
              <w:bottom w:val="single" w:color="000000" w:sz="2" w:space="0"/>
              <w:top w:val="single" w:color="000000" w:sz="2" w:space="0"/>
            </w:tcBorders>
          </w:tcPr>
          <w:p>
            <w:pPr>
              <w:pStyle w:val="TableText"/>
              <w:ind w:left="86"/>
              <w:spacing w:before="114" w:line="220" w:lineRule="auto"/>
              <w:rPr>
                <w:sz w:val="18"/>
                <w:szCs w:val="18"/>
              </w:rPr>
            </w:pPr>
            <w:r>
              <w:rPr>
                <w:sz w:val="18"/>
                <w:szCs w:val="18"/>
                <w:b/>
                <w:bCs/>
                <w:spacing w:val="-3"/>
              </w:rPr>
              <w:t>归属于母公司股东的净利润</w:t>
            </w:r>
          </w:p>
        </w:tc>
        <w:tc>
          <w:tcPr>
            <w:shd w:val="clear" w:fill="DBE5F1"/>
            <w:tcW w:w="1860" w:type="dxa"/>
            <w:vAlign w:val="top"/>
            <w:tcBorders>
              <w:bottom w:val="single" w:color="000000" w:sz="2" w:space="0"/>
              <w:top w:val="single" w:color="000000" w:sz="2" w:space="0"/>
            </w:tcBorders>
          </w:tcPr>
          <w:p>
            <w:pPr>
              <w:ind w:left="1316"/>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92,149</w:t>
            </w:r>
          </w:p>
        </w:tc>
        <w:tc>
          <w:tcPr>
            <w:tcW w:w="2423" w:type="dxa"/>
            <w:vAlign w:val="top"/>
            <w:tcBorders>
              <w:bottom w:val="single" w:color="000000" w:sz="2" w:space="0"/>
              <w:top w:val="single" w:color="000000" w:sz="2" w:space="0"/>
            </w:tcBorders>
          </w:tcPr>
          <w:p>
            <w:pPr>
              <w:ind w:left="1322"/>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87,581</w:t>
            </w:r>
          </w:p>
        </w:tc>
        <w:tc>
          <w:tcPr>
            <w:tcW w:w="1300" w:type="dxa"/>
            <w:vAlign w:val="top"/>
            <w:tcBorders>
              <w:bottom w:val="single" w:color="000000" w:sz="2" w:space="0"/>
              <w:top w:val="single" w:color="000000" w:sz="2" w:space="0"/>
            </w:tcBorders>
          </w:tcPr>
          <w:p>
            <w:pPr>
              <w:ind w:left="939"/>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5.22</w:t>
            </w:r>
          </w:p>
        </w:tc>
      </w:tr>
    </w:tbl>
    <w:p>
      <w:pPr>
        <w:pStyle w:val="BodyText"/>
        <w:spacing w:line="395" w:lineRule="auto"/>
        <w:rPr/>
      </w:pPr>
      <w:r/>
    </w:p>
    <w:p>
      <w:pPr>
        <w:ind w:left="443"/>
        <w:spacing w:before="68" w:line="221" w:lineRule="auto"/>
        <w:rPr>
          <w:rFonts w:ascii="SimSun" w:hAnsi="SimSun" w:eastAsia="SimSun" w:cs="SimSun"/>
          <w:sz w:val="21"/>
          <w:szCs w:val="21"/>
        </w:rPr>
      </w:pPr>
      <w:r>
        <w:rPr>
          <w:rFonts w:ascii="SimSun" w:hAnsi="SimSun" w:eastAsia="SimSun" w:cs="SimSun"/>
          <w:sz w:val="21"/>
          <w:szCs w:val="21"/>
          <w:spacing w:val="-2"/>
        </w:rPr>
        <w:t>本集团在所示期间的营业收入结构如下:</w:t>
      </w:r>
    </w:p>
    <w:p>
      <w:pPr>
        <w:pStyle w:val="BodyText"/>
        <w:spacing w:line="250" w:lineRule="auto"/>
        <w:rPr/>
      </w:pPr>
      <w:r/>
    </w:p>
    <w:p>
      <w:pPr>
        <w:spacing w:before="59" w:line="250" w:lineRule="exact"/>
        <w:jc w:val="right"/>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position w:val="2"/>
        </w:rPr>
        <w:t>(</w:t>
      </w:r>
      <w:r>
        <w:rPr>
          <w:rFonts w:ascii="SimSun" w:hAnsi="SimSun" w:eastAsia="SimSun" w:cs="SimSun"/>
          <w:sz w:val="18"/>
          <w:szCs w:val="18"/>
          <w:spacing w:val="5"/>
          <w:position w:val="2"/>
        </w:rPr>
        <w:t>除另有标明外,人民币百万元</w:t>
      </w:r>
      <w:r>
        <w:rPr>
          <w:rFonts w:ascii="Times New Roman" w:hAnsi="Times New Roman" w:eastAsia="Times New Roman" w:cs="Times New Roman"/>
          <w:sz w:val="18"/>
          <w:szCs w:val="18"/>
          <w:spacing w:val="5"/>
          <w:position w:val="2"/>
        </w:rPr>
        <w:t>)</w:t>
      </w:r>
    </w:p>
    <w:p>
      <w:pPr>
        <w:spacing w:line="30" w:lineRule="auto"/>
        <w:rPr>
          <w:rFonts w:ascii="Arial"/>
          <w:sz w:val="2"/>
        </w:rPr>
      </w:pPr>
      <w:r>
        <w:rPr>
          <w:rFonts w:ascii="Arial"/>
          <w:sz w:val="2"/>
        </w:rPr>
      </w:r>
    </w:p>
    <w:tbl>
      <w:tblPr>
        <w:tblStyle w:val="TableNormal"/>
        <w:tblW w:w="9654"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4875"/>
        <w:gridCol w:w="1728"/>
        <w:gridCol w:w="1465"/>
        <w:gridCol w:w="1586"/>
      </w:tblGrid>
      <w:tr>
        <w:trPr>
          <w:trHeight w:val="384" w:hRule="atLeast"/>
        </w:trPr>
        <w:tc>
          <w:tcPr>
            <w:tcW w:w="4875" w:type="dxa"/>
            <w:vAlign w:val="top"/>
            <w:vMerge w:val="restart"/>
            <w:tcBorders>
              <w:bottom w:val="nil"/>
              <w:top w:val="single" w:color="000000" w:sz="2" w:space="0"/>
            </w:tcBorders>
          </w:tcPr>
          <w:p>
            <w:pPr>
              <w:rPr>
                <w:rFonts w:ascii="Arial"/>
                <w:sz w:val="21"/>
              </w:rPr>
            </w:pPr>
            <w:r/>
          </w:p>
        </w:tc>
        <w:tc>
          <w:tcPr>
            <w:shd w:val="clear" w:fill="DBE5F1"/>
            <w:tcW w:w="4779" w:type="dxa"/>
            <w:vAlign w:val="top"/>
            <w:gridSpan w:val="3"/>
            <w:tcBorders>
              <w:bottom w:val="single" w:color="000000" w:sz="2" w:space="0"/>
              <w:top w:val="single" w:color="000000" w:sz="2" w:space="0"/>
            </w:tcBorders>
          </w:tcPr>
          <w:p>
            <w:pPr>
              <w:pStyle w:val="TableText"/>
              <w:ind w:left="2124"/>
              <w:spacing w:before="114" w:line="220" w:lineRule="auto"/>
              <w:rPr>
                <w:sz w:val="18"/>
                <w:szCs w:val="18"/>
              </w:rPr>
            </w:pPr>
            <w:r>
              <w:rPr>
                <w:rFonts w:ascii="Times New Roman" w:hAnsi="Times New Roman" w:eastAsia="Times New Roman" w:cs="Times New Roman"/>
                <w:sz w:val="18"/>
                <w:szCs w:val="18"/>
                <w:b/>
                <w:bCs/>
                <w:spacing w:val="-2"/>
              </w:rPr>
              <w:t>2022</w:t>
            </w:r>
            <w:r>
              <w:rPr>
                <w:sz w:val="18"/>
                <w:szCs w:val="18"/>
                <w:b/>
                <w:bCs/>
                <w:spacing w:val="-2"/>
              </w:rPr>
              <w:t>年</w:t>
            </w:r>
          </w:p>
        </w:tc>
      </w:tr>
      <w:tr>
        <w:trPr>
          <w:trHeight w:val="378" w:hRule="atLeast"/>
        </w:trPr>
        <w:tc>
          <w:tcPr>
            <w:tcW w:w="4875" w:type="dxa"/>
            <w:vAlign w:val="top"/>
            <w:vMerge w:val="continue"/>
            <w:tcBorders>
              <w:bottom w:val="single" w:color="000000" w:sz="2" w:space="0"/>
              <w:top w:val="nil"/>
            </w:tcBorders>
          </w:tcPr>
          <w:p>
            <w:pPr>
              <w:rPr>
                <w:rFonts w:ascii="Arial"/>
                <w:sz w:val="21"/>
              </w:rPr>
            </w:pPr>
            <w:r/>
          </w:p>
        </w:tc>
        <w:tc>
          <w:tcPr>
            <w:shd w:val="clear" w:fill="DBE5F1"/>
            <w:tcW w:w="1728" w:type="dxa"/>
            <w:vAlign w:val="top"/>
            <w:tcBorders>
              <w:bottom w:val="single" w:color="000000" w:sz="2" w:space="0"/>
              <w:top w:val="single" w:color="000000" w:sz="2" w:space="0"/>
            </w:tcBorders>
          </w:tcPr>
          <w:p>
            <w:pPr>
              <w:pStyle w:val="TableText"/>
              <w:ind w:left="1317"/>
              <w:spacing w:before="109" w:line="220" w:lineRule="auto"/>
              <w:rPr>
                <w:sz w:val="18"/>
                <w:szCs w:val="18"/>
              </w:rPr>
            </w:pPr>
            <w:r>
              <w:rPr>
                <w:sz w:val="18"/>
                <w:szCs w:val="18"/>
                <w:b/>
                <w:bCs/>
                <w:spacing w:val="-4"/>
              </w:rPr>
              <w:t>金额</w:t>
            </w:r>
          </w:p>
        </w:tc>
        <w:tc>
          <w:tcPr>
            <w:shd w:val="clear" w:fill="DBE5F1"/>
            <w:tcW w:w="1465" w:type="dxa"/>
            <w:vAlign w:val="top"/>
            <w:tcBorders>
              <w:bottom w:val="single" w:color="000000" w:sz="2" w:space="0"/>
              <w:top w:val="single" w:color="000000" w:sz="2" w:space="0"/>
            </w:tcBorders>
          </w:tcPr>
          <w:p>
            <w:pPr>
              <w:pStyle w:val="TableText"/>
              <w:ind w:left="663"/>
              <w:spacing w:before="109" w:line="212" w:lineRule="auto"/>
              <w:rPr>
                <w:sz w:val="18"/>
                <w:szCs w:val="18"/>
              </w:rPr>
            </w:pPr>
            <w:r>
              <w:rPr>
                <w:sz w:val="18"/>
                <w:szCs w:val="18"/>
                <w:b/>
                <w:bCs/>
                <w:spacing w:val="-6"/>
              </w:rPr>
              <w:t>占比</w:t>
            </w:r>
            <w:r>
              <w:rPr>
                <w:rFonts w:ascii="Times New Roman" w:hAnsi="Times New Roman" w:eastAsia="Times New Roman" w:cs="Times New Roman"/>
                <w:sz w:val="18"/>
                <w:szCs w:val="18"/>
                <w:b/>
                <w:bCs/>
                <w:spacing w:val="-6"/>
              </w:rPr>
              <w:t>(%</w:t>
            </w:r>
            <w:r>
              <w:rPr>
                <w:sz w:val="18"/>
                <w:szCs w:val="18"/>
                <w:b/>
                <w:bCs/>
                <w:spacing w:val="-6"/>
              </w:rPr>
              <w:t>)</w:t>
            </w:r>
          </w:p>
        </w:tc>
        <w:tc>
          <w:tcPr>
            <w:shd w:val="clear" w:fill="DBE5F1"/>
            <w:tcW w:w="1586" w:type="dxa"/>
            <w:vAlign w:val="top"/>
            <w:tcBorders>
              <w:bottom w:val="single" w:color="000000" w:sz="2" w:space="0"/>
              <w:top w:val="single" w:color="000000" w:sz="2" w:space="0"/>
            </w:tcBorders>
          </w:tcPr>
          <w:p>
            <w:pPr>
              <w:pStyle w:val="TableText"/>
              <w:ind w:left="533"/>
              <w:spacing w:before="109" w:line="212" w:lineRule="auto"/>
              <w:rPr>
                <w:rFonts w:ascii="Times New Roman" w:hAnsi="Times New Roman" w:eastAsia="Times New Roman" w:cs="Times New Roman"/>
                <w:sz w:val="18"/>
                <w:szCs w:val="18"/>
              </w:rPr>
            </w:pPr>
            <w:r>
              <w:rPr>
                <w:sz w:val="18"/>
                <w:szCs w:val="18"/>
                <w:b/>
                <w:bCs/>
                <w:spacing w:val="-4"/>
              </w:rPr>
              <w:t>同比增减</w:t>
            </w:r>
            <w:r>
              <w:rPr>
                <w:rFonts w:ascii="Times New Roman" w:hAnsi="Times New Roman" w:eastAsia="Times New Roman" w:cs="Times New Roman"/>
                <w:sz w:val="18"/>
                <w:szCs w:val="18"/>
                <w:b/>
                <w:bCs/>
                <w:spacing w:val="-4"/>
              </w:rPr>
              <w:t>(%)</w:t>
            </w:r>
          </w:p>
        </w:tc>
      </w:tr>
      <w:tr>
        <w:trPr>
          <w:trHeight w:val="379" w:hRule="atLeast"/>
        </w:trPr>
        <w:tc>
          <w:tcPr>
            <w:tcW w:w="4875" w:type="dxa"/>
            <w:vAlign w:val="top"/>
            <w:tcBorders>
              <w:bottom w:val="single" w:color="000000" w:sz="2" w:space="0"/>
              <w:top w:val="single" w:color="000000" w:sz="2" w:space="0"/>
            </w:tcBorders>
          </w:tcPr>
          <w:p>
            <w:pPr>
              <w:pStyle w:val="TableText"/>
              <w:ind w:left="79"/>
              <w:spacing w:before="110" w:line="220" w:lineRule="auto"/>
              <w:rPr>
                <w:sz w:val="18"/>
                <w:szCs w:val="18"/>
              </w:rPr>
            </w:pPr>
            <w:r>
              <w:rPr>
                <w:sz w:val="18"/>
                <w:szCs w:val="18"/>
                <w:spacing w:val="-2"/>
              </w:rPr>
              <w:t>利息净收入</w:t>
            </w:r>
          </w:p>
        </w:tc>
        <w:tc>
          <w:tcPr>
            <w:shd w:val="clear" w:fill="DBE5F1"/>
            <w:tcW w:w="1728" w:type="dxa"/>
            <w:vAlign w:val="top"/>
            <w:tcBorders>
              <w:bottom w:val="single" w:color="000000" w:sz="2" w:space="0"/>
              <w:top w:val="single" w:color="000000" w:sz="2" w:space="0"/>
            </w:tcBorders>
          </w:tcPr>
          <w:p>
            <w:pPr>
              <w:ind w:left="1097"/>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169,937</w:t>
            </w:r>
          </w:p>
        </w:tc>
        <w:tc>
          <w:tcPr>
            <w:shd w:val="clear" w:fill="DBE5F1"/>
            <w:tcW w:w="1465" w:type="dxa"/>
            <w:vAlign w:val="top"/>
            <w:tcBorders>
              <w:bottom w:val="single" w:color="000000" w:sz="2" w:space="0"/>
              <w:top w:val="single" w:color="000000" w:sz="2" w:space="0"/>
            </w:tcBorders>
          </w:tcPr>
          <w:p>
            <w:pPr>
              <w:ind w:left="1010"/>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62.25</w:t>
            </w:r>
          </w:p>
        </w:tc>
        <w:tc>
          <w:tcPr>
            <w:shd w:val="clear" w:fill="DBE5F1"/>
            <w:tcW w:w="1586" w:type="dxa"/>
            <w:vAlign w:val="top"/>
            <w:tcBorders>
              <w:bottom w:val="single" w:color="000000" w:sz="2" w:space="0"/>
              <w:top w:val="single" w:color="000000" w:sz="2" w:space="0"/>
            </w:tcBorders>
          </w:tcPr>
          <w:p>
            <w:pPr>
              <w:ind w:left="1220"/>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5.10</w:t>
            </w:r>
          </w:p>
        </w:tc>
      </w:tr>
      <w:tr>
        <w:trPr>
          <w:trHeight w:val="379" w:hRule="atLeast"/>
        </w:trPr>
        <w:tc>
          <w:tcPr>
            <w:tcW w:w="4875" w:type="dxa"/>
            <w:vAlign w:val="top"/>
            <w:tcBorders>
              <w:bottom w:val="single" w:color="000000" w:sz="2" w:space="0"/>
              <w:top w:val="single" w:color="000000" w:sz="2" w:space="0"/>
            </w:tcBorders>
          </w:tcPr>
          <w:p>
            <w:pPr>
              <w:pStyle w:val="TableText"/>
              <w:ind w:left="79"/>
              <w:spacing w:before="110" w:line="220" w:lineRule="auto"/>
              <w:rPr>
                <w:sz w:val="18"/>
                <w:szCs w:val="18"/>
              </w:rPr>
            </w:pPr>
            <w:r>
              <w:rPr>
                <w:sz w:val="18"/>
                <w:szCs w:val="18"/>
                <w:spacing w:val="-1"/>
              </w:rPr>
              <w:t>手续费及佣金净收入</w:t>
            </w:r>
          </w:p>
        </w:tc>
        <w:tc>
          <w:tcPr>
            <w:shd w:val="clear" w:fill="DBE5F1"/>
            <w:tcW w:w="1728" w:type="dxa"/>
            <w:vAlign w:val="top"/>
            <w:tcBorders>
              <w:bottom w:val="single" w:color="000000" w:sz="2" w:space="0"/>
              <w:top w:val="single" w:color="000000" w:sz="2" w:space="0"/>
            </w:tcBorders>
          </w:tcPr>
          <w:p>
            <w:pPr>
              <w:ind w:left="1181"/>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44,639</w:t>
            </w:r>
          </w:p>
        </w:tc>
        <w:tc>
          <w:tcPr>
            <w:shd w:val="clear" w:fill="DBE5F1"/>
            <w:tcW w:w="1465" w:type="dxa"/>
            <w:vAlign w:val="top"/>
            <w:tcBorders>
              <w:bottom w:val="single" w:color="000000" w:sz="2" w:space="0"/>
              <w:top w:val="single" w:color="000000" w:sz="2" w:space="0"/>
            </w:tcBorders>
          </w:tcPr>
          <w:p>
            <w:pPr>
              <w:ind w:left="1015"/>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16.35</w:t>
            </w:r>
          </w:p>
        </w:tc>
        <w:tc>
          <w:tcPr>
            <w:shd w:val="clear" w:fill="DBE5F1"/>
            <w:tcW w:w="1586" w:type="dxa"/>
            <w:vAlign w:val="top"/>
            <w:tcBorders>
              <w:bottom w:val="single" w:color="000000" w:sz="2" w:space="0"/>
              <w:top w:val="single" w:color="000000" w:sz="2" w:space="0"/>
            </w:tcBorders>
          </w:tcPr>
          <w:p>
            <w:pPr>
              <w:ind w:left="1104"/>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(6.17)</w:t>
            </w:r>
          </w:p>
        </w:tc>
      </w:tr>
      <w:tr>
        <w:trPr>
          <w:trHeight w:val="378" w:hRule="atLeast"/>
        </w:trPr>
        <w:tc>
          <w:tcPr>
            <w:tcW w:w="4875" w:type="dxa"/>
            <w:vAlign w:val="top"/>
            <w:tcBorders>
              <w:bottom w:val="single" w:color="000000" w:sz="2" w:space="0"/>
              <w:top w:val="single" w:color="000000" w:sz="2" w:space="0"/>
            </w:tcBorders>
          </w:tcPr>
          <w:p>
            <w:pPr>
              <w:pStyle w:val="TableText"/>
              <w:ind w:left="81"/>
              <w:spacing w:before="84" w:line="250" w:lineRule="exact"/>
              <w:rPr>
                <w:rFonts w:ascii="Times New Roman" w:hAnsi="Times New Roman" w:eastAsia="Times New Roman" w:cs="Times New Roman"/>
                <w:sz w:val="18"/>
                <w:szCs w:val="18"/>
              </w:rPr>
            </w:pPr>
            <w:r>
              <w:rPr>
                <w:sz w:val="18"/>
                <w:szCs w:val="18"/>
                <w:spacing w:val="-1"/>
                <w:position w:val="2"/>
              </w:rPr>
              <w:t>投资收益</w:t>
            </w:r>
            <w:r>
              <w:rPr>
                <w:rFonts w:ascii="Times New Roman" w:hAnsi="Times New Roman" w:eastAsia="Times New Roman" w:cs="Times New Roman"/>
                <w:sz w:val="18"/>
                <w:szCs w:val="18"/>
                <w:spacing w:val="-1"/>
                <w:position w:val="2"/>
              </w:rPr>
              <w:t>/(</w:t>
            </w:r>
            <w:r>
              <w:rPr>
                <w:sz w:val="18"/>
                <w:szCs w:val="18"/>
                <w:spacing w:val="-1"/>
                <w:position w:val="2"/>
              </w:rPr>
              <w:t>损失</w:t>
            </w:r>
            <w:r>
              <w:rPr>
                <w:rFonts w:ascii="Times New Roman" w:hAnsi="Times New Roman" w:eastAsia="Times New Roman" w:cs="Times New Roman"/>
                <w:sz w:val="18"/>
                <w:szCs w:val="18"/>
                <w:spacing w:val="-1"/>
                <w:position w:val="2"/>
              </w:rPr>
              <w:t>)</w:t>
            </w:r>
          </w:p>
        </w:tc>
        <w:tc>
          <w:tcPr>
            <w:shd w:val="clear" w:fill="DBE5F1"/>
            <w:tcW w:w="1728" w:type="dxa"/>
            <w:vAlign w:val="top"/>
            <w:tcBorders>
              <w:bottom w:val="single" w:color="000000" w:sz="2" w:space="0"/>
              <w:top w:val="single" w:color="000000" w:sz="2" w:space="0"/>
            </w:tcBorders>
          </w:tcPr>
          <w:p>
            <w:pPr>
              <w:ind w:left="1188"/>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15,284</w:t>
            </w:r>
          </w:p>
        </w:tc>
        <w:tc>
          <w:tcPr>
            <w:shd w:val="clear" w:fill="DBE5F1"/>
            <w:tcW w:w="1465" w:type="dxa"/>
            <w:vAlign w:val="top"/>
            <w:tcBorders>
              <w:bottom w:val="single" w:color="000000" w:sz="2" w:space="0"/>
              <w:top w:val="single" w:color="000000" w:sz="2" w:space="0"/>
            </w:tcBorders>
          </w:tcPr>
          <w:p>
            <w:pPr>
              <w:ind w:left="1101"/>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5.60</w:t>
            </w:r>
          </w:p>
        </w:tc>
        <w:tc>
          <w:tcPr>
            <w:shd w:val="clear" w:fill="DBE5F1"/>
            <w:tcW w:w="1586" w:type="dxa"/>
            <w:vAlign w:val="top"/>
            <w:tcBorders>
              <w:bottom w:val="single" w:color="000000" w:sz="2" w:space="0"/>
              <w:top w:val="single" w:color="000000" w:sz="2" w:space="0"/>
            </w:tcBorders>
          </w:tcPr>
          <w:p>
            <w:pPr>
              <w:ind w:left="1013"/>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(18.95)</w:t>
            </w:r>
          </w:p>
        </w:tc>
      </w:tr>
      <w:tr>
        <w:trPr>
          <w:trHeight w:val="378" w:hRule="atLeast"/>
        </w:trPr>
        <w:tc>
          <w:tcPr>
            <w:tcW w:w="4875" w:type="dxa"/>
            <w:vAlign w:val="top"/>
            <w:tcBorders>
              <w:bottom w:val="single" w:color="000000" w:sz="2" w:space="0"/>
              <w:top w:val="single" w:color="000000" w:sz="2" w:space="0"/>
            </w:tcBorders>
          </w:tcPr>
          <w:p>
            <w:pPr>
              <w:pStyle w:val="TableText"/>
              <w:ind w:left="84"/>
              <w:spacing w:before="85" w:line="250" w:lineRule="exact"/>
              <w:rPr>
                <w:rFonts w:ascii="Times New Roman" w:hAnsi="Times New Roman" w:eastAsia="Times New Roman" w:cs="Times New Roman"/>
                <w:sz w:val="18"/>
                <w:szCs w:val="18"/>
              </w:rPr>
            </w:pPr>
            <w:r>
              <w:rPr>
                <w:sz w:val="18"/>
                <w:szCs w:val="18"/>
                <w:spacing w:val="-1"/>
                <w:position w:val="2"/>
              </w:rPr>
              <w:t>公允价值变动收益</w:t>
            </w:r>
            <w:r>
              <w:rPr>
                <w:rFonts w:ascii="Times New Roman" w:hAnsi="Times New Roman" w:eastAsia="Times New Roman" w:cs="Times New Roman"/>
                <w:sz w:val="18"/>
                <w:szCs w:val="18"/>
                <w:spacing w:val="-1"/>
                <w:position w:val="2"/>
              </w:rPr>
              <w:t>/(</w:t>
            </w:r>
            <w:r>
              <w:rPr>
                <w:sz w:val="18"/>
                <w:szCs w:val="18"/>
                <w:spacing w:val="-1"/>
                <w:position w:val="2"/>
              </w:rPr>
              <w:t>损失</w:t>
            </w:r>
            <w:r>
              <w:rPr>
                <w:rFonts w:ascii="Times New Roman" w:hAnsi="Times New Roman" w:eastAsia="Times New Roman" w:cs="Times New Roman"/>
                <w:sz w:val="18"/>
                <w:szCs w:val="18"/>
                <w:spacing w:val="-1"/>
                <w:position w:val="2"/>
              </w:rPr>
              <w:t>)</w:t>
            </w:r>
          </w:p>
        </w:tc>
        <w:tc>
          <w:tcPr>
            <w:shd w:val="clear" w:fill="DBE5F1"/>
            <w:tcW w:w="1728" w:type="dxa"/>
            <w:vAlign w:val="top"/>
            <w:tcBorders>
              <w:bottom w:val="single" w:color="000000" w:sz="2" w:space="0"/>
              <w:top w:val="single" w:color="000000" w:sz="2" w:space="0"/>
            </w:tcBorders>
          </w:tcPr>
          <w:p>
            <w:pPr>
              <w:ind w:left="1152"/>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(2,462)</w:t>
            </w:r>
          </w:p>
        </w:tc>
        <w:tc>
          <w:tcPr>
            <w:shd w:val="clear" w:fill="DBE5F1"/>
            <w:tcW w:w="1465" w:type="dxa"/>
            <w:vAlign w:val="top"/>
            <w:tcBorders>
              <w:bottom w:val="single" w:color="000000" w:sz="2" w:space="0"/>
              <w:top w:val="single" w:color="000000" w:sz="2" w:space="0"/>
            </w:tcBorders>
          </w:tcPr>
          <w:p>
            <w:pPr>
              <w:ind w:left="982"/>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(0.90)</w:t>
            </w:r>
          </w:p>
        </w:tc>
        <w:tc>
          <w:tcPr>
            <w:shd w:val="clear" w:fill="DBE5F1"/>
            <w:tcW w:w="1586" w:type="dxa"/>
            <w:vAlign w:val="top"/>
            <w:tcBorders>
              <w:bottom w:val="single" w:color="000000" w:sz="2" w:space="0"/>
              <w:top w:val="single" w:color="000000" w:sz="2" w:space="0"/>
            </w:tcBorders>
          </w:tcPr>
          <w:p>
            <w:pPr>
              <w:ind w:left="924"/>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(166.22)</w:t>
            </w:r>
          </w:p>
        </w:tc>
      </w:tr>
      <w:tr>
        <w:trPr>
          <w:trHeight w:val="378" w:hRule="atLeast"/>
        </w:trPr>
        <w:tc>
          <w:tcPr>
            <w:tcW w:w="4875" w:type="dxa"/>
            <w:vAlign w:val="top"/>
            <w:tcBorders>
              <w:bottom w:val="single" w:color="000000" w:sz="2" w:space="0"/>
              <w:top w:val="single" w:color="000000" w:sz="2" w:space="0"/>
            </w:tcBorders>
          </w:tcPr>
          <w:p>
            <w:pPr>
              <w:pStyle w:val="TableText"/>
              <w:ind w:left="79"/>
              <w:spacing w:before="86" w:line="250" w:lineRule="exact"/>
              <w:rPr>
                <w:rFonts w:ascii="Times New Roman" w:hAnsi="Times New Roman" w:eastAsia="Times New Roman" w:cs="Times New Roman"/>
                <w:sz w:val="18"/>
                <w:szCs w:val="18"/>
              </w:rPr>
            </w:pPr>
            <w:r>
              <w:rPr>
                <w:sz w:val="18"/>
                <w:szCs w:val="18"/>
                <w:spacing w:val="-1"/>
                <w:position w:val="2"/>
              </w:rPr>
              <w:t>汇兑及汇率产品净收益</w:t>
            </w:r>
            <w:r>
              <w:rPr>
                <w:rFonts w:ascii="Times New Roman" w:hAnsi="Times New Roman" w:eastAsia="Times New Roman" w:cs="Times New Roman"/>
                <w:sz w:val="18"/>
                <w:szCs w:val="18"/>
                <w:spacing w:val="-1"/>
                <w:position w:val="2"/>
              </w:rPr>
              <w:t>/(</w:t>
            </w:r>
            <w:r>
              <w:rPr>
                <w:sz w:val="18"/>
                <w:szCs w:val="18"/>
                <w:spacing w:val="-1"/>
                <w:position w:val="2"/>
              </w:rPr>
              <w:t>损失</w:t>
            </w:r>
            <w:r>
              <w:rPr>
                <w:rFonts w:ascii="Times New Roman" w:hAnsi="Times New Roman" w:eastAsia="Times New Roman" w:cs="Times New Roman"/>
                <w:sz w:val="18"/>
                <w:szCs w:val="18"/>
                <w:spacing w:val="-1"/>
                <w:position w:val="2"/>
              </w:rPr>
              <w:t>)</w:t>
            </w:r>
          </w:p>
        </w:tc>
        <w:tc>
          <w:tcPr>
            <w:shd w:val="clear" w:fill="DBE5F1"/>
            <w:tcW w:w="1728" w:type="dxa"/>
            <w:vAlign w:val="top"/>
            <w:tcBorders>
              <w:bottom w:val="single" w:color="000000" w:sz="2" w:space="0"/>
              <w:top w:val="single" w:color="000000" w:sz="2" w:space="0"/>
            </w:tcBorders>
          </w:tcPr>
          <w:p>
            <w:pPr>
              <w:ind w:left="1271"/>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5,737</w:t>
            </w:r>
          </w:p>
        </w:tc>
        <w:tc>
          <w:tcPr>
            <w:shd w:val="clear" w:fill="DBE5F1"/>
            <w:tcW w:w="1465" w:type="dxa"/>
            <w:vAlign w:val="top"/>
            <w:tcBorders>
              <w:bottom w:val="single" w:color="000000" w:sz="2" w:space="0"/>
              <w:top w:val="single" w:color="000000" w:sz="2" w:space="0"/>
            </w:tcBorders>
          </w:tcPr>
          <w:p>
            <w:pPr>
              <w:ind w:left="1099"/>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2.10</w:t>
            </w:r>
          </w:p>
        </w:tc>
        <w:tc>
          <w:tcPr>
            <w:shd w:val="clear" w:fill="DBE5F1"/>
            <w:tcW w:w="1586" w:type="dxa"/>
            <w:vAlign w:val="top"/>
            <w:tcBorders>
              <w:bottom w:val="single" w:color="000000" w:sz="2" w:space="0"/>
              <w:top w:val="single" w:color="000000" w:sz="2" w:space="0"/>
            </w:tcBorders>
          </w:tcPr>
          <w:p>
            <w:pPr>
              <w:ind w:left="1049"/>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125.96</w:t>
            </w:r>
          </w:p>
        </w:tc>
      </w:tr>
      <w:tr>
        <w:trPr>
          <w:trHeight w:val="379" w:hRule="atLeast"/>
        </w:trPr>
        <w:tc>
          <w:tcPr>
            <w:tcW w:w="4875" w:type="dxa"/>
            <w:vAlign w:val="top"/>
            <w:tcBorders>
              <w:bottom w:val="single" w:color="000000" w:sz="2" w:space="0"/>
              <w:top w:val="single" w:color="000000" w:sz="2" w:space="0"/>
            </w:tcBorders>
          </w:tcPr>
          <w:p>
            <w:pPr>
              <w:pStyle w:val="TableText"/>
              <w:ind w:left="79"/>
              <w:spacing w:before="113" w:line="220" w:lineRule="auto"/>
              <w:rPr>
                <w:sz w:val="18"/>
                <w:szCs w:val="18"/>
              </w:rPr>
            </w:pPr>
            <w:r>
              <w:rPr>
                <w:sz w:val="18"/>
                <w:szCs w:val="18"/>
                <w:spacing w:val="-2"/>
              </w:rPr>
              <w:t>保险业务收入</w:t>
            </w:r>
          </w:p>
        </w:tc>
        <w:tc>
          <w:tcPr>
            <w:shd w:val="clear" w:fill="DBE5F1"/>
            <w:tcW w:w="1728" w:type="dxa"/>
            <w:vAlign w:val="top"/>
            <w:tcBorders>
              <w:bottom w:val="single" w:color="000000" w:sz="2" w:space="0"/>
              <w:top w:val="single" w:color="000000" w:sz="2" w:space="0"/>
            </w:tcBorders>
          </w:tcPr>
          <w:p>
            <w:pPr>
              <w:ind w:left="1188"/>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18,100</w:t>
            </w:r>
          </w:p>
        </w:tc>
        <w:tc>
          <w:tcPr>
            <w:shd w:val="clear" w:fill="DBE5F1"/>
            <w:tcW w:w="1465" w:type="dxa"/>
            <w:vAlign w:val="top"/>
            <w:tcBorders>
              <w:bottom w:val="single" w:color="000000" w:sz="2" w:space="0"/>
              <w:top w:val="single" w:color="000000" w:sz="2" w:space="0"/>
            </w:tcBorders>
          </w:tcPr>
          <w:p>
            <w:pPr>
              <w:ind w:left="1101"/>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6.63</w:t>
            </w:r>
          </w:p>
        </w:tc>
        <w:tc>
          <w:tcPr>
            <w:shd w:val="clear" w:fill="DBE5F1"/>
            <w:tcW w:w="1586" w:type="dxa"/>
            <w:vAlign w:val="top"/>
            <w:tcBorders>
              <w:bottom w:val="single" w:color="000000" w:sz="2" w:space="0"/>
              <w:top w:val="single" w:color="000000" w:sz="2" w:space="0"/>
            </w:tcBorders>
          </w:tcPr>
          <w:p>
            <w:pPr>
              <w:ind w:left="1222"/>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9.60</w:t>
            </w:r>
          </w:p>
        </w:tc>
      </w:tr>
      <w:tr>
        <w:trPr>
          <w:trHeight w:val="379" w:hRule="atLeast"/>
        </w:trPr>
        <w:tc>
          <w:tcPr>
            <w:tcW w:w="4875" w:type="dxa"/>
            <w:vAlign w:val="top"/>
            <w:tcBorders>
              <w:bottom w:val="single" w:color="000000" w:sz="2" w:space="0"/>
              <w:top w:val="single" w:color="000000" w:sz="2" w:space="0"/>
            </w:tcBorders>
          </w:tcPr>
          <w:p>
            <w:pPr>
              <w:pStyle w:val="TableText"/>
              <w:ind w:left="79"/>
              <w:spacing w:before="113" w:line="220" w:lineRule="auto"/>
              <w:rPr>
                <w:sz w:val="18"/>
                <w:szCs w:val="18"/>
              </w:rPr>
            </w:pPr>
            <w:r>
              <w:rPr>
                <w:sz w:val="18"/>
                <w:szCs w:val="18"/>
                <w:spacing w:val="-2"/>
              </w:rPr>
              <w:t>其他业务收入</w:t>
            </w:r>
          </w:p>
        </w:tc>
        <w:tc>
          <w:tcPr>
            <w:shd w:val="clear" w:fill="DBE5F1"/>
            <w:tcW w:w="1728" w:type="dxa"/>
            <w:vAlign w:val="top"/>
            <w:tcBorders>
              <w:bottom w:val="single" w:color="000000" w:sz="2" w:space="0"/>
              <w:top w:val="single" w:color="000000" w:sz="2" w:space="0"/>
            </w:tcBorders>
          </w:tcPr>
          <w:p>
            <w:pPr>
              <w:ind w:left="1181"/>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20,388</w:t>
            </w:r>
          </w:p>
        </w:tc>
        <w:tc>
          <w:tcPr>
            <w:shd w:val="clear" w:fill="DBE5F1"/>
            <w:tcW w:w="1465" w:type="dxa"/>
            <w:vAlign w:val="top"/>
            <w:tcBorders>
              <w:bottom w:val="single" w:color="000000" w:sz="2" w:space="0"/>
              <w:top w:val="single" w:color="000000" w:sz="2" w:space="0"/>
            </w:tcBorders>
          </w:tcPr>
          <w:p>
            <w:pPr>
              <w:ind w:left="1101"/>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7.47</w:t>
            </w:r>
          </w:p>
        </w:tc>
        <w:tc>
          <w:tcPr>
            <w:shd w:val="clear" w:fill="DBE5F1"/>
            <w:tcW w:w="1586" w:type="dxa"/>
            <w:vAlign w:val="top"/>
            <w:tcBorders>
              <w:bottom w:val="single" w:color="000000" w:sz="2" w:space="0"/>
              <w:top w:val="single" w:color="000000" w:sz="2" w:space="0"/>
            </w:tcBorders>
          </w:tcPr>
          <w:p>
            <w:pPr>
              <w:ind w:left="1137"/>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16.49</w:t>
            </w:r>
          </w:p>
        </w:tc>
      </w:tr>
      <w:tr>
        <w:trPr>
          <w:trHeight w:val="379" w:hRule="atLeast"/>
        </w:trPr>
        <w:tc>
          <w:tcPr>
            <w:tcW w:w="4875" w:type="dxa"/>
            <w:vAlign w:val="top"/>
            <w:tcBorders>
              <w:bottom w:val="single" w:color="000000" w:sz="2" w:space="0"/>
              <w:top w:val="single" w:color="000000" w:sz="2" w:space="0"/>
            </w:tcBorders>
          </w:tcPr>
          <w:p>
            <w:pPr>
              <w:pStyle w:val="TableText"/>
              <w:ind w:left="86"/>
              <w:spacing w:before="114" w:line="220" w:lineRule="auto"/>
              <w:rPr>
                <w:sz w:val="18"/>
                <w:szCs w:val="18"/>
              </w:rPr>
            </w:pPr>
            <w:r>
              <w:rPr>
                <w:sz w:val="18"/>
                <w:szCs w:val="18"/>
                <w:spacing w:val="-3"/>
              </w:rPr>
              <w:t>资产处置收益</w:t>
            </w:r>
          </w:p>
        </w:tc>
        <w:tc>
          <w:tcPr>
            <w:shd w:val="clear" w:fill="DBE5F1"/>
            <w:tcW w:w="1728" w:type="dxa"/>
            <w:vAlign w:val="top"/>
            <w:tcBorders>
              <w:bottom w:val="single" w:color="000000" w:sz="2" w:space="0"/>
              <w:top w:val="single" w:color="000000" w:sz="2" w:space="0"/>
            </w:tcBorders>
          </w:tcPr>
          <w:p>
            <w:pPr>
              <w:ind w:left="1406"/>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739</w:t>
            </w:r>
          </w:p>
        </w:tc>
        <w:tc>
          <w:tcPr>
            <w:shd w:val="clear" w:fill="DBE5F1"/>
            <w:tcW w:w="1465" w:type="dxa"/>
            <w:vAlign w:val="top"/>
            <w:tcBorders>
              <w:bottom w:val="single" w:color="000000" w:sz="2" w:space="0"/>
              <w:top w:val="single" w:color="000000" w:sz="2" w:space="0"/>
            </w:tcBorders>
          </w:tcPr>
          <w:p>
            <w:pPr>
              <w:ind w:left="1101"/>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0.27</w:t>
            </w:r>
          </w:p>
        </w:tc>
        <w:tc>
          <w:tcPr>
            <w:shd w:val="clear" w:fill="DBE5F1"/>
            <w:tcW w:w="1586" w:type="dxa"/>
            <w:vAlign w:val="top"/>
            <w:tcBorders>
              <w:bottom w:val="single" w:color="000000" w:sz="2" w:space="0"/>
              <w:top w:val="single" w:color="000000" w:sz="2" w:space="0"/>
            </w:tcBorders>
          </w:tcPr>
          <w:p>
            <w:pPr>
              <w:ind w:left="1132"/>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62.78</w:t>
            </w:r>
          </w:p>
        </w:tc>
      </w:tr>
      <w:tr>
        <w:trPr>
          <w:trHeight w:val="383" w:hRule="atLeast"/>
        </w:trPr>
        <w:tc>
          <w:tcPr>
            <w:tcW w:w="4875" w:type="dxa"/>
            <w:vAlign w:val="top"/>
            <w:tcBorders>
              <w:bottom w:val="single" w:color="000000" w:sz="2" w:space="0"/>
              <w:top w:val="single" w:color="000000" w:sz="2" w:space="0"/>
            </w:tcBorders>
          </w:tcPr>
          <w:p>
            <w:pPr>
              <w:pStyle w:val="TableText"/>
              <w:ind w:left="79"/>
              <w:spacing w:before="114" w:line="220" w:lineRule="auto"/>
              <w:rPr>
                <w:sz w:val="18"/>
                <w:szCs w:val="18"/>
              </w:rPr>
            </w:pPr>
            <w:r>
              <w:rPr>
                <w:sz w:val="18"/>
                <w:szCs w:val="18"/>
                <w:spacing w:val="-2"/>
              </w:rPr>
              <w:t>其他收益</w:t>
            </w:r>
          </w:p>
        </w:tc>
        <w:tc>
          <w:tcPr>
            <w:shd w:val="clear" w:fill="DBE5F1"/>
            <w:tcW w:w="1728" w:type="dxa"/>
            <w:vAlign w:val="top"/>
            <w:tcBorders>
              <w:bottom w:val="single" w:color="000000" w:sz="2" w:space="0"/>
              <w:top w:val="single" w:color="000000" w:sz="2" w:space="0"/>
            </w:tcBorders>
          </w:tcPr>
          <w:p>
            <w:pPr>
              <w:ind w:left="1406"/>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616</w:t>
            </w:r>
          </w:p>
        </w:tc>
        <w:tc>
          <w:tcPr>
            <w:shd w:val="clear" w:fill="DBE5F1"/>
            <w:tcW w:w="1465" w:type="dxa"/>
            <w:vAlign w:val="top"/>
            <w:tcBorders>
              <w:bottom w:val="single" w:color="000000" w:sz="2" w:space="0"/>
              <w:top w:val="single" w:color="000000" w:sz="2" w:space="0"/>
            </w:tcBorders>
          </w:tcPr>
          <w:p>
            <w:pPr>
              <w:ind w:left="1101"/>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0.23</w:t>
            </w:r>
          </w:p>
        </w:tc>
        <w:tc>
          <w:tcPr>
            <w:shd w:val="clear" w:fill="DBE5F1"/>
            <w:tcW w:w="1586" w:type="dxa"/>
            <w:vAlign w:val="top"/>
            <w:tcBorders>
              <w:bottom w:val="single" w:color="000000" w:sz="2" w:space="0"/>
              <w:top w:val="single" w:color="000000" w:sz="2" w:space="0"/>
            </w:tcBorders>
          </w:tcPr>
          <w:p>
            <w:pPr>
              <w:ind w:left="1137"/>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14.50</w:t>
            </w:r>
          </w:p>
        </w:tc>
      </w:tr>
    </w:tbl>
    <w:p>
      <w:pPr>
        <w:pStyle w:val="BodyText"/>
        <w:spacing w:line="64" w:lineRule="exact"/>
        <w:rPr>
          <w:sz w:val="5"/>
        </w:rPr>
      </w:pPr>
      <w:r/>
    </w:p>
    <w:p>
      <w:pPr>
        <w:spacing w:line="64" w:lineRule="exact"/>
        <w:sectPr>
          <w:footerReference w:type="default" r:id="rId21"/>
          <w:pgSz w:w="11907" w:h="16839"/>
          <w:pgMar w:top="1196" w:right="1133" w:bottom="1375" w:left="1118" w:header="0" w:footer="1211" w:gutter="0"/>
        </w:sectPr>
        <w:rPr>
          <w:sz w:val="5"/>
          <w:szCs w:val="5"/>
        </w:rPr>
      </w:pPr>
    </w:p>
    <w:tbl>
      <w:tblPr>
        <w:tblStyle w:val="TableNormal"/>
        <w:tblW w:w="9654"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124"/>
        <w:gridCol w:w="1256"/>
        <w:gridCol w:w="1255"/>
        <w:gridCol w:w="1256"/>
        <w:gridCol w:w="1530"/>
        <w:gridCol w:w="1071"/>
        <w:gridCol w:w="318"/>
        <w:gridCol w:w="844"/>
      </w:tblGrid>
      <w:tr>
        <w:trPr>
          <w:trHeight w:val="386" w:hRule="atLeast"/>
        </w:trPr>
        <w:tc>
          <w:tcPr>
            <w:tcW w:w="2124" w:type="dxa"/>
            <w:vAlign w:val="top"/>
            <w:tcBorders>
              <w:bottom w:val="single" w:color="000000" w:sz="2" w:space="0"/>
              <w:top w:val="single" w:color="000000" w:sz="2" w:space="0"/>
            </w:tcBorders>
          </w:tcPr>
          <w:p>
            <w:pPr>
              <w:pStyle w:val="TableText"/>
              <w:ind w:left="84"/>
              <w:spacing w:before="116" w:line="220" w:lineRule="auto"/>
              <w:rPr>
                <w:sz w:val="18"/>
                <w:szCs w:val="18"/>
              </w:rPr>
            </w:pPr>
            <w:r>
              <w:rPr>
                <w:sz w:val="18"/>
                <w:szCs w:val="18"/>
                <w:b/>
                <w:bCs/>
                <w:spacing w:val="-4"/>
              </w:rPr>
              <w:t>营业收入合计</w:t>
            </w:r>
          </w:p>
        </w:tc>
        <w:tc>
          <w:tcPr>
            <w:tcW w:w="7530" w:type="dxa"/>
            <w:vAlign w:val="top"/>
            <w:gridSpan w:val="7"/>
            <w:tcBorders>
              <w:bottom w:val="single" w:color="000000" w:sz="2" w:space="0"/>
              <w:top w:val="single" w:color="000000" w:sz="2" w:space="0"/>
            </w:tcBorders>
          </w:tcPr>
          <w:p>
            <w:pPr>
              <w:ind w:firstLine="2751"/>
              <w:spacing w:before="6" w:line="369" w:lineRule="exact"/>
              <w:rPr/>
            </w:pPr>
            <w:r>
              <w:rPr>
                <w:position w:val="-7"/>
              </w:rPr>
              <w:pict>
                <v:shape id="_x0000_s114" style="mso-position-vertical-relative:line;mso-position-horizontal-relative:char;width:239pt;height:18.75pt;" fillcolor="#DBE5F1" filled="true" stroked="false" type="#_x0000_t202">
                  <v:fill on="true"/>
                  <v:stroke on="false"/>
                  <v:path/>
                  <v:imagedata o:title=""/>
                  <o:lock v:ext="edit" aspectratio="false"/>
                  <v:textbox inset="0mm,0mm,0mm,0mm">
                    <w:txbxContent>
                      <w:p>
                        <w:pPr>
                          <w:ind w:left="1089"/>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272,978                      100.00                             1.33</w:t>
                        </w:r>
                      </w:p>
                    </w:txbxContent>
                  </v:textbox>
                </v:shape>
              </w:pict>
            </w:r>
          </w:p>
        </w:tc>
      </w:tr>
      <w:tr>
        <w:trPr>
          <w:trHeight w:val="3642" w:hRule="atLeast"/>
        </w:trPr>
        <w:tc>
          <w:tcPr>
            <w:tcW w:w="9654" w:type="dxa"/>
            <w:vAlign w:val="top"/>
            <w:gridSpan w:val="8"/>
            <w:tcBorders>
              <w:bottom w:val="single" w:color="000000" w:sz="2" w:space="0"/>
              <w:top w:val="single" w:color="000000" w:sz="2" w:space="0"/>
            </w:tcBorders>
          </w:tcPr>
          <w:p>
            <w:pPr>
              <w:pStyle w:val="TableText"/>
              <w:ind w:left="442"/>
              <w:spacing w:before="268" w:line="221" w:lineRule="auto"/>
              <w:rPr/>
            </w:pPr>
            <w:r>
              <w:rPr>
                <w:rFonts w:ascii="Times New Roman" w:hAnsi="Times New Roman" w:eastAsia="Times New Roman" w:cs="Times New Roman"/>
                <w:b/>
                <w:bCs/>
                <w:spacing w:val="-2"/>
              </w:rPr>
              <w:t>2.</w:t>
            </w:r>
            <w:r>
              <w:rPr>
                <w:b/>
                <w:bCs/>
                <w:spacing w:val="-2"/>
              </w:rPr>
              <w:t>利息净收入</w:t>
            </w:r>
          </w:p>
          <w:p>
            <w:pPr>
              <w:pStyle w:val="TableText"/>
              <w:ind w:left="24" w:right="103" w:firstLine="417"/>
              <w:spacing w:before="307" w:line="292" w:lineRule="auto"/>
              <w:jc w:val="both"/>
              <w:rPr/>
            </w:pPr>
            <w:r>
              <w:rPr/>
              <w:t>报告期内,本集团实现利息净收入</w:t>
            </w:r>
            <w:r>
              <w:rPr>
                <w:spacing w:val="-52"/>
              </w:rPr>
              <w:t xml:space="preserve"> </w:t>
            </w:r>
            <w:r>
              <w:rPr>
                <w:rFonts w:ascii="Times New Roman" w:hAnsi="Times New Roman" w:eastAsia="Times New Roman" w:cs="Times New Roman"/>
              </w:rPr>
              <w:t>1,699.37</w:t>
            </w:r>
            <w:r>
              <w:rPr>
                <w:rFonts w:ascii="Times New Roman" w:hAnsi="Times New Roman" w:eastAsia="Times New Roman" w:cs="Times New Roman"/>
                <w:spacing w:val="-14"/>
              </w:rPr>
              <w:t xml:space="preserve"> </w:t>
            </w:r>
            <w:r>
              <w:rPr/>
              <w:t>亿元,同比增加</w:t>
            </w:r>
            <w:r>
              <w:rPr>
                <w:rFonts w:ascii="Times New Roman" w:hAnsi="Times New Roman" w:eastAsia="Times New Roman" w:cs="Times New Roman"/>
              </w:rPr>
              <w:t>82.44</w:t>
            </w:r>
            <w:r>
              <w:rPr>
                <w:rFonts w:ascii="Times New Roman" w:hAnsi="Times New Roman" w:eastAsia="Times New Roman" w:cs="Times New Roman"/>
                <w:spacing w:val="-15"/>
              </w:rPr>
              <w:t xml:space="preserve"> </w:t>
            </w:r>
            <w:r>
              <w:rPr/>
              <w:t>亿元,在</w:t>
            </w:r>
            <w:r>
              <w:rPr>
                <w:spacing w:val="-1"/>
              </w:rPr>
              <w:t>营业收入中的占比为</w:t>
            </w:r>
            <w:r>
              <w:rPr>
                <w:rFonts w:ascii="Times New Roman" w:hAnsi="Times New Roman" w:eastAsia="Times New Roman" w:cs="Times New Roman"/>
                <w:spacing w:val="-1"/>
              </w:rPr>
              <w:t>62.25%</w:t>
            </w:r>
            <w:r>
              <w:rPr>
                <w:spacing w:val="-1"/>
              </w:rPr>
              <w:t>,</w:t>
            </w:r>
            <w:r>
              <w:rPr/>
              <w:t xml:space="preserve"> </w:t>
            </w:r>
            <w:r>
              <w:rPr>
                <w:spacing w:val="1"/>
              </w:rPr>
              <w:t>是本集团业务收入的主要组成部分。报告期内,本集团全力加大金融支持实体经济和民生力度,</w:t>
            </w:r>
            <w:r>
              <w:rPr>
                <w:spacing w:val="49"/>
              </w:rPr>
              <w:t xml:space="preserve"> </w:t>
            </w:r>
            <w:r>
              <w:rPr>
                <w:spacing w:val="1"/>
              </w:rPr>
              <w:t>持续提 </w:t>
            </w:r>
            <w:r>
              <w:rPr>
                <w:spacing w:val="-2"/>
              </w:rPr>
              <w:t>升客户贷款在生息资产中的比重,</w:t>
            </w:r>
            <w:r>
              <w:rPr>
                <w:spacing w:val="53"/>
              </w:rPr>
              <w:t xml:space="preserve"> </w:t>
            </w:r>
            <w:r>
              <w:rPr>
                <w:spacing w:val="-2"/>
              </w:rPr>
              <w:t>同时积极应对存款定期化趋势,</w:t>
            </w:r>
            <w:r>
              <w:rPr>
                <w:spacing w:val="29"/>
              </w:rPr>
              <w:t xml:space="preserve"> </w:t>
            </w:r>
            <w:r>
              <w:rPr>
                <w:spacing w:val="-2"/>
              </w:rPr>
              <w:t>通过调整优化负债结构抵消部分负债 </w:t>
            </w:r>
            <w:r>
              <w:rPr>
                <w:spacing w:val="-2"/>
              </w:rPr>
              <w:t>成本上行压力,</w:t>
            </w:r>
            <w:r>
              <w:rPr>
                <w:spacing w:val="32"/>
              </w:rPr>
              <w:t xml:space="preserve"> </w:t>
            </w:r>
            <w:r>
              <w:rPr>
                <w:spacing w:val="-2"/>
              </w:rPr>
              <w:t>推动利息净收入同比增加。</w:t>
            </w:r>
          </w:p>
          <w:p>
            <w:pPr>
              <w:pStyle w:val="TableText"/>
              <w:ind w:left="24" w:right="181" w:firstLine="419"/>
              <w:spacing w:before="309" w:line="269" w:lineRule="auto"/>
              <w:rPr/>
            </w:pPr>
            <w:r>
              <w:rPr/>
              <w:t>本集团在所示期间的生息资产和计息负债的平均余额、相关利息收入和支出以及平均收益率</w:t>
            </w:r>
            <w:r>
              <w:rPr>
                <w:spacing w:val="-1"/>
              </w:rPr>
              <w:t>或平均</w:t>
            </w:r>
            <w:r>
              <w:rPr/>
              <w:t xml:space="preserve"> </w:t>
            </w:r>
            <w:r>
              <w:rPr>
                <w:spacing w:val="-2"/>
              </w:rPr>
              <w:t>成本率如下:</w:t>
            </w:r>
          </w:p>
          <w:p>
            <w:pPr>
              <w:spacing w:line="249" w:lineRule="auto"/>
              <w:rPr>
                <w:rFonts w:ascii="Arial"/>
                <w:sz w:val="21"/>
              </w:rPr>
            </w:pPr>
            <w:r/>
          </w:p>
          <w:p>
            <w:pPr>
              <w:pStyle w:val="TableText"/>
              <w:spacing w:before="58" w:line="246" w:lineRule="exact"/>
              <w:jc w:val="right"/>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position w:val="2"/>
              </w:rPr>
              <w:t>(</w:t>
            </w:r>
            <w:r>
              <w:rPr>
                <w:sz w:val="18"/>
                <w:szCs w:val="18"/>
                <w:spacing w:val="5"/>
                <w:position w:val="2"/>
              </w:rPr>
              <w:t>除另有标明外,人民币百万元</w:t>
            </w:r>
            <w:r>
              <w:rPr>
                <w:rFonts w:ascii="Times New Roman" w:hAnsi="Times New Roman" w:eastAsia="Times New Roman" w:cs="Times New Roman"/>
                <w:sz w:val="18"/>
                <w:szCs w:val="18"/>
                <w:spacing w:val="5"/>
                <w:position w:val="2"/>
              </w:rPr>
              <w:t>)</w:t>
            </w:r>
          </w:p>
        </w:tc>
      </w:tr>
      <w:tr>
        <w:trPr>
          <w:trHeight w:val="379" w:hRule="atLeast"/>
        </w:trPr>
        <w:tc>
          <w:tcPr>
            <w:tcW w:w="5891" w:type="dxa"/>
            <w:vAlign w:val="top"/>
            <w:gridSpan w:val="4"/>
            <w:tcBorders>
              <w:top w:val="single" w:color="000000" w:sz="2" w:space="0"/>
            </w:tcBorders>
          </w:tcPr>
          <w:p>
            <w:pPr>
              <w:pStyle w:val="TableText"/>
              <w:ind w:left="3223"/>
              <w:spacing w:before="114" w:line="220" w:lineRule="auto"/>
              <w:rPr>
                <w:sz w:val="18"/>
                <w:szCs w:val="18"/>
              </w:rPr>
            </w:pPr>
            <w:r>
              <mc:AlternateContent xmlns:mc="http://schemas.openxmlformats.org/markup-compatibility/2006">
                <mc:Choice Requires="wps">
                  <w:drawing>
                    <wp:anchor distT="0" distB="0" distL="0" distR="0" simplePos="0" relativeHeight="251685888" behindDoc="1" locked="0" layoutInCell="1" allowOverlap="1">
                      <wp:simplePos x="0" y="0"/>
                      <wp:positionH relativeFrom="column">
                        <wp:posOffset>1350517</wp:posOffset>
                      </wp:positionH>
                      <wp:positionV relativeFrom="paragraph">
                        <wp:posOffset>2954</wp:posOffset>
                      </wp:positionV>
                      <wp:extent cx="2390775" cy="646430"/>
                      <wp:effectExtent l="0" t="0" r="0" b="0"/>
                      <wp:wrapNone/>
                      <wp:docPr id="4" name="Rect 4"/>
                      <wp:cNvGraphicFramePr/>
                      <a:graphic>
                        <a:graphicData uri="http://schemas.microsoft.com/office/word/2010/wordprocessingShape">
                          <wps:wsp>
                            <wps:cNvPr id="4" name="Rect 4"/>
                            <wps:cNvSpPr/>
                            <wps:spPr>
                              <a:xfrm>
                                <a:off x="1350517" y="2954"/>
                                <a:ext cx="2390775" cy="646430"/>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16" style="position:absolute;margin-left:106.34pt;margin-top:0.232605pt;mso-position-vertical-relative:text;mso-position-horizontal-relative:text;width:188.25pt;height:50.9pt;z-index:-251630592;" fillcolor="#DBE5F1" filled="true" stroked="false"/>
                  </w:pict>
                </mc:Fallback>
              </mc:AlternateContent>
            </w:r>
            <w:r>
              <w:rPr>
                <w:rFonts w:ascii="Times New Roman" w:hAnsi="Times New Roman" w:eastAsia="Times New Roman" w:cs="Times New Roman"/>
                <w:sz w:val="18"/>
                <w:szCs w:val="18"/>
                <w:b/>
                <w:bCs/>
                <w:spacing w:val="-4"/>
              </w:rPr>
              <w:t>2022 </w:t>
            </w:r>
            <w:r>
              <w:rPr>
                <w:sz w:val="18"/>
                <w:szCs w:val="18"/>
                <w:b/>
                <w:bCs/>
                <w:spacing w:val="-4"/>
              </w:rPr>
              <w:t>年</w:t>
            </w:r>
            <w:r>
              <w:rPr>
                <w:sz w:val="18"/>
                <w:szCs w:val="18"/>
                <w:spacing w:val="-31"/>
              </w:rPr>
              <w:t xml:space="preserve"> </w:t>
            </w:r>
            <w:r>
              <w:rPr>
                <w:rFonts w:ascii="Times New Roman" w:hAnsi="Times New Roman" w:eastAsia="Times New Roman" w:cs="Times New Roman"/>
                <w:sz w:val="18"/>
                <w:szCs w:val="18"/>
                <w:b/>
                <w:bCs/>
                <w:spacing w:val="-4"/>
              </w:rPr>
              <w:t>1</w:t>
            </w:r>
            <w:r>
              <w:rPr>
                <w:rFonts w:ascii="Times New Roman" w:hAnsi="Times New Roman" w:eastAsia="Times New Roman" w:cs="Times New Roman"/>
                <w:sz w:val="18"/>
                <w:szCs w:val="18"/>
                <w:b/>
                <w:bCs/>
                <w:spacing w:val="13"/>
              </w:rPr>
              <w:t xml:space="preserve"> </w:t>
            </w:r>
            <w:r>
              <w:rPr>
                <w:sz w:val="18"/>
                <w:szCs w:val="18"/>
                <w:b/>
                <w:bCs/>
                <w:spacing w:val="-4"/>
              </w:rPr>
              <w:t>月至</w:t>
            </w:r>
            <w:r>
              <w:rPr>
                <w:sz w:val="18"/>
                <w:szCs w:val="18"/>
                <w:spacing w:val="-33"/>
              </w:rPr>
              <w:t xml:space="preserve"> </w:t>
            </w:r>
            <w:r>
              <w:rPr>
                <w:rFonts w:ascii="Times New Roman" w:hAnsi="Times New Roman" w:eastAsia="Times New Roman" w:cs="Times New Roman"/>
                <w:sz w:val="18"/>
                <w:szCs w:val="18"/>
                <w:b/>
                <w:bCs/>
                <w:spacing w:val="-4"/>
              </w:rPr>
              <w:t>12</w:t>
            </w:r>
            <w:r>
              <w:rPr>
                <w:rFonts w:ascii="Times New Roman" w:hAnsi="Times New Roman" w:eastAsia="Times New Roman" w:cs="Times New Roman"/>
                <w:sz w:val="18"/>
                <w:szCs w:val="18"/>
                <w:b/>
                <w:bCs/>
                <w:spacing w:val="11"/>
                <w:w w:val="101"/>
              </w:rPr>
              <w:t xml:space="preserve"> </w:t>
            </w:r>
            <w:r>
              <w:rPr>
                <w:sz w:val="18"/>
                <w:szCs w:val="18"/>
                <w:b/>
                <w:bCs/>
                <w:spacing w:val="-4"/>
              </w:rPr>
              <w:t>月</w:t>
            </w:r>
          </w:p>
        </w:tc>
        <w:tc>
          <w:tcPr>
            <w:tcW w:w="3763" w:type="dxa"/>
            <w:vAlign w:val="top"/>
            <w:gridSpan w:val="4"/>
            <w:tcBorders>
              <w:bottom w:val="single" w:color="000000" w:sz="2" w:space="0"/>
              <w:top w:val="single" w:color="000000" w:sz="2" w:space="0"/>
            </w:tcBorders>
          </w:tcPr>
          <w:p>
            <w:pPr>
              <w:pStyle w:val="TableText"/>
              <w:ind w:left="1098"/>
              <w:spacing w:before="114" w:line="220" w:lineRule="auto"/>
              <w:rPr>
                <w:sz w:val="18"/>
                <w:szCs w:val="18"/>
              </w:rPr>
            </w:pPr>
            <w:r>
              <w:rPr>
                <w:rFonts w:ascii="Times New Roman" w:hAnsi="Times New Roman" w:eastAsia="Times New Roman" w:cs="Times New Roman"/>
                <w:sz w:val="18"/>
                <w:szCs w:val="18"/>
                <w:spacing w:val="-6"/>
              </w:rPr>
              <w:t>2021</w:t>
            </w:r>
            <w:r>
              <w:rPr>
                <w:rFonts w:ascii="Times New Roman" w:hAnsi="Times New Roman" w:eastAsia="Times New Roman" w:cs="Times New Roman"/>
                <w:sz w:val="18"/>
                <w:szCs w:val="18"/>
                <w:spacing w:val="9"/>
              </w:rPr>
              <w:t xml:space="preserve"> </w:t>
            </w:r>
            <w:r>
              <w:rPr>
                <w:sz w:val="18"/>
                <w:szCs w:val="18"/>
                <w:spacing w:val="-6"/>
              </w:rPr>
              <w:t>年</w:t>
            </w:r>
            <w:r>
              <w:rPr>
                <w:sz w:val="18"/>
                <w:szCs w:val="18"/>
                <w:spacing w:val="-26"/>
              </w:rPr>
              <w:t xml:space="preserve"> </w:t>
            </w:r>
            <w:r>
              <w:rPr>
                <w:rFonts w:ascii="Times New Roman" w:hAnsi="Times New Roman" w:eastAsia="Times New Roman" w:cs="Times New Roman"/>
                <w:sz w:val="18"/>
                <w:szCs w:val="18"/>
                <w:spacing w:val="-6"/>
              </w:rPr>
              <w:t>1</w:t>
            </w:r>
            <w:r>
              <w:rPr>
                <w:rFonts w:ascii="Times New Roman" w:hAnsi="Times New Roman" w:eastAsia="Times New Roman" w:cs="Times New Roman"/>
                <w:sz w:val="18"/>
                <w:szCs w:val="18"/>
                <w:spacing w:val="13"/>
                <w:w w:val="102"/>
              </w:rPr>
              <w:t xml:space="preserve"> </w:t>
            </w:r>
            <w:r>
              <w:rPr>
                <w:sz w:val="18"/>
                <w:szCs w:val="18"/>
                <w:spacing w:val="-6"/>
              </w:rPr>
              <w:t>月至</w:t>
            </w:r>
            <w:r>
              <w:rPr>
                <w:sz w:val="18"/>
                <w:szCs w:val="18"/>
                <w:spacing w:val="-26"/>
              </w:rPr>
              <w:t xml:space="preserve"> </w:t>
            </w:r>
            <w:r>
              <w:rPr>
                <w:rFonts w:ascii="Times New Roman" w:hAnsi="Times New Roman" w:eastAsia="Times New Roman" w:cs="Times New Roman"/>
                <w:sz w:val="18"/>
                <w:szCs w:val="18"/>
                <w:spacing w:val="-6"/>
              </w:rPr>
              <w:t>12</w:t>
            </w:r>
            <w:r>
              <w:rPr>
                <w:rFonts w:ascii="Times New Roman" w:hAnsi="Times New Roman" w:eastAsia="Times New Roman" w:cs="Times New Roman"/>
                <w:sz w:val="18"/>
                <w:szCs w:val="18"/>
                <w:spacing w:val="14"/>
              </w:rPr>
              <w:t xml:space="preserve"> </w:t>
            </w:r>
            <w:r>
              <w:rPr>
                <w:sz w:val="18"/>
                <w:szCs w:val="18"/>
                <w:spacing w:val="-6"/>
              </w:rPr>
              <w:t>月</w:t>
            </w:r>
          </w:p>
        </w:tc>
      </w:tr>
      <w:tr>
        <w:trPr>
          <w:trHeight w:val="640" w:hRule="atLeast"/>
        </w:trPr>
        <w:tc>
          <w:tcPr>
            <w:tcW w:w="4635" w:type="dxa"/>
            <w:vAlign w:val="top"/>
            <w:gridSpan w:val="3"/>
            <w:tcBorders>
              <w:bottom w:val="single" w:color="000000" w:sz="2" w:space="0"/>
            </w:tcBorders>
          </w:tcPr>
          <w:p>
            <w:pPr>
              <w:pStyle w:val="TableText"/>
              <w:ind w:left="2608"/>
              <w:spacing w:before="243" w:line="220" w:lineRule="auto"/>
              <w:rPr>
                <w:sz w:val="18"/>
                <w:szCs w:val="18"/>
              </w:rPr>
            </w:pPr>
            <w:r>
              <w:rPr>
                <w:sz w:val="18"/>
                <w:szCs w:val="18"/>
                <w:b/>
                <w:bCs/>
                <w:spacing w:val="-3"/>
              </w:rPr>
              <w:t>平均余额</w:t>
            </w:r>
            <w:r>
              <w:rPr>
                <w:sz w:val="18"/>
                <w:szCs w:val="18"/>
                <w:spacing w:val="-3"/>
              </w:rPr>
              <w:t xml:space="preserve">      </w:t>
            </w:r>
            <w:r>
              <w:rPr>
                <w:sz w:val="18"/>
                <w:szCs w:val="18"/>
                <w:b/>
                <w:bCs/>
                <w:spacing w:val="-3"/>
              </w:rPr>
              <w:t>利息收支</w:t>
            </w:r>
          </w:p>
        </w:tc>
        <w:tc>
          <w:tcPr>
            <w:tcW w:w="1256" w:type="dxa"/>
            <w:vAlign w:val="top"/>
            <w:tcBorders>
              <w:bottom w:val="single" w:color="000000" w:sz="2" w:space="0"/>
            </w:tcBorders>
          </w:tcPr>
          <w:p>
            <w:pPr>
              <w:pStyle w:val="TableText"/>
              <w:ind w:left="241" w:right="57"/>
              <w:spacing w:before="116" w:line="239" w:lineRule="auto"/>
              <w:jc w:val="right"/>
              <w:rPr>
                <w:rFonts w:ascii="Times New Roman" w:hAnsi="Times New Roman" w:eastAsia="Times New Roman" w:cs="Times New Roman"/>
                <w:sz w:val="18"/>
                <w:szCs w:val="18"/>
              </w:rPr>
            </w:pPr>
            <w:r>
              <w:rPr>
                <w:sz w:val="18"/>
                <w:szCs w:val="18"/>
                <w:b/>
                <w:bCs/>
                <w:spacing w:val="-3"/>
              </w:rPr>
              <w:t>平均收益</w:t>
            </w:r>
            <w:r>
              <w:rPr>
                <w:rFonts w:ascii="Times New Roman" w:hAnsi="Times New Roman" w:eastAsia="Times New Roman" w:cs="Times New Roman"/>
                <w:sz w:val="18"/>
                <w:szCs w:val="18"/>
                <w:b/>
                <w:bCs/>
                <w:spacing w:val="-3"/>
              </w:rPr>
              <w:t>(</w:t>
            </w:r>
            <w:r>
              <w:rPr>
                <w:sz w:val="18"/>
                <w:szCs w:val="18"/>
                <w:b/>
                <w:bCs/>
                <w:spacing w:val="-3"/>
              </w:rPr>
              <w:t>成</w:t>
            </w:r>
            <w:r>
              <w:rPr>
                <w:sz w:val="18"/>
                <w:szCs w:val="18"/>
                <w:spacing w:val="4"/>
              </w:rPr>
              <w:t xml:space="preserve"> </w:t>
            </w:r>
            <w:r>
              <w:rPr>
                <w:sz w:val="18"/>
                <w:szCs w:val="18"/>
                <w:b/>
                <w:bCs/>
                <w:spacing w:val="-2"/>
              </w:rPr>
              <w:t>本</w:t>
            </w:r>
            <w:r>
              <w:rPr>
                <w:rFonts w:ascii="Times New Roman" w:hAnsi="Times New Roman" w:eastAsia="Times New Roman" w:cs="Times New Roman"/>
                <w:sz w:val="18"/>
                <w:szCs w:val="18"/>
                <w:b/>
                <w:bCs/>
                <w:spacing w:val="-2"/>
              </w:rPr>
              <w:t>)</w:t>
            </w:r>
            <w:r>
              <w:rPr>
                <w:sz w:val="18"/>
                <w:szCs w:val="18"/>
                <w:b/>
                <w:bCs/>
                <w:spacing w:val="-2"/>
              </w:rPr>
              <w:t>率</w:t>
            </w:r>
            <w:r>
              <w:rPr>
                <w:rFonts w:ascii="Times New Roman" w:hAnsi="Times New Roman" w:eastAsia="Times New Roman" w:cs="Times New Roman"/>
                <w:sz w:val="18"/>
                <w:szCs w:val="18"/>
                <w:b/>
                <w:bCs/>
                <w:spacing w:val="-2"/>
              </w:rPr>
              <w:t>(%)</w:t>
            </w:r>
          </w:p>
        </w:tc>
        <w:tc>
          <w:tcPr>
            <w:tcW w:w="2601" w:type="dxa"/>
            <w:vAlign w:val="top"/>
            <w:gridSpan w:val="2"/>
            <w:tcBorders>
              <w:bottom w:val="single" w:color="000000" w:sz="2" w:space="0"/>
              <w:top w:val="single" w:color="000000" w:sz="2" w:space="0"/>
            </w:tcBorders>
          </w:tcPr>
          <w:p>
            <w:pPr>
              <w:pStyle w:val="TableText"/>
              <w:ind w:left="483"/>
              <w:spacing w:before="243" w:line="220" w:lineRule="auto"/>
              <w:rPr>
                <w:sz w:val="18"/>
                <w:szCs w:val="18"/>
              </w:rPr>
            </w:pPr>
            <w:r>
              <w:rPr>
                <w:sz w:val="18"/>
                <w:szCs w:val="18"/>
                <w:spacing w:val="-1"/>
              </w:rPr>
              <w:t>平均余额      利息收支</w:t>
            </w:r>
          </w:p>
        </w:tc>
        <w:tc>
          <w:tcPr>
            <w:tcW w:w="1162" w:type="dxa"/>
            <w:vAlign w:val="top"/>
            <w:gridSpan w:val="2"/>
            <w:tcBorders>
              <w:bottom w:val="single" w:color="000000" w:sz="2" w:space="0"/>
              <w:top w:val="single" w:color="000000" w:sz="2" w:space="0"/>
            </w:tcBorders>
          </w:tcPr>
          <w:p>
            <w:pPr>
              <w:pStyle w:val="TableText"/>
              <w:ind w:left="151" w:right="56"/>
              <w:spacing w:before="90" w:line="261" w:lineRule="auto"/>
              <w:jc w:val="right"/>
              <w:rPr>
                <w:rFonts w:ascii="Times New Roman" w:hAnsi="Times New Roman" w:eastAsia="Times New Roman" w:cs="Times New Roman"/>
                <w:sz w:val="18"/>
                <w:szCs w:val="18"/>
              </w:rPr>
            </w:pPr>
            <w:r>
              <w:rPr>
                <w:sz w:val="18"/>
                <w:szCs w:val="18"/>
                <w:spacing w:val="-2"/>
              </w:rPr>
              <w:t>平均收益</w:t>
            </w:r>
            <w:r>
              <w:rPr>
                <w:rFonts w:ascii="Times New Roman" w:hAnsi="Times New Roman" w:eastAsia="Times New Roman" w:cs="Times New Roman"/>
                <w:sz w:val="18"/>
                <w:szCs w:val="18"/>
                <w:spacing w:val="-2"/>
              </w:rPr>
              <w:t>(</w:t>
            </w:r>
            <w:r>
              <w:rPr>
                <w:sz w:val="18"/>
                <w:szCs w:val="18"/>
                <w:spacing w:val="-2"/>
              </w:rPr>
              <w:t>成</w:t>
            </w:r>
            <w:r>
              <w:rPr>
                <w:sz w:val="18"/>
                <w:szCs w:val="18"/>
                <w:spacing w:val="4"/>
              </w:rPr>
              <w:t xml:space="preserve"> </w:t>
            </w:r>
            <w:r>
              <w:rPr>
                <w:sz w:val="18"/>
                <w:szCs w:val="18"/>
                <w:spacing w:val="-2"/>
              </w:rPr>
              <w:t>本</w:t>
            </w:r>
            <w:r>
              <w:rPr>
                <w:rFonts w:ascii="Times New Roman" w:hAnsi="Times New Roman" w:eastAsia="Times New Roman" w:cs="Times New Roman"/>
                <w:sz w:val="18"/>
                <w:szCs w:val="18"/>
                <w:spacing w:val="-2"/>
              </w:rPr>
              <w:t>)</w:t>
            </w:r>
            <w:r>
              <w:rPr>
                <w:sz w:val="18"/>
                <w:szCs w:val="18"/>
                <w:spacing w:val="-2"/>
              </w:rPr>
              <w:t>率</w:t>
            </w:r>
            <w:r>
              <w:rPr>
                <w:rFonts w:ascii="Times New Roman" w:hAnsi="Times New Roman" w:eastAsia="Times New Roman" w:cs="Times New Roman"/>
                <w:sz w:val="18"/>
                <w:szCs w:val="18"/>
                <w:spacing w:val="-2"/>
              </w:rPr>
              <w:t>(%)</w:t>
            </w:r>
          </w:p>
        </w:tc>
      </w:tr>
      <w:tr>
        <w:trPr>
          <w:trHeight w:val="379" w:hRule="atLeast"/>
        </w:trPr>
        <w:tc>
          <w:tcPr>
            <w:tcW w:w="2124" w:type="dxa"/>
            <w:vAlign w:val="top"/>
            <w:tcBorders>
              <w:bottom w:val="single" w:color="000000" w:sz="2" w:space="0"/>
              <w:top w:val="single" w:color="000000" w:sz="2" w:space="0"/>
            </w:tcBorders>
          </w:tcPr>
          <w:p>
            <w:pPr>
              <w:pStyle w:val="TableText"/>
              <w:ind w:left="86"/>
              <w:spacing w:before="112" w:line="220" w:lineRule="auto"/>
              <w:rPr>
                <w:sz w:val="18"/>
                <w:szCs w:val="18"/>
              </w:rPr>
            </w:pPr>
            <w:r>
              <w:rPr>
                <w:sz w:val="18"/>
                <w:szCs w:val="18"/>
                <w:b/>
                <w:bCs/>
                <w:spacing w:val="-5"/>
              </w:rPr>
              <w:t>资产</w:t>
            </w:r>
          </w:p>
        </w:tc>
        <w:tc>
          <w:tcPr>
            <w:tcW w:w="7530" w:type="dxa"/>
            <w:vAlign w:val="top"/>
            <w:gridSpan w:val="7"/>
            <w:tcBorders>
              <w:bottom w:val="single" w:color="000000" w:sz="2" w:space="0"/>
              <w:top w:val="single" w:color="000000" w:sz="2" w:space="0"/>
            </w:tcBorders>
          </w:tcPr>
          <w:p>
            <w:pPr>
              <w:rPr>
                <w:rFonts w:ascii="Arial"/>
                <w:sz w:val="21"/>
              </w:rPr>
            </w:pPr>
            <w:r>
              <w:pict>
                <v:rect id="_x0000_s118" style="position:absolute;margin-left:-376.36pt;margin-top:0.129944pt;mso-position-vertical-relative:top-margin-area;mso-position-horizontal-relative:right-margin-area;width:188.25pt;height:18.75pt;z-index:251686912;" fillcolor="#DBE5F1" filled="true" stroked="false"/>
              </w:pict>
            </w:r>
            <w:r/>
          </w:p>
        </w:tc>
      </w:tr>
      <w:tr>
        <w:trPr>
          <w:trHeight w:val="378" w:hRule="atLeast"/>
        </w:trPr>
        <w:tc>
          <w:tcPr>
            <w:tcW w:w="2124" w:type="dxa"/>
            <w:vAlign w:val="top"/>
            <w:tcBorders>
              <w:bottom w:val="single" w:color="000000" w:sz="2" w:space="0"/>
              <w:top w:val="single" w:color="000000" w:sz="2" w:space="0"/>
            </w:tcBorders>
          </w:tcPr>
          <w:p>
            <w:pPr>
              <w:pStyle w:val="TableText"/>
              <w:ind w:left="78"/>
              <w:spacing w:before="112" w:line="220" w:lineRule="auto"/>
              <w:rPr>
                <w:sz w:val="18"/>
                <w:szCs w:val="18"/>
              </w:rPr>
            </w:pPr>
            <w:r>
              <w:rPr>
                <w:sz w:val="18"/>
                <w:szCs w:val="18"/>
                <w:spacing w:val="-1"/>
              </w:rPr>
              <w:t>存放中央银行款项</w:t>
            </w:r>
          </w:p>
        </w:tc>
        <w:tc>
          <w:tcPr>
            <w:shd w:val="clear" w:fill="DBE5F1"/>
            <w:tcW w:w="1256" w:type="dxa"/>
            <w:vAlign w:val="top"/>
            <w:tcBorders>
              <w:bottom w:val="single" w:color="000000" w:sz="2" w:space="0"/>
              <w:top w:val="single" w:color="000000" w:sz="2" w:space="0"/>
            </w:tcBorders>
          </w:tcPr>
          <w:p>
            <w:pPr>
              <w:ind w:left="621"/>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766,989</w:t>
            </w:r>
          </w:p>
        </w:tc>
        <w:tc>
          <w:tcPr>
            <w:shd w:val="clear" w:fill="DBE5F1"/>
            <w:tcW w:w="1255" w:type="dxa"/>
            <w:vAlign w:val="top"/>
            <w:tcBorders>
              <w:bottom w:val="single" w:color="000000" w:sz="2" w:space="0"/>
              <w:top w:val="single" w:color="000000" w:sz="2" w:space="0"/>
            </w:tcBorders>
          </w:tcPr>
          <w:p>
            <w:pPr>
              <w:ind w:left="724"/>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4"/>
              </w:rPr>
              <w:t>11,020</w:t>
            </w:r>
          </w:p>
        </w:tc>
        <w:tc>
          <w:tcPr>
            <w:shd w:val="clear" w:fill="DBE5F1"/>
            <w:tcW w:w="1256" w:type="dxa"/>
            <w:vAlign w:val="top"/>
            <w:tcBorders>
              <w:bottom w:val="single" w:color="000000" w:sz="2" w:space="0"/>
              <w:top w:val="single" w:color="000000" w:sz="2" w:space="0"/>
            </w:tcBorders>
          </w:tcPr>
          <w:p>
            <w:pPr>
              <w:ind w:left="893"/>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1.44</w:t>
            </w:r>
          </w:p>
        </w:tc>
        <w:tc>
          <w:tcPr>
            <w:tcW w:w="1530" w:type="dxa"/>
            <w:vAlign w:val="top"/>
            <w:tcBorders>
              <w:bottom w:val="single" w:color="000000" w:sz="2" w:space="0"/>
              <w:top w:val="single" w:color="000000" w:sz="2" w:space="0"/>
            </w:tcBorders>
          </w:tcPr>
          <w:p>
            <w:pPr>
              <w:ind w:left="618"/>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780,069</w:t>
            </w:r>
          </w:p>
        </w:tc>
        <w:tc>
          <w:tcPr>
            <w:tcW w:w="1389" w:type="dxa"/>
            <w:vAlign w:val="top"/>
            <w:gridSpan w:val="2"/>
            <w:tcBorders>
              <w:bottom w:val="single" w:color="000000" w:sz="2" w:space="0"/>
              <w:top w:val="single" w:color="000000" w:sz="2" w:space="0"/>
            </w:tcBorders>
          </w:tcPr>
          <w:p>
            <w:pPr>
              <w:ind w:left="447"/>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10,699</w:t>
            </w:r>
          </w:p>
        </w:tc>
        <w:tc>
          <w:tcPr>
            <w:tcW w:w="844" w:type="dxa"/>
            <w:vAlign w:val="top"/>
            <w:tcBorders>
              <w:bottom w:val="single" w:color="000000" w:sz="2" w:space="0"/>
              <w:top w:val="single" w:color="000000" w:sz="2" w:space="0"/>
            </w:tcBorders>
          </w:tcPr>
          <w:p>
            <w:pPr>
              <w:ind w:left="493"/>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1.37</w:t>
            </w:r>
          </w:p>
        </w:tc>
      </w:tr>
      <w:tr>
        <w:trPr>
          <w:trHeight w:val="638" w:hRule="atLeast"/>
        </w:trPr>
        <w:tc>
          <w:tcPr>
            <w:tcW w:w="2124" w:type="dxa"/>
            <w:vAlign w:val="top"/>
            <w:tcBorders>
              <w:bottom w:val="single" w:color="000000" w:sz="2" w:space="0"/>
              <w:top w:val="single" w:color="000000" w:sz="2" w:space="0"/>
            </w:tcBorders>
          </w:tcPr>
          <w:p>
            <w:pPr>
              <w:pStyle w:val="TableText"/>
              <w:ind w:left="83" w:right="71" w:hanging="5"/>
              <w:spacing w:before="114" w:line="243" w:lineRule="auto"/>
              <w:rPr>
                <w:sz w:val="18"/>
                <w:szCs w:val="18"/>
              </w:rPr>
            </w:pPr>
            <w:r>
              <w:rPr>
                <w:sz w:val="18"/>
                <w:szCs w:val="18"/>
                <w:spacing w:val="-1"/>
              </w:rPr>
              <w:t>存放、拆放同业及其他金</w:t>
            </w:r>
            <w:r>
              <w:rPr>
                <w:sz w:val="18"/>
                <w:szCs w:val="18"/>
                <w:spacing w:val="3"/>
              </w:rPr>
              <w:t xml:space="preserve"> </w:t>
            </w:r>
            <w:r>
              <w:rPr>
                <w:sz w:val="18"/>
                <w:szCs w:val="18"/>
                <w:spacing w:val="-2"/>
              </w:rPr>
              <w:t>融机构款项</w:t>
            </w:r>
          </w:p>
        </w:tc>
        <w:tc>
          <w:tcPr>
            <w:shd w:val="clear" w:fill="DBE5F1"/>
            <w:tcW w:w="1256" w:type="dxa"/>
            <w:vAlign w:val="top"/>
            <w:tcBorders>
              <w:bottom w:val="single" w:color="000000" w:sz="2" w:space="0"/>
              <w:top w:val="single" w:color="000000" w:sz="2" w:space="0"/>
            </w:tcBorders>
          </w:tcPr>
          <w:p>
            <w:pPr>
              <w:ind w:left="621"/>
              <w:spacing w:before="27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853,328</w:t>
            </w:r>
          </w:p>
        </w:tc>
        <w:tc>
          <w:tcPr>
            <w:shd w:val="clear" w:fill="DBE5F1"/>
            <w:tcW w:w="1255" w:type="dxa"/>
            <w:vAlign w:val="top"/>
            <w:tcBorders>
              <w:bottom w:val="single" w:color="000000" w:sz="2" w:space="0"/>
              <w:top w:val="single" w:color="000000" w:sz="2" w:space="0"/>
            </w:tcBorders>
          </w:tcPr>
          <w:p>
            <w:pPr>
              <w:ind w:left="715"/>
              <w:spacing w:before="27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17,886</w:t>
            </w:r>
          </w:p>
        </w:tc>
        <w:tc>
          <w:tcPr>
            <w:shd w:val="clear" w:fill="DBE5F1"/>
            <w:tcW w:w="1256" w:type="dxa"/>
            <w:vAlign w:val="top"/>
            <w:tcBorders>
              <w:bottom w:val="single" w:color="000000" w:sz="2" w:space="0"/>
              <w:top w:val="single" w:color="000000" w:sz="2" w:space="0"/>
            </w:tcBorders>
          </w:tcPr>
          <w:p>
            <w:pPr>
              <w:ind w:left="885"/>
              <w:spacing w:before="27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2.10</w:t>
            </w:r>
          </w:p>
        </w:tc>
        <w:tc>
          <w:tcPr>
            <w:tcW w:w="1530" w:type="dxa"/>
            <w:vAlign w:val="top"/>
            <w:tcBorders>
              <w:bottom w:val="single" w:color="000000" w:sz="2" w:space="0"/>
              <w:top w:val="single" w:color="000000" w:sz="2" w:space="0"/>
            </w:tcBorders>
          </w:tcPr>
          <w:p>
            <w:pPr>
              <w:ind w:left="618"/>
              <w:spacing w:before="27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737,444</w:t>
            </w:r>
          </w:p>
        </w:tc>
        <w:tc>
          <w:tcPr>
            <w:tcW w:w="1389" w:type="dxa"/>
            <w:vAlign w:val="top"/>
            <w:gridSpan w:val="2"/>
            <w:tcBorders>
              <w:bottom w:val="single" w:color="000000" w:sz="2" w:space="0"/>
              <w:top w:val="single" w:color="000000" w:sz="2" w:space="0"/>
            </w:tcBorders>
          </w:tcPr>
          <w:p>
            <w:pPr>
              <w:ind w:left="447"/>
              <w:spacing w:before="27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12,266</w:t>
            </w:r>
          </w:p>
        </w:tc>
        <w:tc>
          <w:tcPr>
            <w:tcW w:w="844" w:type="dxa"/>
            <w:vAlign w:val="top"/>
            <w:tcBorders>
              <w:bottom w:val="single" w:color="000000" w:sz="2" w:space="0"/>
              <w:top w:val="single" w:color="000000" w:sz="2" w:space="0"/>
            </w:tcBorders>
          </w:tcPr>
          <w:p>
            <w:pPr>
              <w:ind w:left="493"/>
              <w:spacing w:before="27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1.66</w:t>
            </w:r>
          </w:p>
        </w:tc>
      </w:tr>
      <w:tr>
        <w:trPr>
          <w:trHeight w:val="379" w:hRule="atLeast"/>
        </w:trPr>
        <w:tc>
          <w:tcPr>
            <w:tcW w:w="2124" w:type="dxa"/>
            <w:vAlign w:val="top"/>
            <w:tcBorders>
              <w:bottom w:val="single" w:color="000000" w:sz="2" w:space="0"/>
              <w:top w:val="single" w:color="000000" w:sz="2" w:space="0"/>
            </w:tcBorders>
          </w:tcPr>
          <w:p>
            <w:pPr>
              <w:pStyle w:val="TableText"/>
              <w:ind w:left="80"/>
              <w:spacing w:before="113" w:line="220" w:lineRule="auto"/>
              <w:rPr>
                <w:sz w:val="18"/>
                <w:szCs w:val="18"/>
              </w:rPr>
            </w:pPr>
            <w:r>
              <w:rPr>
                <w:sz w:val="18"/>
                <w:szCs w:val="18"/>
                <w:spacing w:val="-2"/>
              </w:rPr>
              <w:t>客户贷款</w:t>
            </w:r>
          </w:p>
        </w:tc>
        <w:tc>
          <w:tcPr>
            <w:shd w:val="clear" w:fill="DBE5F1"/>
            <w:tcW w:w="1256" w:type="dxa"/>
            <w:vAlign w:val="top"/>
            <w:tcBorders>
              <w:bottom w:val="single" w:color="000000" w:sz="2" w:space="0"/>
              <w:top w:val="single" w:color="000000" w:sz="2" w:space="0"/>
            </w:tcBorders>
          </w:tcPr>
          <w:p>
            <w:pPr>
              <w:ind w:left="487"/>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6,934,959</w:t>
            </w:r>
          </w:p>
        </w:tc>
        <w:tc>
          <w:tcPr>
            <w:shd w:val="clear" w:fill="DBE5F1"/>
            <w:tcW w:w="1255" w:type="dxa"/>
            <w:vAlign w:val="top"/>
            <w:tcBorders>
              <w:bottom w:val="single" w:color="000000" w:sz="2" w:space="0"/>
              <w:top w:val="single" w:color="000000" w:sz="2" w:space="0"/>
            </w:tcBorders>
          </w:tcPr>
          <w:p>
            <w:pPr>
              <w:ind w:left="616"/>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291,905</w:t>
            </w:r>
          </w:p>
        </w:tc>
        <w:tc>
          <w:tcPr>
            <w:shd w:val="clear" w:fill="DBE5F1"/>
            <w:tcW w:w="1256" w:type="dxa"/>
            <w:vAlign w:val="top"/>
            <w:tcBorders>
              <w:bottom w:val="single" w:color="000000" w:sz="2" w:space="0"/>
              <w:top w:val="single" w:color="000000" w:sz="2" w:space="0"/>
            </w:tcBorders>
          </w:tcPr>
          <w:p>
            <w:pPr>
              <w:ind w:left="886"/>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4.21</w:t>
            </w:r>
          </w:p>
        </w:tc>
        <w:tc>
          <w:tcPr>
            <w:tcW w:w="1530" w:type="dxa"/>
            <w:vAlign w:val="top"/>
            <w:tcBorders>
              <w:bottom w:val="single" w:color="000000" w:sz="2" w:space="0"/>
              <w:top w:val="single" w:color="000000" w:sz="2" w:space="0"/>
            </w:tcBorders>
          </w:tcPr>
          <w:p>
            <w:pPr>
              <w:ind w:left="485"/>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6,154,222</w:t>
            </w:r>
          </w:p>
        </w:tc>
        <w:tc>
          <w:tcPr>
            <w:tcW w:w="1389" w:type="dxa"/>
            <w:vAlign w:val="top"/>
            <w:gridSpan w:val="2"/>
            <w:tcBorders>
              <w:bottom w:val="single" w:color="000000" w:sz="2" w:space="0"/>
              <w:top w:val="single" w:color="000000" w:sz="2" w:space="0"/>
            </w:tcBorders>
          </w:tcPr>
          <w:p>
            <w:pPr>
              <w:ind w:left="339"/>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266,419</w:t>
            </w:r>
          </w:p>
        </w:tc>
        <w:tc>
          <w:tcPr>
            <w:tcW w:w="844" w:type="dxa"/>
            <w:vAlign w:val="top"/>
            <w:tcBorders>
              <w:bottom w:val="single" w:color="000000" w:sz="2" w:space="0"/>
              <w:top w:val="single" w:color="000000" w:sz="2" w:space="0"/>
            </w:tcBorders>
          </w:tcPr>
          <w:p>
            <w:pPr>
              <w:ind w:left="475"/>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4.33</w:t>
            </w:r>
          </w:p>
        </w:tc>
      </w:tr>
      <w:tr>
        <w:trPr>
          <w:trHeight w:val="379" w:hRule="atLeast"/>
        </w:trPr>
        <w:tc>
          <w:tcPr>
            <w:tcW w:w="2124" w:type="dxa"/>
            <w:vAlign w:val="top"/>
            <w:tcBorders>
              <w:bottom w:val="single" w:color="000000" w:sz="2" w:space="0"/>
              <w:top w:val="single" w:color="000000" w:sz="2" w:space="0"/>
            </w:tcBorders>
          </w:tcPr>
          <w:p>
            <w:pPr>
              <w:pStyle w:val="TableText"/>
              <w:ind w:left="79"/>
              <w:spacing w:before="113" w:line="221" w:lineRule="auto"/>
              <w:rPr>
                <w:sz w:val="18"/>
                <w:szCs w:val="18"/>
              </w:rPr>
            </w:pPr>
            <w:r>
              <w:rPr>
                <w:sz w:val="18"/>
                <w:szCs w:val="18"/>
                <w:spacing w:val="-2"/>
              </w:rPr>
              <w:t>证券投资</w:t>
            </w:r>
          </w:p>
        </w:tc>
        <w:tc>
          <w:tcPr>
            <w:shd w:val="clear" w:fill="DBE5F1"/>
            <w:tcW w:w="1256" w:type="dxa"/>
            <w:vAlign w:val="top"/>
            <w:tcBorders>
              <w:bottom w:val="single" w:color="000000" w:sz="2" w:space="0"/>
              <w:top w:val="single" w:color="000000" w:sz="2" w:space="0"/>
            </w:tcBorders>
          </w:tcPr>
          <w:p>
            <w:pPr>
              <w:ind w:left="484"/>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2,954,940</w:t>
            </w:r>
          </w:p>
        </w:tc>
        <w:tc>
          <w:tcPr>
            <w:shd w:val="clear" w:fill="DBE5F1"/>
            <w:tcW w:w="1255" w:type="dxa"/>
            <w:vAlign w:val="top"/>
            <w:tcBorders>
              <w:bottom w:val="single" w:color="000000" w:sz="2" w:space="0"/>
              <w:top w:val="single" w:color="000000" w:sz="2" w:space="0"/>
            </w:tcBorders>
          </w:tcPr>
          <w:p>
            <w:pPr>
              <w:ind w:left="718"/>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97,311</w:t>
            </w:r>
          </w:p>
        </w:tc>
        <w:tc>
          <w:tcPr>
            <w:shd w:val="clear" w:fill="DBE5F1"/>
            <w:tcW w:w="1256" w:type="dxa"/>
            <w:vAlign w:val="top"/>
            <w:tcBorders>
              <w:bottom w:val="single" w:color="000000" w:sz="2" w:space="0"/>
              <w:top w:val="single" w:color="000000" w:sz="2" w:space="0"/>
            </w:tcBorders>
          </w:tcPr>
          <w:p>
            <w:pPr>
              <w:ind w:left="884"/>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3.29</w:t>
            </w:r>
          </w:p>
        </w:tc>
        <w:tc>
          <w:tcPr>
            <w:tcW w:w="1530" w:type="dxa"/>
            <w:vAlign w:val="top"/>
            <w:tcBorders>
              <w:bottom w:val="single" w:color="000000" w:sz="2" w:space="0"/>
              <w:top w:val="single" w:color="000000" w:sz="2" w:space="0"/>
            </w:tcBorders>
          </w:tcPr>
          <w:p>
            <w:pPr>
              <w:ind w:left="481"/>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2,716,367</w:t>
            </w:r>
          </w:p>
        </w:tc>
        <w:tc>
          <w:tcPr>
            <w:tcW w:w="1389" w:type="dxa"/>
            <w:vAlign w:val="top"/>
            <w:gridSpan w:val="2"/>
            <w:tcBorders>
              <w:bottom w:val="single" w:color="000000" w:sz="2" w:space="0"/>
              <w:top w:val="single" w:color="000000" w:sz="2" w:space="0"/>
            </w:tcBorders>
          </w:tcPr>
          <w:p>
            <w:pPr>
              <w:ind w:left="437"/>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88,262</w:t>
            </w:r>
          </w:p>
        </w:tc>
        <w:tc>
          <w:tcPr>
            <w:tcW w:w="844" w:type="dxa"/>
            <w:vAlign w:val="top"/>
            <w:tcBorders>
              <w:bottom w:val="single" w:color="000000" w:sz="2" w:space="0"/>
              <w:top w:val="single" w:color="000000" w:sz="2" w:space="0"/>
            </w:tcBorders>
          </w:tcPr>
          <w:p>
            <w:pPr>
              <w:ind w:left="480"/>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3.25</w:t>
            </w:r>
          </w:p>
        </w:tc>
      </w:tr>
      <w:tr>
        <w:trPr>
          <w:trHeight w:val="379" w:hRule="atLeast"/>
        </w:trPr>
        <w:tc>
          <w:tcPr>
            <w:tcW w:w="2124" w:type="dxa"/>
            <w:vAlign w:val="top"/>
            <w:tcBorders>
              <w:bottom w:val="single" w:color="000000" w:sz="2" w:space="0"/>
              <w:top w:val="single" w:color="000000" w:sz="2" w:space="0"/>
            </w:tcBorders>
          </w:tcPr>
          <w:p>
            <w:pPr>
              <w:pStyle w:val="TableText"/>
              <w:ind w:left="80"/>
              <w:spacing w:before="113" w:line="220" w:lineRule="auto"/>
              <w:rPr>
                <w:sz w:val="18"/>
                <w:szCs w:val="18"/>
              </w:rPr>
            </w:pPr>
            <w:r>
              <w:rPr>
                <w:sz w:val="18"/>
                <w:szCs w:val="18"/>
                <w:b/>
                <w:bCs/>
                <w:spacing w:val="-4"/>
              </w:rPr>
              <w:t>生息资产</w:t>
            </w:r>
          </w:p>
        </w:tc>
        <w:tc>
          <w:tcPr>
            <w:shd w:val="clear" w:fill="DBE5F1"/>
            <w:tcW w:w="1256" w:type="dxa"/>
            <w:vAlign w:val="top"/>
            <w:tcBorders>
              <w:bottom w:val="single" w:color="000000" w:sz="2" w:space="0"/>
              <w:top w:val="single" w:color="000000" w:sz="2" w:space="0"/>
            </w:tcBorders>
          </w:tcPr>
          <w:p>
            <w:pPr>
              <w:ind w:left="413"/>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11,510,216</w:t>
            </w:r>
          </w:p>
        </w:tc>
        <w:tc>
          <w:tcPr>
            <w:shd w:val="clear" w:fill="DBE5F1"/>
            <w:tcW w:w="1255" w:type="dxa"/>
            <w:vAlign w:val="top"/>
            <w:tcBorders>
              <w:bottom w:val="single" w:color="000000" w:sz="2" w:space="0"/>
              <w:top w:val="single" w:color="000000" w:sz="2" w:space="0"/>
            </w:tcBorders>
          </w:tcPr>
          <w:p>
            <w:pPr>
              <w:ind w:left="616"/>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418,122</w:t>
            </w:r>
          </w:p>
        </w:tc>
        <w:tc>
          <w:tcPr>
            <w:shd w:val="clear" w:fill="DBE5F1"/>
            <w:tcW w:w="1256" w:type="dxa"/>
            <w:vAlign w:val="top"/>
            <w:tcBorders>
              <w:bottom w:val="single" w:color="000000" w:sz="2" w:space="0"/>
              <w:top w:val="single" w:color="000000" w:sz="2" w:space="0"/>
            </w:tcBorders>
          </w:tcPr>
          <w:p>
            <w:pPr>
              <w:ind w:left="884"/>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3.63</w:t>
            </w:r>
          </w:p>
        </w:tc>
        <w:tc>
          <w:tcPr>
            <w:tcW w:w="1530" w:type="dxa"/>
            <w:vAlign w:val="top"/>
            <w:tcBorders>
              <w:bottom w:val="single" w:color="000000" w:sz="2" w:space="0"/>
              <w:top w:val="single" w:color="000000" w:sz="2" w:space="0"/>
            </w:tcBorders>
          </w:tcPr>
          <w:p>
            <w:pPr>
              <w:ind w:left="407"/>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10,388,102</w:t>
            </w:r>
          </w:p>
        </w:tc>
        <w:tc>
          <w:tcPr>
            <w:tcW w:w="1389" w:type="dxa"/>
            <w:vAlign w:val="top"/>
            <w:gridSpan w:val="2"/>
            <w:tcBorders>
              <w:bottom w:val="single" w:color="000000" w:sz="2" w:space="0"/>
              <w:top w:val="single" w:color="000000" w:sz="2" w:space="0"/>
            </w:tcBorders>
          </w:tcPr>
          <w:p>
            <w:pPr>
              <w:ind w:left="342"/>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377,646</w:t>
            </w:r>
          </w:p>
        </w:tc>
        <w:tc>
          <w:tcPr>
            <w:tcW w:w="844" w:type="dxa"/>
            <w:vAlign w:val="top"/>
            <w:tcBorders>
              <w:bottom w:val="single" w:color="000000" w:sz="2" w:space="0"/>
              <w:top w:val="single" w:color="000000" w:sz="2" w:space="0"/>
            </w:tcBorders>
          </w:tcPr>
          <w:p>
            <w:pPr>
              <w:ind w:left="480"/>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3.64</w:t>
            </w:r>
          </w:p>
        </w:tc>
      </w:tr>
      <w:tr>
        <w:trPr>
          <w:trHeight w:val="379" w:hRule="atLeast"/>
        </w:trPr>
        <w:tc>
          <w:tcPr>
            <w:tcW w:w="2124" w:type="dxa"/>
            <w:vAlign w:val="top"/>
            <w:tcBorders>
              <w:bottom w:val="single" w:color="000000" w:sz="2" w:space="0"/>
              <w:top w:val="single" w:color="000000" w:sz="2" w:space="0"/>
            </w:tcBorders>
          </w:tcPr>
          <w:p>
            <w:pPr>
              <w:pStyle w:val="TableText"/>
              <w:ind w:left="81"/>
              <w:spacing w:before="113" w:line="220" w:lineRule="auto"/>
              <w:rPr>
                <w:sz w:val="18"/>
                <w:szCs w:val="18"/>
              </w:rPr>
            </w:pPr>
            <w:r>
              <w:rPr>
                <w:sz w:val="18"/>
                <w:szCs w:val="18"/>
                <w:b/>
                <w:bCs/>
                <w:spacing w:val="-4"/>
              </w:rPr>
              <w:t>非生息资产</w:t>
            </w:r>
          </w:p>
        </w:tc>
        <w:tc>
          <w:tcPr>
            <w:shd w:val="clear" w:fill="DBE5F1"/>
            <w:tcW w:w="1256" w:type="dxa"/>
            <w:vAlign w:val="top"/>
            <w:tcBorders>
              <w:bottom w:val="single" w:color="000000" w:sz="2" w:space="0"/>
              <w:top w:val="single" w:color="000000" w:sz="2" w:space="0"/>
            </w:tcBorders>
          </w:tcPr>
          <w:p>
            <w:pPr>
              <w:ind w:left="489"/>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1,103,261</w:t>
            </w:r>
          </w:p>
        </w:tc>
        <w:tc>
          <w:tcPr>
            <w:shd w:val="clear" w:fill="DBE5F1"/>
            <w:tcW w:w="1255" w:type="dxa"/>
            <w:vAlign w:val="top"/>
            <w:tcBorders>
              <w:bottom w:val="single" w:color="000000" w:sz="2" w:space="0"/>
              <w:top w:val="single" w:color="000000" w:sz="2" w:space="0"/>
            </w:tcBorders>
          </w:tcPr>
          <w:p>
            <w:pPr>
              <w:rPr>
                <w:rFonts w:ascii="Arial"/>
                <w:sz w:val="21"/>
              </w:rPr>
            </w:pPr>
            <w:r/>
          </w:p>
        </w:tc>
        <w:tc>
          <w:tcPr>
            <w:shd w:val="clear" w:fill="DBE5F1"/>
            <w:tcW w:w="1256" w:type="dxa"/>
            <w:vAlign w:val="top"/>
            <w:tcBorders>
              <w:bottom w:val="single" w:color="000000" w:sz="2" w:space="0"/>
              <w:top w:val="single" w:color="000000" w:sz="2" w:space="0"/>
            </w:tcBorders>
          </w:tcPr>
          <w:p>
            <w:pPr>
              <w:rPr>
                <w:rFonts w:ascii="Arial"/>
                <w:sz w:val="21"/>
              </w:rPr>
            </w:pPr>
            <w:r/>
          </w:p>
        </w:tc>
        <w:tc>
          <w:tcPr>
            <w:tcW w:w="1530" w:type="dxa"/>
            <w:vAlign w:val="top"/>
            <w:tcBorders>
              <w:bottom w:val="single" w:color="000000" w:sz="2" w:space="0"/>
              <w:top w:val="single" w:color="000000" w:sz="2" w:space="0"/>
            </w:tcBorders>
          </w:tcPr>
          <w:p>
            <w:pPr>
              <w:ind w:left="498"/>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1,018,481</w:t>
            </w:r>
          </w:p>
        </w:tc>
        <w:tc>
          <w:tcPr>
            <w:tcW w:w="1389" w:type="dxa"/>
            <w:vAlign w:val="top"/>
            <w:gridSpan w:val="2"/>
            <w:tcBorders>
              <w:bottom w:val="single" w:color="000000" w:sz="2" w:space="0"/>
              <w:top w:val="single" w:color="000000" w:sz="2" w:space="0"/>
            </w:tcBorders>
          </w:tcPr>
          <w:p>
            <w:pPr>
              <w:rPr>
                <w:rFonts w:ascii="Arial"/>
                <w:sz w:val="21"/>
              </w:rPr>
            </w:pPr>
            <w:r/>
          </w:p>
        </w:tc>
        <w:tc>
          <w:tcPr>
            <w:tcW w:w="844" w:type="dxa"/>
            <w:vAlign w:val="top"/>
            <w:tcBorders>
              <w:bottom w:val="single" w:color="000000" w:sz="2" w:space="0"/>
              <w:top w:val="single" w:color="000000" w:sz="2" w:space="0"/>
            </w:tcBorders>
          </w:tcPr>
          <w:p>
            <w:pPr>
              <w:rPr>
                <w:rFonts w:ascii="Arial"/>
                <w:sz w:val="21"/>
              </w:rPr>
            </w:pPr>
            <w:r/>
          </w:p>
        </w:tc>
      </w:tr>
      <w:tr>
        <w:trPr>
          <w:trHeight w:val="379" w:hRule="atLeast"/>
        </w:trPr>
        <w:tc>
          <w:tcPr>
            <w:tcW w:w="2124" w:type="dxa"/>
            <w:vAlign w:val="top"/>
            <w:tcBorders>
              <w:bottom w:val="single" w:color="000000" w:sz="2" w:space="0"/>
              <w:top w:val="single" w:color="000000" w:sz="2" w:space="0"/>
            </w:tcBorders>
          </w:tcPr>
          <w:p>
            <w:pPr>
              <w:pStyle w:val="TableText"/>
              <w:ind w:left="86"/>
              <w:spacing w:before="113" w:line="220" w:lineRule="auto"/>
              <w:rPr>
                <w:sz w:val="18"/>
                <w:szCs w:val="18"/>
              </w:rPr>
            </w:pPr>
            <w:r>
              <w:rPr>
                <w:sz w:val="18"/>
                <w:szCs w:val="18"/>
                <w:b/>
                <w:bCs/>
                <w:spacing w:val="-6"/>
              </w:rPr>
              <w:t>资产总额</w:t>
            </w:r>
          </w:p>
        </w:tc>
        <w:tc>
          <w:tcPr>
            <w:shd w:val="clear" w:fill="DBE5F1"/>
            <w:tcW w:w="1256" w:type="dxa"/>
            <w:vAlign w:val="top"/>
            <w:tcBorders>
              <w:bottom w:val="single" w:color="000000" w:sz="2" w:space="0"/>
              <w:top w:val="single" w:color="000000" w:sz="2" w:space="0"/>
            </w:tcBorders>
          </w:tcPr>
          <w:p>
            <w:pPr>
              <w:ind w:left="401"/>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12,613,477</w:t>
            </w:r>
          </w:p>
        </w:tc>
        <w:tc>
          <w:tcPr>
            <w:shd w:val="clear" w:fill="DBE5F1"/>
            <w:tcW w:w="1255" w:type="dxa"/>
            <w:vAlign w:val="top"/>
            <w:tcBorders>
              <w:bottom w:val="single" w:color="000000" w:sz="2" w:space="0"/>
              <w:top w:val="single" w:color="000000" w:sz="2" w:space="0"/>
            </w:tcBorders>
          </w:tcPr>
          <w:p>
            <w:pPr>
              <w:rPr>
                <w:rFonts w:ascii="Arial"/>
                <w:sz w:val="21"/>
              </w:rPr>
            </w:pPr>
            <w:r/>
          </w:p>
        </w:tc>
        <w:tc>
          <w:tcPr>
            <w:shd w:val="clear" w:fill="DBE5F1"/>
            <w:tcW w:w="1256" w:type="dxa"/>
            <w:vAlign w:val="top"/>
            <w:tcBorders>
              <w:bottom w:val="single" w:color="000000" w:sz="2" w:space="0"/>
              <w:top w:val="single" w:color="000000" w:sz="2" w:space="0"/>
            </w:tcBorders>
          </w:tcPr>
          <w:p>
            <w:pPr>
              <w:rPr>
                <w:rFonts w:ascii="Arial"/>
                <w:sz w:val="21"/>
              </w:rPr>
            </w:pPr>
            <w:r/>
          </w:p>
        </w:tc>
        <w:tc>
          <w:tcPr>
            <w:tcW w:w="1530" w:type="dxa"/>
            <w:vAlign w:val="top"/>
            <w:tcBorders>
              <w:bottom w:val="single" w:color="000000" w:sz="2" w:space="0"/>
              <w:top w:val="single" w:color="000000" w:sz="2" w:space="0"/>
            </w:tcBorders>
          </w:tcPr>
          <w:p>
            <w:pPr>
              <w:ind w:left="414"/>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11,406,583</w:t>
            </w:r>
          </w:p>
        </w:tc>
        <w:tc>
          <w:tcPr>
            <w:tcW w:w="1389" w:type="dxa"/>
            <w:vAlign w:val="top"/>
            <w:gridSpan w:val="2"/>
            <w:tcBorders>
              <w:bottom w:val="single" w:color="000000" w:sz="2" w:space="0"/>
              <w:top w:val="single" w:color="000000" w:sz="2" w:space="0"/>
            </w:tcBorders>
          </w:tcPr>
          <w:p>
            <w:pPr>
              <w:rPr>
                <w:rFonts w:ascii="Arial"/>
                <w:sz w:val="21"/>
              </w:rPr>
            </w:pPr>
            <w:r/>
          </w:p>
        </w:tc>
        <w:tc>
          <w:tcPr>
            <w:tcW w:w="844" w:type="dxa"/>
            <w:vAlign w:val="top"/>
            <w:tcBorders>
              <w:bottom w:val="single" w:color="000000" w:sz="2" w:space="0"/>
              <w:top w:val="single" w:color="000000" w:sz="2" w:space="0"/>
            </w:tcBorders>
          </w:tcPr>
          <w:p>
            <w:pPr>
              <w:rPr>
                <w:rFonts w:ascii="Arial"/>
                <w:sz w:val="21"/>
              </w:rPr>
            </w:pPr>
            <w:r/>
          </w:p>
        </w:tc>
      </w:tr>
      <w:tr>
        <w:trPr>
          <w:trHeight w:val="379" w:hRule="atLeast"/>
        </w:trPr>
        <w:tc>
          <w:tcPr>
            <w:tcW w:w="2124" w:type="dxa"/>
            <w:vAlign w:val="top"/>
            <w:tcBorders>
              <w:bottom w:val="single" w:color="000000" w:sz="2" w:space="0"/>
              <w:top w:val="single" w:color="000000" w:sz="2" w:space="0"/>
            </w:tcBorders>
          </w:tcPr>
          <w:p>
            <w:pPr>
              <w:pStyle w:val="TableText"/>
              <w:ind w:left="86"/>
              <w:spacing w:before="113" w:line="220" w:lineRule="auto"/>
              <w:rPr>
                <w:sz w:val="18"/>
                <w:szCs w:val="18"/>
              </w:rPr>
            </w:pPr>
            <w:r>
              <w:rPr>
                <w:sz w:val="18"/>
                <w:szCs w:val="18"/>
                <w:b/>
                <w:bCs/>
                <w:spacing w:val="-4"/>
              </w:rPr>
              <w:t>负债及股东权益</w:t>
            </w:r>
          </w:p>
        </w:tc>
        <w:tc>
          <w:tcPr>
            <w:tcW w:w="7530" w:type="dxa"/>
            <w:vAlign w:val="top"/>
            <w:gridSpan w:val="7"/>
            <w:tcBorders>
              <w:bottom w:val="single" w:color="000000" w:sz="2" w:space="0"/>
              <w:top w:val="single" w:color="000000" w:sz="2" w:space="0"/>
            </w:tcBorders>
          </w:tcPr>
          <w:p>
            <w:pPr>
              <w:rPr>
                <w:rFonts w:ascii="Arial"/>
                <w:sz w:val="21"/>
              </w:rPr>
            </w:pPr>
            <w:r>
              <w:pict>
                <v:rect id="_x0000_s120" style="position:absolute;margin-left:-376.36pt;margin-top:0.20993pt;mso-position-vertical-relative:top-margin-area;mso-position-horizontal-relative:right-margin-area;width:188.25pt;height:18.75pt;z-index:251687936;" fillcolor="#DBE5F1" filled="true" stroked="false"/>
              </w:pict>
            </w:r>
            <w:r/>
          </w:p>
        </w:tc>
      </w:tr>
      <w:tr>
        <w:trPr>
          <w:trHeight w:val="379" w:hRule="atLeast"/>
        </w:trPr>
        <w:tc>
          <w:tcPr>
            <w:tcW w:w="2124" w:type="dxa"/>
            <w:vAlign w:val="top"/>
            <w:tcBorders>
              <w:bottom w:val="single" w:color="000000" w:sz="2" w:space="0"/>
              <w:top w:val="single" w:color="000000" w:sz="2" w:space="0"/>
            </w:tcBorders>
          </w:tcPr>
          <w:p>
            <w:pPr>
              <w:pStyle w:val="TableText"/>
              <w:ind w:left="80"/>
              <w:spacing w:before="113" w:line="220" w:lineRule="auto"/>
              <w:rPr>
                <w:sz w:val="18"/>
                <w:szCs w:val="18"/>
              </w:rPr>
            </w:pPr>
            <w:r>
              <w:rPr>
                <w:sz w:val="18"/>
                <w:szCs w:val="18"/>
                <w:spacing w:val="-2"/>
              </w:rPr>
              <w:t>客户存款</w:t>
            </w:r>
          </w:p>
        </w:tc>
        <w:tc>
          <w:tcPr>
            <w:shd w:val="clear" w:fill="DBE5F1"/>
            <w:tcW w:w="1256" w:type="dxa"/>
            <w:vAlign w:val="top"/>
            <w:tcBorders>
              <w:bottom w:val="single" w:color="000000" w:sz="2" w:space="0"/>
              <w:top w:val="single" w:color="000000" w:sz="2" w:space="0"/>
            </w:tcBorders>
          </w:tcPr>
          <w:p>
            <w:pPr>
              <w:ind w:left="486"/>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7,466,070</w:t>
            </w:r>
          </w:p>
        </w:tc>
        <w:tc>
          <w:tcPr>
            <w:shd w:val="clear" w:fill="DBE5F1"/>
            <w:tcW w:w="1255" w:type="dxa"/>
            <w:vAlign w:val="top"/>
            <w:tcBorders>
              <w:bottom w:val="single" w:color="000000" w:sz="2" w:space="0"/>
              <w:top w:val="single" w:color="000000" w:sz="2" w:space="0"/>
            </w:tcBorders>
          </w:tcPr>
          <w:p>
            <w:pPr>
              <w:ind w:left="624"/>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163,457</w:t>
            </w:r>
          </w:p>
        </w:tc>
        <w:tc>
          <w:tcPr>
            <w:shd w:val="clear" w:fill="DBE5F1"/>
            <w:tcW w:w="1256" w:type="dxa"/>
            <w:vAlign w:val="top"/>
            <w:tcBorders>
              <w:bottom w:val="single" w:color="000000" w:sz="2" w:space="0"/>
              <w:top w:val="single" w:color="000000" w:sz="2" w:space="0"/>
            </w:tcBorders>
          </w:tcPr>
          <w:p>
            <w:pPr>
              <w:ind w:left="885"/>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2.19</w:t>
            </w:r>
          </w:p>
        </w:tc>
        <w:tc>
          <w:tcPr>
            <w:tcW w:w="1530" w:type="dxa"/>
            <w:vAlign w:val="top"/>
            <w:tcBorders>
              <w:bottom w:val="single" w:color="000000" w:sz="2" w:space="0"/>
              <w:top w:val="single" w:color="000000" w:sz="2" w:space="0"/>
            </w:tcBorders>
          </w:tcPr>
          <w:p>
            <w:pPr>
              <w:ind w:left="485"/>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6,708,100</w:t>
            </w:r>
          </w:p>
        </w:tc>
        <w:tc>
          <w:tcPr>
            <w:tcW w:w="1389" w:type="dxa"/>
            <w:vAlign w:val="top"/>
            <w:gridSpan w:val="2"/>
            <w:tcBorders>
              <w:bottom w:val="single" w:color="000000" w:sz="2" w:space="0"/>
              <w:top w:val="single" w:color="000000" w:sz="2" w:space="0"/>
            </w:tcBorders>
          </w:tcPr>
          <w:p>
            <w:pPr>
              <w:ind w:left="356"/>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140,982</w:t>
            </w:r>
          </w:p>
        </w:tc>
        <w:tc>
          <w:tcPr>
            <w:tcW w:w="844" w:type="dxa"/>
            <w:vAlign w:val="top"/>
            <w:tcBorders>
              <w:bottom w:val="single" w:color="000000" w:sz="2" w:space="0"/>
              <w:top w:val="single" w:color="000000" w:sz="2" w:space="0"/>
            </w:tcBorders>
          </w:tcPr>
          <w:p>
            <w:pPr>
              <w:ind w:left="476"/>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2.10</w:t>
            </w:r>
          </w:p>
        </w:tc>
      </w:tr>
      <w:tr>
        <w:trPr>
          <w:trHeight w:val="638" w:hRule="atLeast"/>
        </w:trPr>
        <w:tc>
          <w:tcPr>
            <w:tcW w:w="2124" w:type="dxa"/>
            <w:vAlign w:val="top"/>
            <w:tcBorders>
              <w:bottom w:val="single" w:color="000000" w:sz="2" w:space="0"/>
              <w:top w:val="single" w:color="000000" w:sz="2" w:space="0"/>
            </w:tcBorders>
          </w:tcPr>
          <w:p>
            <w:pPr>
              <w:pStyle w:val="TableText"/>
              <w:ind w:left="79" w:right="71" w:firstLine="16"/>
              <w:spacing w:before="116" w:line="243" w:lineRule="auto"/>
              <w:rPr>
                <w:sz w:val="18"/>
                <w:szCs w:val="18"/>
              </w:rPr>
            </w:pPr>
            <w:r>
              <w:rPr>
                <w:sz w:val="18"/>
                <w:szCs w:val="18"/>
                <w:spacing w:val="-3"/>
              </w:rPr>
              <w:t>同业及其他金融机构存放</w:t>
            </w:r>
            <w:r>
              <w:rPr>
                <w:sz w:val="18"/>
                <w:szCs w:val="18"/>
                <w:spacing w:val="7"/>
              </w:rPr>
              <w:t xml:space="preserve"> </w:t>
            </w:r>
            <w:r>
              <w:rPr>
                <w:sz w:val="18"/>
                <w:szCs w:val="18"/>
                <w:spacing w:val="-2"/>
              </w:rPr>
              <w:t>和拆入款项</w:t>
            </w:r>
          </w:p>
        </w:tc>
        <w:tc>
          <w:tcPr>
            <w:shd w:val="clear" w:fill="DBE5F1"/>
            <w:tcW w:w="1256" w:type="dxa"/>
            <w:vAlign w:val="top"/>
            <w:tcBorders>
              <w:bottom w:val="single" w:color="000000" w:sz="2" w:space="0"/>
              <w:top w:val="single" w:color="000000" w:sz="2" w:space="0"/>
            </w:tcBorders>
          </w:tcPr>
          <w:p>
            <w:pPr>
              <w:ind w:left="494"/>
              <w:spacing w:before="27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2,114,882</w:t>
            </w:r>
          </w:p>
        </w:tc>
        <w:tc>
          <w:tcPr>
            <w:shd w:val="clear" w:fill="DBE5F1"/>
            <w:tcW w:w="1255" w:type="dxa"/>
            <w:vAlign w:val="top"/>
            <w:tcBorders>
              <w:bottom w:val="single" w:color="000000" w:sz="2" w:space="0"/>
              <w:top w:val="single" w:color="000000" w:sz="2" w:space="0"/>
            </w:tcBorders>
          </w:tcPr>
          <w:p>
            <w:pPr>
              <w:ind w:left="707"/>
              <w:spacing w:before="27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44,696</w:t>
            </w:r>
          </w:p>
        </w:tc>
        <w:tc>
          <w:tcPr>
            <w:shd w:val="clear" w:fill="DBE5F1"/>
            <w:tcW w:w="1256" w:type="dxa"/>
            <w:vAlign w:val="top"/>
            <w:tcBorders>
              <w:bottom w:val="single" w:color="000000" w:sz="2" w:space="0"/>
              <w:top w:val="single" w:color="000000" w:sz="2" w:space="0"/>
            </w:tcBorders>
          </w:tcPr>
          <w:p>
            <w:pPr>
              <w:ind w:left="895"/>
              <w:spacing w:before="27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2.11</w:t>
            </w:r>
          </w:p>
        </w:tc>
        <w:tc>
          <w:tcPr>
            <w:tcW w:w="1530" w:type="dxa"/>
            <w:vAlign w:val="top"/>
            <w:tcBorders>
              <w:bottom w:val="single" w:color="000000" w:sz="2" w:space="0"/>
              <w:top w:val="single" w:color="000000" w:sz="2" w:space="0"/>
            </w:tcBorders>
          </w:tcPr>
          <w:p>
            <w:pPr>
              <w:ind w:left="498"/>
              <w:spacing w:before="27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1,982,978</w:t>
            </w:r>
          </w:p>
        </w:tc>
        <w:tc>
          <w:tcPr>
            <w:tcW w:w="1389" w:type="dxa"/>
            <w:vAlign w:val="top"/>
            <w:gridSpan w:val="2"/>
            <w:tcBorders>
              <w:bottom w:val="single" w:color="000000" w:sz="2" w:space="0"/>
              <w:top w:val="single" w:color="000000" w:sz="2" w:space="0"/>
            </w:tcBorders>
          </w:tcPr>
          <w:p>
            <w:pPr>
              <w:ind w:left="433"/>
              <w:spacing w:before="27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38,581</w:t>
            </w:r>
          </w:p>
        </w:tc>
        <w:tc>
          <w:tcPr>
            <w:tcW w:w="844" w:type="dxa"/>
            <w:vAlign w:val="top"/>
            <w:tcBorders>
              <w:bottom w:val="single" w:color="000000" w:sz="2" w:space="0"/>
              <w:top w:val="single" w:color="000000" w:sz="2" w:space="0"/>
            </w:tcBorders>
          </w:tcPr>
          <w:p>
            <w:pPr>
              <w:ind w:left="493"/>
              <w:spacing w:before="27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1.95</w:t>
            </w:r>
          </w:p>
        </w:tc>
      </w:tr>
      <w:tr>
        <w:trPr>
          <w:trHeight w:val="379" w:hRule="atLeast"/>
        </w:trPr>
        <w:tc>
          <w:tcPr>
            <w:tcW w:w="2124" w:type="dxa"/>
            <w:vAlign w:val="top"/>
            <w:tcBorders>
              <w:bottom w:val="single" w:color="000000" w:sz="2" w:space="0"/>
              <w:top w:val="single" w:color="000000" w:sz="2" w:space="0"/>
            </w:tcBorders>
          </w:tcPr>
          <w:p>
            <w:pPr>
              <w:pStyle w:val="TableText"/>
              <w:ind w:left="79"/>
              <w:spacing w:before="116" w:line="220" w:lineRule="auto"/>
              <w:rPr>
                <w:sz w:val="18"/>
                <w:szCs w:val="18"/>
              </w:rPr>
            </w:pPr>
            <w:r>
              <w:rPr>
                <w:sz w:val="18"/>
                <w:szCs w:val="18"/>
                <w:spacing w:val="-1"/>
              </w:rPr>
              <w:t>应付债券及其他</w:t>
            </w:r>
          </w:p>
        </w:tc>
        <w:tc>
          <w:tcPr>
            <w:shd w:val="clear" w:fill="DBE5F1"/>
            <w:tcW w:w="1256" w:type="dxa"/>
            <w:vAlign w:val="top"/>
            <w:tcBorders>
              <w:bottom w:val="single" w:color="000000" w:sz="2" w:space="0"/>
              <w:top w:val="single" w:color="000000" w:sz="2" w:space="0"/>
            </w:tcBorders>
          </w:tcPr>
          <w:p>
            <w:pPr>
              <w:ind w:left="492"/>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1,415,962</w:t>
            </w:r>
          </w:p>
        </w:tc>
        <w:tc>
          <w:tcPr>
            <w:shd w:val="clear" w:fill="DBE5F1"/>
            <w:tcW w:w="1255" w:type="dxa"/>
            <w:vAlign w:val="top"/>
            <w:tcBorders>
              <w:bottom w:val="single" w:color="000000" w:sz="2" w:space="0"/>
              <w:top w:val="single" w:color="000000" w:sz="2" w:space="0"/>
            </w:tcBorders>
          </w:tcPr>
          <w:p>
            <w:pPr>
              <w:ind w:left="707"/>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40,032</w:t>
            </w:r>
          </w:p>
        </w:tc>
        <w:tc>
          <w:tcPr>
            <w:shd w:val="clear" w:fill="DBE5F1"/>
            <w:tcW w:w="1256" w:type="dxa"/>
            <w:vAlign w:val="top"/>
            <w:tcBorders>
              <w:bottom w:val="single" w:color="000000" w:sz="2" w:space="0"/>
              <w:top w:val="single" w:color="000000" w:sz="2" w:space="0"/>
            </w:tcBorders>
          </w:tcPr>
          <w:p>
            <w:pPr>
              <w:ind w:left="885"/>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2.83</w:t>
            </w:r>
          </w:p>
        </w:tc>
        <w:tc>
          <w:tcPr>
            <w:tcW w:w="1530" w:type="dxa"/>
            <w:vAlign w:val="top"/>
            <w:tcBorders>
              <w:bottom w:val="single" w:color="000000" w:sz="2" w:space="0"/>
              <w:top w:val="single" w:color="000000" w:sz="2" w:space="0"/>
            </w:tcBorders>
          </w:tcPr>
          <w:p>
            <w:pPr>
              <w:ind w:left="498"/>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1,270,806</w:t>
            </w:r>
          </w:p>
        </w:tc>
        <w:tc>
          <w:tcPr>
            <w:tcW w:w="1389" w:type="dxa"/>
            <w:vAlign w:val="top"/>
            <w:gridSpan w:val="2"/>
            <w:tcBorders>
              <w:bottom w:val="single" w:color="000000" w:sz="2" w:space="0"/>
              <w:top w:val="single" w:color="000000" w:sz="2" w:space="0"/>
            </w:tcBorders>
          </w:tcPr>
          <w:p>
            <w:pPr>
              <w:ind w:left="433"/>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36,390</w:t>
            </w:r>
          </w:p>
        </w:tc>
        <w:tc>
          <w:tcPr>
            <w:tcW w:w="844" w:type="dxa"/>
            <w:vAlign w:val="top"/>
            <w:tcBorders>
              <w:bottom w:val="single" w:color="000000" w:sz="2" w:space="0"/>
              <w:top w:val="single" w:color="000000" w:sz="2" w:space="0"/>
            </w:tcBorders>
          </w:tcPr>
          <w:p>
            <w:pPr>
              <w:ind w:left="476"/>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2.86</w:t>
            </w:r>
          </w:p>
        </w:tc>
      </w:tr>
      <w:tr>
        <w:trPr>
          <w:trHeight w:val="379" w:hRule="atLeast"/>
        </w:trPr>
        <w:tc>
          <w:tcPr>
            <w:tcW w:w="2124" w:type="dxa"/>
            <w:vAlign w:val="top"/>
            <w:tcBorders>
              <w:bottom w:val="single" w:color="000000" w:sz="2" w:space="0"/>
              <w:top w:val="single" w:color="000000" w:sz="2" w:space="0"/>
            </w:tcBorders>
          </w:tcPr>
          <w:p>
            <w:pPr>
              <w:pStyle w:val="TableText"/>
              <w:ind w:left="79"/>
              <w:spacing w:before="117" w:line="220" w:lineRule="auto"/>
              <w:rPr>
                <w:sz w:val="18"/>
                <w:szCs w:val="18"/>
              </w:rPr>
            </w:pPr>
            <w:r>
              <w:rPr>
                <w:sz w:val="18"/>
                <w:szCs w:val="18"/>
                <w:b/>
                <w:bCs/>
                <w:spacing w:val="-4"/>
              </w:rPr>
              <w:t>计息负债</w:t>
            </w:r>
          </w:p>
        </w:tc>
        <w:tc>
          <w:tcPr>
            <w:shd w:val="clear" w:fill="DBE5F1"/>
            <w:tcW w:w="1256" w:type="dxa"/>
            <w:vAlign w:val="top"/>
            <w:tcBorders>
              <w:bottom w:val="single" w:color="000000" w:sz="2" w:space="0"/>
              <w:top w:val="single" w:color="000000" w:sz="2" w:space="0"/>
            </w:tcBorders>
          </w:tcPr>
          <w:p>
            <w:pPr>
              <w:ind w:left="401"/>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10,996,914</w:t>
            </w:r>
          </w:p>
        </w:tc>
        <w:tc>
          <w:tcPr>
            <w:shd w:val="clear" w:fill="DBE5F1"/>
            <w:tcW w:w="1255" w:type="dxa"/>
            <w:vAlign w:val="top"/>
            <w:tcBorders>
              <w:bottom w:val="single" w:color="000000" w:sz="2" w:space="0"/>
              <w:top w:val="single" w:color="000000" w:sz="2" w:space="0"/>
            </w:tcBorders>
          </w:tcPr>
          <w:p>
            <w:pPr>
              <w:ind w:left="616"/>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248,185</w:t>
            </w:r>
          </w:p>
        </w:tc>
        <w:tc>
          <w:tcPr>
            <w:shd w:val="clear" w:fill="DBE5F1"/>
            <w:tcW w:w="1256" w:type="dxa"/>
            <w:vAlign w:val="top"/>
            <w:tcBorders>
              <w:bottom w:val="single" w:color="000000" w:sz="2" w:space="0"/>
              <w:top w:val="single" w:color="000000" w:sz="2" w:space="0"/>
            </w:tcBorders>
          </w:tcPr>
          <w:p>
            <w:pPr>
              <w:ind w:left="885"/>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2.26</w:t>
            </w:r>
          </w:p>
        </w:tc>
        <w:tc>
          <w:tcPr>
            <w:tcW w:w="1530" w:type="dxa"/>
            <w:vAlign w:val="top"/>
            <w:tcBorders>
              <w:bottom w:val="single" w:color="000000" w:sz="2" w:space="0"/>
              <w:top w:val="single" w:color="000000" w:sz="2" w:space="0"/>
            </w:tcBorders>
          </w:tcPr>
          <w:p>
            <w:pPr>
              <w:ind w:left="484"/>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9,961,884</w:t>
            </w:r>
          </w:p>
        </w:tc>
        <w:tc>
          <w:tcPr>
            <w:tcW w:w="1389" w:type="dxa"/>
            <w:vAlign w:val="top"/>
            <w:gridSpan w:val="2"/>
            <w:tcBorders>
              <w:bottom w:val="single" w:color="000000" w:sz="2" w:space="0"/>
              <w:top w:val="single" w:color="000000" w:sz="2" w:space="0"/>
            </w:tcBorders>
          </w:tcPr>
          <w:p>
            <w:pPr>
              <w:ind w:left="339"/>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215,953</w:t>
            </w:r>
          </w:p>
        </w:tc>
        <w:tc>
          <w:tcPr>
            <w:tcW w:w="844" w:type="dxa"/>
            <w:vAlign w:val="top"/>
            <w:tcBorders>
              <w:bottom w:val="single" w:color="000000" w:sz="2" w:space="0"/>
              <w:top w:val="single" w:color="000000" w:sz="2" w:space="0"/>
            </w:tcBorders>
          </w:tcPr>
          <w:p>
            <w:pPr>
              <w:ind w:left="476"/>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2.17</w:t>
            </w:r>
          </w:p>
        </w:tc>
      </w:tr>
      <w:tr>
        <w:trPr>
          <w:trHeight w:val="379" w:hRule="atLeast"/>
        </w:trPr>
        <w:tc>
          <w:tcPr>
            <w:tcW w:w="2124" w:type="dxa"/>
            <w:vAlign w:val="top"/>
            <w:tcBorders>
              <w:bottom w:val="single" w:color="000000" w:sz="2" w:space="0"/>
              <w:top w:val="single" w:color="000000" w:sz="2" w:space="0"/>
            </w:tcBorders>
          </w:tcPr>
          <w:p>
            <w:pPr>
              <w:pStyle w:val="TableText"/>
              <w:ind w:left="79"/>
              <w:spacing w:before="117" w:line="220" w:lineRule="auto"/>
              <w:rPr>
                <w:sz w:val="18"/>
                <w:szCs w:val="18"/>
              </w:rPr>
            </w:pPr>
            <w:r>
              <w:rPr>
                <w:sz w:val="18"/>
                <w:szCs w:val="18"/>
                <w:b/>
                <w:bCs/>
                <w:spacing w:val="-2"/>
              </w:rPr>
              <w:t>股东权益及非计息负债</w:t>
            </w:r>
          </w:p>
        </w:tc>
        <w:tc>
          <w:tcPr>
            <w:shd w:val="clear" w:fill="DBE5F1"/>
            <w:tcW w:w="1256" w:type="dxa"/>
            <w:vAlign w:val="top"/>
            <w:tcBorders>
              <w:bottom w:val="single" w:color="000000" w:sz="2" w:space="0"/>
              <w:top w:val="single" w:color="000000" w:sz="2" w:space="0"/>
            </w:tcBorders>
          </w:tcPr>
          <w:p>
            <w:pPr>
              <w:ind w:left="489"/>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1,616,563</w:t>
            </w:r>
          </w:p>
        </w:tc>
        <w:tc>
          <w:tcPr>
            <w:shd w:val="clear" w:fill="DBE5F1"/>
            <w:tcW w:w="1255" w:type="dxa"/>
            <w:vAlign w:val="top"/>
            <w:tcBorders>
              <w:bottom w:val="single" w:color="000000" w:sz="2" w:space="0"/>
              <w:top w:val="single" w:color="000000" w:sz="2" w:space="0"/>
            </w:tcBorders>
          </w:tcPr>
          <w:p>
            <w:pPr>
              <w:rPr>
                <w:rFonts w:ascii="Arial"/>
                <w:sz w:val="21"/>
              </w:rPr>
            </w:pPr>
            <w:r/>
          </w:p>
        </w:tc>
        <w:tc>
          <w:tcPr>
            <w:shd w:val="clear" w:fill="DBE5F1"/>
            <w:tcW w:w="1256" w:type="dxa"/>
            <w:vAlign w:val="top"/>
            <w:tcBorders>
              <w:bottom w:val="single" w:color="000000" w:sz="2" w:space="0"/>
              <w:top w:val="single" w:color="000000" w:sz="2" w:space="0"/>
            </w:tcBorders>
          </w:tcPr>
          <w:p>
            <w:pPr>
              <w:rPr>
                <w:rFonts w:ascii="Arial"/>
                <w:sz w:val="21"/>
              </w:rPr>
            </w:pPr>
            <w:r/>
          </w:p>
        </w:tc>
        <w:tc>
          <w:tcPr>
            <w:tcW w:w="1530" w:type="dxa"/>
            <w:vAlign w:val="top"/>
            <w:tcBorders>
              <w:bottom w:val="single" w:color="000000" w:sz="2" w:space="0"/>
              <w:top w:val="single" w:color="000000" w:sz="2" w:space="0"/>
            </w:tcBorders>
          </w:tcPr>
          <w:p>
            <w:pPr>
              <w:ind w:left="498"/>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1,444,699</w:t>
            </w:r>
          </w:p>
        </w:tc>
        <w:tc>
          <w:tcPr>
            <w:tcW w:w="1389" w:type="dxa"/>
            <w:vAlign w:val="top"/>
            <w:gridSpan w:val="2"/>
            <w:tcBorders>
              <w:bottom w:val="single" w:color="000000" w:sz="2" w:space="0"/>
              <w:top w:val="single" w:color="000000" w:sz="2" w:space="0"/>
            </w:tcBorders>
          </w:tcPr>
          <w:p>
            <w:pPr>
              <w:rPr>
                <w:rFonts w:ascii="Arial"/>
                <w:sz w:val="21"/>
              </w:rPr>
            </w:pPr>
            <w:r/>
          </w:p>
        </w:tc>
        <w:tc>
          <w:tcPr>
            <w:tcW w:w="844" w:type="dxa"/>
            <w:vAlign w:val="top"/>
            <w:tcBorders>
              <w:bottom w:val="single" w:color="000000" w:sz="2" w:space="0"/>
              <w:top w:val="single" w:color="000000" w:sz="2" w:space="0"/>
            </w:tcBorders>
          </w:tcPr>
          <w:p>
            <w:pPr>
              <w:rPr>
                <w:rFonts w:ascii="Arial"/>
                <w:sz w:val="21"/>
              </w:rPr>
            </w:pPr>
            <w:r/>
          </w:p>
        </w:tc>
      </w:tr>
      <w:tr>
        <w:trPr>
          <w:trHeight w:val="379" w:hRule="atLeast"/>
        </w:trPr>
        <w:tc>
          <w:tcPr>
            <w:tcW w:w="2124" w:type="dxa"/>
            <w:vAlign w:val="top"/>
            <w:tcBorders>
              <w:bottom w:val="single" w:color="000000" w:sz="2" w:space="0"/>
              <w:top w:val="single" w:color="000000" w:sz="2" w:space="0"/>
            </w:tcBorders>
          </w:tcPr>
          <w:p>
            <w:pPr>
              <w:pStyle w:val="TableText"/>
              <w:ind w:left="86"/>
              <w:spacing w:before="117" w:line="220" w:lineRule="auto"/>
              <w:rPr>
                <w:sz w:val="18"/>
                <w:szCs w:val="18"/>
              </w:rPr>
            </w:pPr>
            <w:r>
              <w:rPr>
                <w:sz w:val="18"/>
                <w:szCs w:val="18"/>
                <w:b/>
                <w:bCs/>
                <w:spacing w:val="-3"/>
              </w:rPr>
              <w:t>负债及股东权益合计</w:t>
            </w:r>
          </w:p>
        </w:tc>
        <w:tc>
          <w:tcPr>
            <w:shd w:val="clear" w:fill="DBE5F1"/>
            <w:tcW w:w="1256" w:type="dxa"/>
            <w:vAlign w:val="top"/>
            <w:tcBorders>
              <w:bottom w:val="single" w:color="000000" w:sz="2" w:space="0"/>
              <w:top w:val="single" w:color="000000" w:sz="2" w:space="0"/>
            </w:tcBorders>
          </w:tcPr>
          <w:p>
            <w:pPr>
              <w:ind w:left="401"/>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12,613,477</w:t>
            </w:r>
          </w:p>
        </w:tc>
        <w:tc>
          <w:tcPr>
            <w:shd w:val="clear" w:fill="DBE5F1"/>
            <w:tcW w:w="1255" w:type="dxa"/>
            <w:vAlign w:val="top"/>
            <w:tcBorders>
              <w:bottom w:val="single" w:color="000000" w:sz="2" w:space="0"/>
              <w:top w:val="single" w:color="000000" w:sz="2" w:space="0"/>
            </w:tcBorders>
          </w:tcPr>
          <w:p>
            <w:pPr>
              <w:rPr>
                <w:rFonts w:ascii="Arial"/>
                <w:sz w:val="21"/>
              </w:rPr>
            </w:pPr>
            <w:r/>
          </w:p>
        </w:tc>
        <w:tc>
          <w:tcPr>
            <w:shd w:val="clear" w:fill="DBE5F1"/>
            <w:tcW w:w="1256" w:type="dxa"/>
            <w:vAlign w:val="top"/>
            <w:tcBorders>
              <w:bottom w:val="single" w:color="000000" w:sz="2" w:space="0"/>
              <w:top w:val="single" w:color="000000" w:sz="2" w:space="0"/>
            </w:tcBorders>
          </w:tcPr>
          <w:p>
            <w:pPr>
              <w:rPr>
                <w:rFonts w:ascii="Arial"/>
                <w:sz w:val="21"/>
              </w:rPr>
            </w:pPr>
            <w:r/>
          </w:p>
        </w:tc>
        <w:tc>
          <w:tcPr>
            <w:tcW w:w="1530" w:type="dxa"/>
            <w:vAlign w:val="top"/>
            <w:tcBorders>
              <w:bottom w:val="single" w:color="000000" w:sz="2" w:space="0"/>
              <w:top w:val="single" w:color="000000" w:sz="2" w:space="0"/>
            </w:tcBorders>
          </w:tcPr>
          <w:p>
            <w:pPr>
              <w:ind w:left="414"/>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11,406,583</w:t>
            </w:r>
          </w:p>
        </w:tc>
        <w:tc>
          <w:tcPr>
            <w:tcW w:w="1389" w:type="dxa"/>
            <w:vAlign w:val="top"/>
            <w:gridSpan w:val="2"/>
            <w:tcBorders>
              <w:bottom w:val="single" w:color="000000" w:sz="2" w:space="0"/>
              <w:top w:val="single" w:color="000000" w:sz="2" w:space="0"/>
            </w:tcBorders>
          </w:tcPr>
          <w:p>
            <w:pPr>
              <w:rPr>
                <w:rFonts w:ascii="Arial"/>
                <w:sz w:val="21"/>
              </w:rPr>
            </w:pPr>
            <w:r/>
          </w:p>
        </w:tc>
        <w:tc>
          <w:tcPr>
            <w:tcW w:w="844" w:type="dxa"/>
            <w:vAlign w:val="top"/>
            <w:tcBorders>
              <w:bottom w:val="single" w:color="000000" w:sz="2" w:space="0"/>
              <w:top w:val="single" w:color="000000" w:sz="2" w:space="0"/>
            </w:tcBorders>
          </w:tcPr>
          <w:p>
            <w:pPr>
              <w:rPr>
                <w:rFonts w:ascii="Arial"/>
                <w:sz w:val="21"/>
              </w:rPr>
            </w:pPr>
            <w:r/>
          </w:p>
        </w:tc>
      </w:tr>
      <w:tr>
        <w:trPr>
          <w:trHeight w:val="379" w:hRule="atLeast"/>
        </w:trPr>
        <w:tc>
          <w:tcPr>
            <w:tcW w:w="2124" w:type="dxa"/>
            <w:vAlign w:val="top"/>
            <w:tcBorders>
              <w:bottom w:val="single" w:color="000000" w:sz="2" w:space="0"/>
              <w:top w:val="single" w:color="000000" w:sz="2" w:space="0"/>
            </w:tcBorders>
          </w:tcPr>
          <w:p>
            <w:pPr>
              <w:pStyle w:val="TableText"/>
              <w:ind w:left="79"/>
              <w:spacing w:before="117" w:line="220" w:lineRule="auto"/>
              <w:rPr>
                <w:sz w:val="18"/>
                <w:szCs w:val="18"/>
              </w:rPr>
            </w:pPr>
            <w:r>
              <w:rPr>
                <w:sz w:val="18"/>
                <w:szCs w:val="18"/>
                <w:b/>
                <w:bCs/>
                <w:spacing w:val="-4"/>
              </w:rPr>
              <w:t>利息净收入</w:t>
            </w:r>
          </w:p>
        </w:tc>
        <w:tc>
          <w:tcPr>
            <w:shd w:val="clear" w:fill="DBE5F1"/>
            <w:tcW w:w="1256" w:type="dxa"/>
            <w:vAlign w:val="top"/>
            <w:tcBorders>
              <w:bottom w:val="single" w:color="000000" w:sz="2" w:space="0"/>
              <w:top w:val="single" w:color="000000" w:sz="2" w:space="0"/>
            </w:tcBorders>
          </w:tcPr>
          <w:p>
            <w:pPr>
              <w:rPr>
                <w:rFonts w:ascii="Arial"/>
                <w:sz w:val="21"/>
              </w:rPr>
            </w:pPr>
            <w:r/>
          </w:p>
        </w:tc>
        <w:tc>
          <w:tcPr>
            <w:shd w:val="clear" w:fill="DBE5F1"/>
            <w:tcW w:w="1255" w:type="dxa"/>
            <w:vAlign w:val="top"/>
            <w:tcBorders>
              <w:bottom w:val="single" w:color="000000" w:sz="2" w:space="0"/>
              <w:top w:val="single" w:color="000000" w:sz="2" w:space="0"/>
            </w:tcBorders>
          </w:tcPr>
          <w:p>
            <w:pPr>
              <w:ind w:left="624"/>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169,937</w:t>
            </w:r>
          </w:p>
        </w:tc>
        <w:tc>
          <w:tcPr>
            <w:shd w:val="clear" w:fill="DBE5F1"/>
            <w:tcW w:w="1256" w:type="dxa"/>
            <w:vAlign w:val="top"/>
            <w:tcBorders>
              <w:bottom w:val="single" w:color="000000" w:sz="2" w:space="0"/>
              <w:top w:val="single" w:color="000000" w:sz="2" w:space="0"/>
            </w:tcBorders>
          </w:tcPr>
          <w:p>
            <w:pPr>
              <w:rPr>
                <w:rFonts w:ascii="Arial"/>
                <w:sz w:val="21"/>
              </w:rPr>
            </w:pPr>
            <w:r/>
          </w:p>
        </w:tc>
        <w:tc>
          <w:tcPr>
            <w:tcW w:w="1530" w:type="dxa"/>
            <w:vAlign w:val="top"/>
            <w:tcBorders>
              <w:bottom w:val="single" w:color="000000" w:sz="2" w:space="0"/>
              <w:top w:val="single" w:color="000000" w:sz="2" w:space="0"/>
            </w:tcBorders>
          </w:tcPr>
          <w:p>
            <w:pPr>
              <w:rPr>
                <w:rFonts w:ascii="Arial"/>
                <w:sz w:val="21"/>
              </w:rPr>
            </w:pPr>
            <w:r/>
          </w:p>
        </w:tc>
        <w:tc>
          <w:tcPr>
            <w:tcW w:w="1389" w:type="dxa"/>
            <w:vAlign w:val="top"/>
            <w:gridSpan w:val="2"/>
            <w:tcBorders>
              <w:bottom w:val="single" w:color="000000" w:sz="2" w:space="0"/>
              <w:top w:val="single" w:color="000000" w:sz="2" w:space="0"/>
            </w:tcBorders>
          </w:tcPr>
          <w:p>
            <w:pPr>
              <w:ind w:left="356"/>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161,693</w:t>
            </w:r>
          </w:p>
        </w:tc>
        <w:tc>
          <w:tcPr>
            <w:tcW w:w="844" w:type="dxa"/>
            <w:vAlign w:val="top"/>
            <w:tcBorders>
              <w:bottom w:val="single" w:color="000000" w:sz="2" w:space="0"/>
              <w:top w:val="single" w:color="000000" w:sz="2" w:space="0"/>
            </w:tcBorders>
          </w:tcPr>
          <w:p>
            <w:pPr>
              <w:rPr>
                <w:rFonts w:ascii="Arial"/>
                <w:sz w:val="21"/>
              </w:rPr>
            </w:pPr>
            <w:r/>
          </w:p>
        </w:tc>
      </w:tr>
      <w:tr>
        <w:trPr>
          <w:trHeight w:val="379" w:hRule="atLeast"/>
        </w:trPr>
        <w:tc>
          <w:tcPr>
            <w:tcW w:w="2124" w:type="dxa"/>
            <w:vAlign w:val="top"/>
            <w:tcBorders>
              <w:bottom w:val="single" w:color="000000" w:sz="2" w:space="0"/>
              <w:top w:val="single" w:color="000000" w:sz="2" w:space="0"/>
            </w:tcBorders>
          </w:tcPr>
          <w:p>
            <w:pPr>
              <w:pStyle w:val="TableText"/>
              <w:ind w:left="81"/>
              <w:spacing w:before="111" w:line="226" w:lineRule="auto"/>
              <w:rPr>
                <w:rFonts w:ascii="Times New Roman" w:hAnsi="Times New Roman" w:eastAsia="Times New Roman" w:cs="Times New Roman"/>
                <w:sz w:val="12"/>
                <w:szCs w:val="12"/>
              </w:rPr>
            </w:pPr>
            <w:r>
              <w:rPr>
                <w:sz w:val="18"/>
                <w:szCs w:val="18"/>
                <w:b/>
                <w:bCs/>
                <w:spacing w:val="-4"/>
              </w:rPr>
              <w:t>净利差</w:t>
            </w:r>
            <w:r>
              <w:rPr>
                <w:sz w:val="18"/>
                <w:szCs w:val="18"/>
                <w:spacing w:val="-32"/>
              </w:rPr>
              <w:t xml:space="preserve"> </w:t>
            </w:r>
            <w:r>
              <w:rPr>
                <w:rFonts w:ascii="Times New Roman" w:hAnsi="Times New Roman" w:eastAsia="Times New Roman" w:cs="Times New Roman"/>
                <w:sz w:val="12"/>
                <w:szCs w:val="12"/>
                <w:b/>
                <w:bCs/>
                <w:spacing w:val="-4"/>
                <w:position w:val="7"/>
              </w:rPr>
              <w:t>1</w:t>
            </w:r>
          </w:p>
        </w:tc>
        <w:tc>
          <w:tcPr>
            <w:shd w:val="clear" w:fill="DBE5F1"/>
            <w:tcW w:w="1256" w:type="dxa"/>
            <w:vAlign w:val="top"/>
            <w:tcBorders>
              <w:bottom w:val="single" w:color="000000" w:sz="2" w:space="0"/>
              <w:top w:val="single" w:color="000000" w:sz="2" w:space="0"/>
            </w:tcBorders>
          </w:tcPr>
          <w:p>
            <w:pPr>
              <w:rPr>
                <w:rFonts w:ascii="Arial"/>
                <w:sz w:val="21"/>
              </w:rPr>
            </w:pPr>
            <w:r/>
          </w:p>
        </w:tc>
        <w:tc>
          <w:tcPr>
            <w:shd w:val="clear" w:fill="DBE5F1"/>
            <w:tcW w:w="1255" w:type="dxa"/>
            <w:vAlign w:val="top"/>
            <w:tcBorders>
              <w:bottom w:val="single" w:color="000000" w:sz="2" w:space="0"/>
              <w:top w:val="single" w:color="000000" w:sz="2" w:space="0"/>
            </w:tcBorders>
          </w:tcPr>
          <w:p>
            <w:pPr>
              <w:rPr>
                <w:rFonts w:ascii="Arial"/>
                <w:sz w:val="21"/>
              </w:rPr>
            </w:pPr>
            <w:r/>
          </w:p>
        </w:tc>
        <w:tc>
          <w:tcPr>
            <w:shd w:val="clear" w:fill="DBE5F1"/>
            <w:tcW w:w="1256" w:type="dxa"/>
            <w:vAlign w:val="top"/>
            <w:tcBorders>
              <w:bottom w:val="single" w:color="000000" w:sz="2" w:space="0"/>
              <w:top w:val="single" w:color="000000" w:sz="2" w:space="0"/>
            </w:tcBorders>
          </w:tcPr>
          <w:p>
            <w:pPr>
              <w:ind w:left="895"/>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1.37</w:t>
            </w:r>
          </w:p>
        </w:tc>
        <w:tc>
          <w:tcPr>
            <w:tcW w:w="1530" w:type="dxa"/>
            <w:vAlign w:val="top"/>
            <w:tcBorders>
              <w:bottom w:val="single" w:color="000000" w:sz="2" w:space="0"/>
              <w:top w:val="single" w:color="000000" w:sz="2" w:space="0"/>
            </w:tcBorders>
          </w:tcPr>
          <w:p>
            <w:pPr>
              <w:rPr>
                <w:rFonts w:ascii="Arial"/>
                <w:sz w:val="21"/>
              </w:rPr>
            </w:pPr>
            <w:r/>
          </w:p>
        </w:tc>
        <w:tc>
          <w:tcPr>
            <w:tcW w:w="1389" w:type="dxa"/>
            <w:vAlign w:val="top"/>
            <w:gridSpan w:val="2"/>
            <w:tcBorders>
              <w:bottom w:val="single" w:color="000000" w:sz="2" w:space="0"/>
              <w:top w:val="single" w:color="000000" w:sz="2" w:space="0"/>
            </w:tcBorders>
          </w:tcPr>
          <w:p>
            <w:pPr>
              <w:rPr>
                <w:rFonts w:ascii="Arial"/>
                <w:sz w:val="21"/>
              </w:rPr>
            </w:pPr>
            <w:r/>
          </w:p>
        </w:tc>
        <w:tc>
          <w:tcPr>
            <w:tcW w:w="844" w:type="dxa"/>
            <w:vAlign w:val="top"/>
            <w:tcBorders>
              <w:bottom w:val="single" w:color="000000" w:sz="2" w:space="0"/>
              <w:top w:val="single" w:color="000000" w:sz="2" w:space="0"/>
            </w:tcBorders>
          </w:tcPr>
          <w:p>
            <w:pPr>
              <w:ind w:left="493"/>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1.47</w:t>
            </w:r>
          </w:p>
        </w:tc>
      </w:tr>
      <w:tr>
        <w:trPr>
          <w:trHeight w:val="379" w:hRule="atLeast"/>
        </w:trPr>
        <w:tc>
          <w:tcPr>
            <w:tcW w:w="2124" w:type="dxa"/>
            <w:vAlign w:val="top"/>
            <w:tcBorders>
              <w:bottom w:val="single" w:color="000000" w:sz="2" w:space="0"/>
              <w:top w:val="single" w:color="000000" w:sz="2" w:space="0"/>
            </w:tcBorders>
          </w:tcPr>
          <w:p>
            <w:pPr>
              <w:pStyle w:val="TableText"/>
              <w:ind w:left="81"/>
              <w:spacing w:before="110" w:line="226" w:lineRule="auto"/>
              <w:rPr>
                <w:rFonts w:ascii="Times New Roman" w:hAnsi="Times New Roman" w:eastAsia="Times New Roman" w:cs="Times New Roman"/>
                <w:sz w:val="12"/>
                <w:szCs w:val="12"/>
              </w:rPr>
            </w:pPr>
            <w:r>
              <w:rPr>
                <w:sz w:val="18"/>
                <w:szCs w:val="18"/>
                <w:b/>
                <w:bCs/>
                <w:spacing w:val="-3"/>
              </w:rPr>
              <w:t>净利息收益率</w:t>
            </w:r>
            <w:r>
              <w:rPr>
                <w:sz w:val="18"/>
                <w:szCs w:val="18"/>
                <w:spacing w:val="-35"/>
              </w:rPr>
              <w:t xml:space="preserve"> </w:t>
            </w:r>
            <w:r>
              <w:rPr>
                <w:rFonts w:ascii="Times New Roman" w:hAnsi="Times New Roman" w:eastAsia="Times New Roman" w:cs="Times New Roman"/>
                <w:sz w:val="12"/>
                <w:szCs w:val="12"/>
                <w:b/>
                <w:bCs/>
                <w:spacing w:val="-3"/>
                <w:position w:val="7"/>
              </w:rPr>
              <w:t>2</w:t>
            </w:r>
          </w:p>
        </w:tc>
        <w:tc>
          <w:tcPr>
            <w:shd w:val="clear" w:fill="DBE5F1"/>
            <w:tcW w:w="1256" w:type="dxa"/>
            <w:vAlign w:val="top"/>
            <w:tcBorders>
              <w:bottom w:val="single" w:color="000000" w:sz="2" w:space="0"/>
              <w:top w:val="single" w:color="000000" w:sz="2" w:space="0"/>
            </w:tcBorders>
          </w:tcPr>
          <w:p>
            <w:pPr>
              <w:rPr>
                <w:rFonts w:ascii="Arial"/>
                <w:sz w:val="21"/>
              </w:rPr>
            </w:pPr>
            <w:r/>
          </w:p>
        </w:tc>
        <w:tc>
          <w:tcPr>
            <w:shd w:val="clear" w:fill="DBE5F1"/>
            <w:tcW w:w="1255" w:type="dxa"/>
            <w:vAlign w:val="top"/>
            <w:tcBorders>
              <w:bottom w:val="single" w:color="000000" w:sz="2" w:space="0"/>
              <w:top w:val="single" w:color="000000" w:sz="2" w:space="0"/>
            </w:tcBorders>
          </w:tcPr>
          <w:p>
            <w:pPr>
              <w:rPr>
                <w:rFonts w:ascii="Arial"/>
                <w:sz w:val="21"/>
              </w:rPr>
            </w:pPr>
            <w:r/>
          </w:p>
        </w:tc>
        <w:tc>
          <w:tcPr>
            <w:shd w:val="clear" w:fill="DBE5F1"/>
            <w:tcW w:w="1256" w:type="dxa"/>
            <w:vAlign w:val="top"/>
            <w:tcBorders>
              <w:bottom w:val="single" w:color="000000" w:sz="2" w:space="0"/>
              <w:top w:val="single" w:color="000000" w:sz="2" w:space="0"/>
            </w:tcBorders>
          </w:tcPr>
          <w:p>
            <w:pPr>
              <w:ind w:left="895"/>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1.48</w:t>
            </w:r>
          </w:p>
        </w:tc>
        <w:tc>
          <w:tcPr>
            <w:tcW w:w="1530" w:type="dxa"/>
            <w:vAlign w:val="top"/>
            <w:tcBorders>
              <w:bottom w:val="single" w:color="000000" w:sz="2" w:space="0"/>
              <w:top w:val="single" w:color="000000" w:sz="2" w:space="0"/>
            </w:tcBorders>
          </w:tcPr>
          <w:p>
            <w:pPr>
              <w:rPr>
                <w:rFonts w:ascii="Arial"/>
                <w:sz w:val="21"/>
              </w:rPr>
            </w:pPr>
            <w:r/>
          </w:p>
        </w:tc>
        <w:tc>
          <w:tcPr>
            <w:tcW w:w="1389" w:type="dxa"/>
            <w:vAlign w:val="top"/>
            <w:gridSpan w:val="2"/>
            <w:tcBorders>
              <w:bottom w:val="single" w:color="000000" w:sz="2" w:space="0"/>
              <w:top w:val="single" w:color="000000" w:sz="2" w:space="0"/>
            </w:tcBorders>
          </w:tcPr>
          <w:p>
            <w:pPr>
              <w:rPr>
                <w:rFonts w:ascii="Arial"/>
                <w:sz w:val="21"/>
              </w:rPr>
            </w:pPr>
            <w:r/>
          </w:p>
        </w:tc>
        <w:tc>
          <w:tcPr>
            <w:tcW w:w="844" w:type="dxa"/>
            <w:vAlign w:val="top"/>
            <w:tcBorders>
              <w:bottom w:val="single" w:color="000000" w:sz="2" w:space="0"/>
              <w:top w:val="single" w:color="000000" w:sz="2" w:space="0"/>
            </w:tcBorders>
          </w:tcPr>
          <w:p>
            <w:pPr>
              <w:ind w:left="493"/>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1.56</w:t>
            </w:r>
          </w:p>
        </w:tc>
      </w:tr>
      <w:tr>
        <w:trPr>
          <w:trHeight w:val="379" w:hRule="atLeast"/>
        </w:trPr>
        <w:tc>
          <w:tcPr>
            <w:tcW w:w="2124" w:type="dxa"/>
            <w:vAlign w:val="top"/>
            <w:tcBorders>
              <w:bottom w:val="single" w:color="000000" w:sz="2" w:space="0"/>
              <w:top w:val="single" w:color="000000" w:sz="2" w:space="0"/>
            </w:tcBorders>
          </w:tcPr>
          <w:p>
            <w:pPr>
              <w:pStyle w:val="TableText"/>
              <w:ind w:left="81"/>
              <w:spacing w:before="110" w:line="227" w:lineRule="auto"/>
              <w:rPr>
                <w:rFonts w:ascii="Times New Roman" w:hAnsi="Times New Roman" w:eastAsia="Times New Roman" w:cs="Times New Roman"/>
                <w:sz w:val="12"/>
                <w:szCs w:val="12"/>
              </w:rPr>
            </w:pPr>
            <w:r>
              <w:rPr>
                <w:sz w:val="18"/>
                <w:szCs w:val="18"/>
                <w:b/>
                <w:bCs/>
                <w:spacing w:val="-6"/>
              </w:rPr>
              <w:t>净利差</w:t>
            </w:r>
            <w:r>
              <w:rPr>
                <w:sz w:val="18"/>
                <w:szCs w:val="18"/>
                <w:spacing w:val="-32"/>
              </w:rPr>
              <w:t xml:space="preserve"> </w:t>
            </w:r>
            <w:r>
              <w:rPr>
                <w:rFonts w:ascii="Times New Roman" w:hAnsi="Times New Roman" w:eastAsia="Times New Roman" w:cs="Times New Roman"/>
                <w:sz w:val="12"/>
                <w:szCs w:val="12"/>
                <w:b/>
                <w:bCs/>
                <w:spacing w:val="-6"/>
                <w:position w:val="6"/>
              </w:rPr>
              <w:t>1</w:t>
            </w:r>
            <w:r>
              <w:rPr>
                <w:sz w:val="9"/>
                <w:szCs w:val="9"/>
                <w:b/>
                <w:bCs/>
                <w:spacing w:val="-6"/>
                <w:position w:val="8"/>
              </w:rPr>
              <w:t>,</w:t>
            </w:r>
            <w:r>
              <w:rPr>
                <w:sz w:val="9"/>
                <w:szCs w:val="9"/>
                <w:spacing w:val="12"/>
                <w:w w:val="101"/>
                <w:position w:val="8"/>
              </w:rPr>
              <w:t xml:space="preserve"> </w:t>
            </w:r>
            <w:r>
              <w:rPr>
                <w:rFonts w:ascii="Times New Roman" w:hAnsi="Times New Roman" w:eastAsia="Times New Roman" w:cs="Times New Roman"/>
                <w:sz w:val="12"/>
                <w:szCs w:val="12"/>
                <w:b/>
                <w:bCs/>
                <w:spacing w:val="-6"/>
                <w:position w:val="6"/>
              </w:rPr>
              <w:t>3</w:t>
            </w:r>
          </w:p>
        </w:tc>
        <w:tc>
          <w:tcPr>
            <w:shd w:val="clear" w:fill="DBE5F1"/>
            <w:tcW w:w="1256" w:type="dxa"/>
            <w:vAlign w:val="top"/>
            <w:tcBorders>
              <w:bottom w:val="single" w:color="000000" w:sz="2" w:space="0"/>
              <w:top w:val="single" w:color="000000" w:sz="2" w:space="0"/>
            </w:tcBorders>
          </w:tcPr>
          <w:p>
            <w:pPr>
              <w:rPr>
                <w:rFonts w:ascii="Arial"/>
                <w:sz w:val="21"/>
              </w:rPr>
            </w:pPr>
            <w:r/>
          </w:p>
        </w:tc>
        <w:tc>
          <w:tcPr>
            <w:shd w:val="clear" w:fill="DBE5F1"/>
            <w:tcW w:w="1255" w:type="dxa"/>
            <w:vAlign w:val="top"/>
            <w:tcBorders>
              <w:bottom w:val="single" w:color="000000" w:sz="2" w:space="0"/>
              <w:top w:val="single" w:color="000000" w:sz="2" w:space="0"/>
            </w:tcBorders>
          </w:tcPr>
          <w:p>
            <w:pPr>
              <w:rPr>
                <w:rFonts w:ascii="Arial"/>
                <w:sz w:val="21"/>
              </w:rPr>
            </w:pPr>
            <w:r/>
          </w:p>
        </w:tc>
        <w:tc>
          <w:tcPr>
            <w:shd w:val="clear" w:fill="DBE5F1"/>
            <w:tcW w:w="1256" w:type="dxa"/>
            <w:vAlign w:val="top"/>
            <w:tcBorders>
              <w:bottom w:val="single" w:color="000000" w:sz="2" w:space="0"/>
              <w:top w:val="single" w:color="000000" w:sz="2" w:space="0"/>
            </w:tcBorders>
          </w:tcPr>
          <w:p>
            <w:pPr>
              <w:ind w:left="895"/>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1.58</w:t>
            </w:r>
          </w:p>
        </w:tc>
        <w:tc>
          <w:tcPr>
            <w:tcW w:w="1530" w:type="dxa"/>
            <w:vAlign w:val="top"/>
            <w:tcBorders>
              <w:bottom w:val="single" w:color="000000" w:sz="2" w:space="0"/>
              <w:top w:val="single" w:color="000000" w:sz="2" w:space="0"/>
            </w:tcBorders>
          </w:tcPr>
          <w:p>
            <w:pPr>
              <w:rPr>
                <w:rFonts w:ascii="Arial"/>
                <w:sz w:val="21"/>
              </w:rPr>
            </w:pPr>
            <w:r/>
          </w:p>
        </w:tc>
        <w:tc>
          <w:tcPr>
            <w:tcW w:w="1389" w:type="dxa"/>
            <w:vAlign w:val="top"/>
            <w:gridSpan w:val="2"/>
            <w:tcBorders>
              <w:bottom w:val="single" w:color="000000" w:sz="2" w:space="0"/>
              <w:top w:val="single" w:color="000000" w:sz="2" w:space="0"/>
            </w:tcBorders>
          </w:tcPr>
          <w:p>
            <w:pPr>
              <w:rPr>
                <w:rFonts w:ascii="Arial"/>
                <w:sz w:val="21"/>
              </w:rPr>
            </w:pPr>
            <w:r/>
          </w:p>
        </w:tc>
        <w:tc>
          <w:tcPr>
            <w:tcW w:w="844" w:type="dxa"/>
            <w:vAlign w:val="top"/>
            <w:tcBorders>
              <w:bottom w:val="single" w:color="000000" w:sz="2" w:space="0"/>
              <w:top w:val="single" w:color="000000" w:sz="2" w:space="0"/>
            </w:tcBorders>
          </w:tcPr>
          <w:p>
            <w:pPr>
              <w:ind w:left="493"/>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1.68</w:t>
            </w:r>
          </w:p>
        </w:tc>
      </w:tr>
      <w:tr>
        <w:trPr>
          <w:trHeight w:val="386" w:hRule="atLeast"/>
        </w:trPr>
        <w:tc>
          <w:tcPr>
            <w:tcW w:w="2124" w:type="dxa"/>
            <w:vAlign w:val="top"/>
            <w:tcBorders>
              <w:bottom w:val="single" w:color="000000" w:sz="2" w:space="0"/>
              <w:top w:val="single" w:color="000000" w:sz="2" w:space="0"/>
            </w:tcBorders>
          </w:tcPr>
          <w:p>
            <w:pPr>
              <w:pStyle w:val="TableText"/>
              <w:ind w:left="81"/>
              <w:spacing w:before="110" w:line="226" w:lineRule="auto"/>
              <w:rPr>
                <w:rFonts w:ascii="Times New Roman" w:hAnsi="Times New Roman" w:eastAsia="Times New Roman" w:cs="Times New Roman"/>
                <w:sz w:val="12"/>
                <w:szCs w:val="12"/>
              </w:rPr>
            </w:pPr>
            <w:r>
              <w:rPr>
                <w:sz w:val="18"/>
                <w:szCs w:val="18"/>
                <w:b/>
                <w:bCs/>
                <w:spacing w:val="-4"/>
              </w:rPr>
              <w:t>净利息收益率</w:t>
            </w:r>
            <w:r>
              <w:rPr>
                <w:sz w:val="18"/>
                <w:szCs w:val="18"/>
                <w:spacing w:val="-35"/>
              </w:rPr>
              <w:t xml:space="preserve"> </w:t>
            </w:r>
            <w:r>
              <w:rPr>
                <w:rFonts w:ascii="Times New Roman" w:hAnsi="Times New Roman" w:eastAsia="Times New Roman" w:cs="Times New Roman"/>
                <w:sz w:val="12"/>
                <w:szCs w:val="12"/>
                <w:b/>
                <w:bCs/>
                <w:spacing w:val="-4"/>
                <w:position w:val="7"/>
              </w:rPr>
              <w:t>2</w:t>
            </w:r>
            <w:r>
              <w:rPr>
                <w:sz w:val="9"/>
                <w:szCs w:val="9"/>
                <w:b/>
                <w:bCs/>
                <w:spacing w:val="-4"/>
                <w:position w:val="8"/>
              </w:rPr>
              <w:t>,</w:t>
            </w:r>
            <w:r>
              <w:rPr>
                <w:sz w:val="9"/>
                <w:szCs w:val="9"/>
                <w:spacing w:val="12"/>
                <w:w w:val="101"/>
                <w:position w:val="8"/>
              </w:rPr>
              <w:t xml:space="preserve"> </w:t>
            </w:r>
            <w:r>
              <w:rPr>
                <w:rFonts w:ascii="Times New Roman" w:hAnsi="Times New Roman" w:eastAsia="Times New Roman" w:cs="Times New Roman"/>
                <w:sz w:val="12"/>
                <w:szCs w:val="12"/>
                <w:b/>
                <w:bCs/>
                <w:spacing w:val="-4"/>
                <w:position w:val="7"/>
              </w:rPr>
              <w:t>3</w:t>
            </w:r>
          </w:p>
        </w:tc>
        <w:tc>
          <w:tcPr>
            <w:shd w:val="clear" w:fill="DBE5F1"/>
            <w:tcW w:w="1256" w:type="dxa"/>
            <w:vAlign w:val="top"/>
            <w:tcBorders>
              <w:bottom w:val="single" w:color="000000" w:sz="2" w:space="0"/>
              <w:top w:val="single" w:color="000000" w:sz="2" w:space="0"/>
            </w:tcBorders>
          </w:tcPr>
          <w:p>
            <w:pPr>
              <w:rPr>
                <w:rFonts w:ascii="Arial"/>
                <w:sz w:val="21"/>
              </w:rPr>
            </w:pPr>
            <w:r/>
          </w:p>
        </w:tc>
        <w:tc>
          <w:tcPr>
            <w:shd w:val="clear" w:fill="DBE5F1"/>
            <w:tcW w:w="1255" w:type="dxa"/>
            <w:vAlign w:val="top"/>
            <w:tcBorders>
              <w:bottom w:val="single" w:color="000000" w:sz="2" w:space="0"/>
              <w:top w:val="single" w:color="000000" w:sz="2" w:space="0"/>
            </w:tcBorders>
          </w:tcPr>
          <w:p>
            <w:pPr>
              <w:rPr>
                <w:rFonts w:ascii="Arial"/>
                <w:sz w:val="21"/>
              </w:rPr>
            </w:pPr>
            <w:r/>
          </w:p>
        </w:tc>
        <w:tc>
          <w:tcPr>
            <w:shd w:val="clear" w:fill="DBE5F1"/>
            <w:tcW w:w="1256" w:type="dxa"/>
            <w:vAlign w:val="top"/>
            <w:tcBorders>
              <w:bottom w:val="single" w:color="000000" w:sz="2" w:space="0"/>
              <w:top w:val="single" w:color="000000" w:sz="2" w:space="0"/>
            </w:tcBorders>
          </w:tcPr>
          <w:p>
            <w:pPr>
              <w:ind w:left="895"/>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1.69</w:t>
            </w:r>
          </w:p>
        </w:tc>
        <w:tc>
          <w:tcPr>
            <w:tcW w:w="1530" w:type="dxa"/>
            <w:vAlign w:val="top"/>
            <w:tcBorders>
              <w:bottom w:val="single" w:color="000000" w:sz="2" w:space="0"/>
              <w:top w:val="single" w:color="000000" w:sz="2" w:space="0"/>
            </w:tcBorders>
          </w:tcPr>
          <w:p>
            <w:pPr>
              <w:rPr>
                <w:rFonts w:ascii="Arial"/>
                <w:sz w:val="21"/>
              </w:rPr>
            </w:pPr>
            <w:r/>
          </w:p>
        </w:tc>
        <w:tc>
          <w:tcPr>
            <w:tcW w:w="1389" w:type="dxa"/>
            <w:vAlign w:val="top"/>
            <w:gridSpan w:val="2"/>
            <w:tcBorders>
              <w:bottom w:val="single" w:color="000000" w:sz="2" w:space="0"/>
              <w:top w:val="single" w:color="000000" w:sz="2" w:space="0"/>
            </w:tcBorders>
          </w:tcPr>
          <w:p>
            <w:pPr>
              <w:rPr>
                <w:rFonts w:ascii="Arial"/>
                <w:sz w:val="21"/>
              </w:rPr>
            </w:pPr>
            <w:r/>
          </w:p>
        </w:tc>
        <w:tc>
          <w:tcPr>
            <w:tcW w:w="844" w:type="dxa"/>
            <w:vAlign w:val="top"/>
            <w:tcBorders>
              <w:bottom w:val="single" w:color="000000" w:sz="2" w:space="0"/>
              <w:top w:val="single" w:color="000000" w:sz="2" w:space="0"/>
            </w:tcBorders>
          </w:tcPr>
          <w:p>
            <w:pPr>
              <w:ind w:left="493"/>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1.77</w:t>
            </w:r>
          </w:p>
        </w:tc>
      </w:tr>
    </w:tbl>
    <w:p>
      <w:pPr>
        <w:ind w:left="21"/>
        <w:spacing w:before="36" w:line="225" w:lineRule="auto"/>
        <w:rPr>
          <w:rFonts w:ascii="SimSun" w:hAnsi="SimSun" w:eastAsia="SimSun" w:cs="SimSun"/>
          <w:sz w:val="18"/>
          <w:szCs w:val="18"/>
        </w:rPr>
      </w:pPr>
      <w:r>
        <w:rPr>
          <w:rFonts w:ascii="SimSun" w:hAnsi="SimSun" w:eastAsia="SimSun" w:cs="SimSun"/>
          <w:sz w:val="18"/>
          <w:szCs w:val="18"/>
          <w:spacing w:val="-9"/>
        </w:rPr>
        <w:t>注:</w:t>
      </w:r>
    </w:p>
    <w:p>
      <w:pPr>
        <w:ind w:left="35"/>
        <w:spacing w:before="141" w:line="360" w:lineRule="exact"/>
        <w:rPr>
          <w:rFonts w:ascii="SimSun" w:hAnsi="SimSun" w:eastAsia="SimSun" w:cs="SimSun"/>
          <w:sz w:val="18"/>
          <w:szCs w:val="18"/>
        </w:rPr>
      </w:pPr>
      <w:r>
        <w:rPr>
          <w:rFonts w:ascii="Times New Roman" w:hAnsi="Times New Roman" w:eastAsia="Times New Roman" w:cs="Times New Roman"/>
          <w:sz w:val="18"/>
          <w:szCs w:val="18"/>
          <w:spacing w:val="-1"/>
          <w:position w:val="13"/>
        </w:rPr>
        <w:t>1.  </w:t>
      </w:r>
      <w:r>
        <w:rPr>
          <w:rFonts w:ascii="SimSun" w:hAnsi="SimSun" w:eastAsia="SimSun" w:cs="SimSun"/>
          <w:sz w:val="18"/>
          <w:szCs w:val="18"/>
          <w:spacing w:val="-1"/>
          <w:position w:val="13"/>
        </w:rPr>
        <w:t>指平均生息资产总额的平均收益率与平均计息负债总额的平均成</w:t>
      </w:r>
      <w:r>
        <w:rPr>
          <w:rFonts w:ascii="SimSun" w:hAnsi="SimSun" w:eastAsia="SimSun" w:cs="SimSun"/>
          <w:sz w:val="18"/>
          <w:szCs w:val="18"/>
          <w:spacing w:val="-2"/>
          <w:position w:val="13"/>
        </w:rPr>
        <w:t>本率间的差额。</w:t>
      </w:r>
    </w:p>
    <w:p>
      <w:pPr>
        <w:ind w:left="18"/>
        <w:spacing w:line="220" w:lineRule="auto"/>
        <w:rPr>
          <w:rFonts w:ascii="SimSun" w:hAnsi="SimSun" w:eastAsia="SimSun" w:cs="SimSun"/>
          <w:sz w:val="18"/>
          <w:szCs w:val="18"/>
        </w:rPr>
      </w:pPr>
      <w:r>
        <w:rPr>
          <w:rFonts w:ascii="Times New Roman" w:hAnsi="Times New Roman" w:eastAsia="Times New Roman" w:cs="Times New Roman"/>
          <w:sz w:val="18"/>
          <w:szCs w:val="18"/>
          <w:spacing w:val="-1"/>
        </w:rPr>
        <w:t>2.  </w:t>
      </w:r>
      <w:r>
        <w:rPr>
          <w:rFonts w:ascii="SimSun" w:hAnsi="SimSun" w:eastAsia="SimSun" w:cs="SimSun"/>
          <w:sz w:val="18"/>
          <w:szCs w:val="18"/>
          <w:spacing w:val="-1"/>
        </w:rPr>
        <w:t>指利息净收入与平均生息资产总额的</w:t>
      </w:r>
      <w:r>
        <w:rPr>
          <w:rFonts w:ascii="SimSun" w:hAnsi="SimSun" w:eastAsia="SimSun" w:cs="SimSun"/>
          <w:sz w:val="18"/>
          <w:szCs w:val="18"/>
          <w:spacing w:val="-2"/>
        </w:rPr>
        <w:t>比率。</w:t>
      </w:r>
    </w:p>
    <w:p>
      <w:pPr>
        <w:spacing w:line="220" w:lineRule="auto"/>
        <w:sectPr>
          <w:footerReference w:type="default" r:id="rId22"/>
          <w:pgSz w:w="11907" w:h="16839"/>
          <w:pgMar w:top="1132" w:right="1133" w:bottom="1375" w:left="1118" w:header="0" w:footer="1211" w:gutter="0"/>
        </w:sectPr>
        <w:rPr>
          <w:rFonts w:ascii="SimSun" w:hAnsi="SimSun" w:eastAsia="SimSun" w:cs="SimSun"/>
          <w:sz w:val="18"/>
          <w:szCs w:val="18"/>
        </w:rPr>
      </w:pPr>
    </w:p>
    <w:p>
      <w:pPr>
        <w:ind w:left="21"/>
        <w:spacing w:before="35" w:line="220" w:lineRule="auto"/>
        <w:rPr>
          <w:rFonts w:ascii="SimSun" w:hAnsi="SimSun" w:eastAsia="SimSun" w:cs="SimSun"/>
          <w:sz w:val="18"/>
          <w:szCs w:val="18"/>
        </w:rPr>
      </w:pPr>
      <w:r>
        <w:pict>
          <v:rect id="_x0000_s122" style="position:absolute;margin-left:261.41pt;margin-top:635.62pt;mso-position-vertical-relative:page;mso-position-horizontal-relative:page;width:187.5pt;height:18.75pt;z-index:251718656;" o:allowincell="f" fillcolor="#DBE5F1" filled="true" stroked="false"/>
        </w:pict>
      </w:r>
      <w:r>
        <w:rPr>
          <w:rFonts w:ascii="Times New Roman" w:hAnsi="Times New Roman" w:eastAsia="Times New Roman" w:cs="Times New Roman"/>
          <w:sz w:val="18"/>
          <w:szCs w:val="18"/>
          <w:spacing w:val="-1"/>
        </w:rPr>
        <w:t>3.  </w:t>
      </w:r>
      <w:r>
        <w:rPr>
          <w:rFonts w:ascii="SimSun" w:hAnsi="SimSun" w:eastAsia="SimSun" w:cs="SimSun"/>
          <w:sz w:val="18"/>
          <w:szCs w:val="18"/>
          <w:spacing w:val="-1"/>
        </w:rPr>
        <w:t>考虑债券利息收入免税的影响。</w:t>
      </w:r>
    </w:p>
    <w:p>
      <w:pPr>
        <w:ind w:left="39" w:right="190" w:firstLine="402"/>
        <w:spacing w:before="252" w:line="269" w:lineRule="auto"/>
        <w:rPr>
          <w:rFonts w:ascii="SimSun" w:hAnsi="SimSun" w:eastAsia="SimSun" w:cs="SimSun"/>
          <w:sz w:val="21"/>
          <w:szCs w:val="21"/>
        </w:rPr>
      </w:pPr>
      <w:r>
        <w:rPr>
          <w:rFonts w:ascii="SimSun" w:hAnsi="SimSun" w:eastAsia="SimSun" w:cs="SimSun"/>
          <w:sz w:val="21"/>
          <w:szCs w:val="21"/>
          <w:spacing w:val="-3"/>
        </w:rPr>
        <w:t>报告期内, 本集团利息净收入同比增长</w:t>
      </w:r>
      <w:r>
        <w:rPr>
          <w:rFonts w:ascii="SimSun" w:hAnsi="SimSun" w:eastAsia="SimSun" w:cs="SimSun"/>
          <w:sz w:val="21"/>
          <w:szCs w:val="21"/>
          <w:spacing w:val="-34"/>
        </w:rPr>
        <w:t xml:space="preserve"> </w:t>
      </w:r>
      <w:r>
        <w:rPr>
          <w:rFonts w:ascii="Times New Roman" w:hAnsi="Times New Roman" w:eastAsia="Times New Roman" w:cs="Times New Roman"/>
          <w:sz w:val="21"/>
          <w:szCs w:val="21"/>
          <w:spacing w:val="-3"/>
        </w:rPr>
        <w:t>5.10%</w:t>
      </w:r>
      <w:r>
        <w:rPr>
          <w:rFonts w:ascii="SimSun" w:hAnsi="SimSun" w:eastAsia="SimSun" w:cs="SimSun"/>
          <w:sz w:val="21"/>
          <w:szCs w:val="21"/>
          <w:spacing w:val="-3"/>
        </w:rPr>
        <w:t>, 净利差</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3"/>
        </w:rPr>
        <w:t>1.37%</w:t>
      </w:r>
      <w:r>
        <w:rPr>
          <w:rFonts w:ascii="SimSun" w:hAnsi="SimSun" w:eastAsia="SimSun" w:cs="SimSun"/>
          <w:sz w:val="21"/>
          <w:szCs w:val="21"/>
          <w:spacing w:val="-3"/>
        </w:rPr>
        <w:t>,</w:t>
      </w:r>
      <w:r>
        <w:rPr>
          <w:rFonts w:ascii="SimSun" w:hAnsi="SimSun" w:eastAsia="SimSun" w:cs="SimSun"/>
          <w:sz w:val="21"/>
          <w:szCs w:val="21"/>
          <w:spacing w:val="40"/>
        </w:rPr>
        <w:t xml:space="preserve"> </w:t>
      </w:r>
      <w:r>
        <w:rPr>
          <w:rFonts w:ascii="SimSun" w:hAnsi="SimSun" w:eastAsia="SimSun" w:cs="SimSun"/>
          <w:sz w:val="21"/>
          <w:szCs w:val="21"/>
          <w:spacing w:val="-3"/>
        </w:rPr>
        <w:t>同比下降</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3"/>
        </w:rPr>
        <w:t>10</w:t>
      </w:r>
      <w:r>
        <w:rPr>
          <w:rFonts w:ascii="Times New Roman" w:hAnsi="Times New Roman" w:eastAsia="Times New Roman" w:cs="Times New Roman"/>
          <w:sz w:val="21"/>
          <w:szCs w:val="21"/>
          <w:spacing w:val="6"/>
        </w:rPr>
        <w:t xml:space="preserve"> </w:t>
      </w:r>
      <w:r>
        <w:rPr>
          <w:rFonts w:ascii="SimSun" w:hAnsi="SimSun" w:eastAsia="SimSun" w:cs="SimSun"/>
          <w:sz w:val="21"/>
          <w:szCs w:val="21"/>
          <w:spacing w:val="-3"/>
        </w:rPr>
        <w:t>个基点, 净利息收益率</w:t>
      </w:r>
      <w:r>
        <w:rPr>
          <w:rFonts w:ascii="SimSun" w:hAnsi="SimSun" w:eastAsia="SimSun" w:cs="SimSun"/>
          <w:sz w:val="21"/>
          <w:szCs w:val="21"/>
        </w:rPr>
        <w:t xml:space="preserve"> </w:t>
      </w:r>
      <w:r>
        <w:rPr>
          <w:rFonts w:ascii="Times New Roman" w:hAnsi="Times New Roman" w:eastAsia="Times New Roman" w:cs="Times New Roman"/>
          <w:sz w:val="21"/>
          <w:szCs w:val="21"/>
          <w:spacing w:val="-6"/>
        </w:rPr>
        <w:t>1.48%</w:t>
      </w:r>
      <w:r>
        <w:rPr>
          <w:rFonts w:ascii="SimSun" w:hAnsi="SimSun" w:eastAsia="SimSun" w:cs="SimSun"/>
          <w:sz w:val="21"/>
          <w:szCs w:val="21"/>
          <w:spacing w:val="-6"/>
        </w:rPr>
        <w:t>,</w:t>
      </w:r>
      <w:r>
        <w:rPr>
          <w:rFonts w:ascii="SimSun" w:hAnsi="SimSun" w:eastAsia="SimSun" w:cs="SimSun"/>
          <w:sz w:val="21"/>
          <w:szCs w:val="21"/>
          <w:spacing w:val="61"/>
        </w:rPr>
        <w:t xml:space="preserve"> </w:t>
      </w:r>
      <w:r>
        <w:rPr>
          <w:rFonts w:ascii="SimSun" w:hAnsi="SimSun" w:eastAsia="SimSun" w:cs="SimSun"/>
          <w:sz w:val="21"/>
          <w:szCs w:val="21"/>
          <w:spacing w:val="-6"/>
        </w:rPr>
        <w:t>同比下降</w:t>
      </w:r>
      <w:r>
        <w:rPr>
          <w:rFonts w:ascii="SimSun" w:hAnsi="SimSun" w:eastAsia="SimSun" w:cs="SimSun"/>
          <w:sz w:val="21"/>
          <w:szCs w:val="21"/>
          <w:spacing w:val="-40"/>
        </w:rPr>
        <w:t xml:space="preserve"> </w:t>
      </w:r>
      <w:r>
        <w:rPr>
          <w:rFonts w:ascii="Times New Roman" w:hAnsi="Times New Roman" w:eastAsia="Times New Roman" w:cs="Times New Roman"/>
          <w:sz w:val="21"/>
          <w:szCs w:val="21"/>
          <w:spacing w:val="-6"/>
        </w:rPr>
        <w:t>8 </w:t>
      </w:r>
      <w:r>
        <w:rPr>
          <w:rFonts w:ascii="SimSun" w:hAnsi="SimSun" w:eastAsia="SimSun" w:cs="SimSun"/>
          <w:sz w:val="21"/>
          <w:szCs w:val="21"/>
          <w:spacing w:val="-6"/>
        </w:rPr>
        <w:t>个基点。</w:t>
      </w:r>
    </w:p>
    <w:p>
      <w:pPr>
        <w:pStyle w:val="BodyText"/>
        <w:rPr/>
      </w:pPr>
      <w:r/>
    </w:p>
    <w:p>
      <w:pPr>
        <w:ind w:left="443"/>
        <w:spacing w:before="68" w:line="221" w:lineRule="auto"/>
        <w:rPr>
          <w:rFonts w:ascii="SimSun" w:hAnsi="SimSun" w:eastAsia="SimSun" w:cs="SimSun"/>
          <w:sz w:val="21"/>
          <w:szCs w:val="21"/>
        </w:rPr>
      </w:pPr>
      <w:r>
        <w:rPr>
          <w:rFonts w:ascii="SimSun" w:hAnsi="SimSun" w:eastAsia="SimSun" w:cs="SimSun"/>
          <w:sz w:val="21"/>
          <w:szCs w:val="21"/>
          <w:spacing w:val="-1"/>
        </w:rPr>
        <w:t>本集团在所示期间各季度的净利差和净利息收益率如下:</w:t>
      </w:r>
    </w:p>
    <w:p>
      <w:pPr>
        <w:spacing w:line="204" w:lineRule="exact"/>
        <w:rPr/>
      </w:pPr>
      <w:r/>
    </w:p>
    <w:tbl>
      <w:tblPr>
        <w:tblStyle w:val="TableNormal"/>
        <w:tblW w:w="9659"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335"/>
        <w:gridCol w:w="3520"/>
        <w:gridCol w:w="1600"/>
        <w:gridCol w:w="1367"/>
        <w:gridCol w:w="1837"/>
      </w:tblGrid>
      <w:tr>
        <w:trPr>
          <w:trHeight w:val="767" w:hRule="atLeast"/>
        </w:trPr>
        <w:tc>
          <w:tcPr>
            <w:tcW w:w="1335" w:type="dxa"/>
            <w:vAlign w:val="top"/>
            <w:tcBorders>
              <w:bottom w:val="single" w:color="000000" w:sz="2" w:space="0"/>
              <w:top w:val="single" w:color="000000" w:sz="2" w:space="0"/>
            </w:tcBorders>
          </w:tcPr>
          <w:p>
            <w:pPr>
              <w:spacing w:line="246" w:lineRule="auto"/>
              <w:rPr>
                <w:rFonts w:ascii="Arial"/>
                <w:sz w:val="21"/>
              </w:rPr>
            </w:pPr>
            <w:r/>
          </w:p>
          <w:p>
            <w:pPr>
              <w:pStyle w:val="TableText"/>
              <w:ind w:left="173"/>
              <w:spacing w:before="58" w:line="223" w:lineRule="auto"/>
              <w:rPr>
                <w:sz w:val="18"/>
                <w:szCs w:val="18"/>
              </w:rPr>
            </w:pPr>
            <w:r>
              <w:rPr>
                <w:sz w:val="18"/>
                <w:szCs w:val="18"/>
                <w:b/>
                <w:bCs/>
                <w:spacing w:val="-2"/>
              </w:rPr>
              <w:t>(</w:t>
            </w:r>
            <w:r>
              <w:rPr>
                <w:rFonts w:ascii="Times New Roman" w:hAnsi="Times New Roman" w:eastAsia="Times New Roman" w:cs="Times New Roman"/>
                <w:sz w:val="18"/>
                <w:szCs w:val="18"/>
                <w:b/>
                <w:bCs/>
                <w:spacing w:val="-2"/>
              </w:rPr>
              <w:t>%</w:t>
            </w:r>
            <w:r>
              <w:rPr>
                <w:sz w:val="18"/>
                <w:szCs w:val="18"/>
                <w:b/>
                <w:bCs/>
                <w:spacing w:val="-2"/>
              </w:rPr>
              <w:t>)</w:t>
            </w:r>
          </w:p>
        </w:tc>
        <w:tc>
          <w:tcPr>
            <w:tcW w:w="8324" w:type="dxa"/>
            <w:vAlign w:val="top"/>
            <w:gridSpan w:val="4"/>
            <w:tcBorders>
              <w:bottom w:val="single" w:color="000000" w:sz="2" w:space="0"/>
              <w:top w:val="single" w:color="000000" w:sz="2" w:space="0"/>
            </w:tcBorders>
          </w:tcPr>
          <w:p>
            <w:pPr>
              <w:pStyle w:val="TableText"/>
              <w:ind w:firstLine="801"/>
              <w:spacing w:before="4" w:line="752" w:lineRule="exact"/>
              <w:rPr/>
            </w:pPr>
            <w:r>
              <w:rPr>
                <w:position w:val="-15"/>
              </w:rPr>
              <w:pict>
                <v:group id="_x0000_s124" style="mso-position-vertical-relative:line;mso-position-horizontal-relative:char;width:375.95pt;height:37.95pt;" filled="false" stroked="false" coordsize="7519,759" coordorigin="0,0">
                  <v:rect id="_x0000_s126" style="position:absolute;left:2;top:0;width:7515;height:759;" fillcolor="#DBE5F1" filled="true" stroked="false"/>
                  <v:shape id="_x0000_s128" style="position:absolute;left:1480;top:89;width:6000;height:605;" filled="false" stroked="false" type="#_x0000_t202">
                    <v:fill on="false"/>
                    <v:stroke on="false"/>
                    <v:path/>
                    <v:imagedata o:title=""/>
                    <o:lock v:ext="edit" aspectratio="false"/>
                    <v:textbox inset="0mm,0mm,0mm,0mm">
                      <w:txbxContent>
                        <w:p>
                          <w:pPr>
                            <w:ind w:left="2014"/>
                            <w:spacing w:before="20" w:line="220" w:lineRule="auto"/>
                            <w:rPr>
                              <w:rFonts w:ascii="SimSun" w:hAnsi="SimSun" w:eastAsia="SimSun" w:cs="SimSun"/>
                              <w:sz w:val="18"/>
                              <w:szCs w:val="18"/>
                            </w:rPr>
                          </w:pPr>
                          <w:r>
                            <w:rPr>
                              <w:rFonts w:ascii="Times New Roman" w:hAnsi="Times New Roman" w:eastAsia="Times New Roman" w:cs="Times New Roman"/>
                              <w:sz w:val="18"/>
                              <w:szCs w:val="18"/>
                              <w:b/>
                              <w:bCs/>
                              <w:spacing w:val="-2"/>
                            </w:rPr>
                            <w:t>2022</w:t>
                          </w:r>
                          <w:r>
                            <w:rPr>
                              <w:rFonts w:ascii="SimSun" w:hAnsi="SimSun" w:eastAsia="SimSun" w:cs="SimSun"/>
                              <w:sz w:val="18"/>
                              <w:szCs w:val="18"/>
                              <w:b/>
                              <w:bCs/>
                              <w:spacing w:val="-2"/>
                            </w:rPr>
                            <w:t>年</w:t>
                          </w:r>
                        </w:p>
                        <w:p>
                          <w:pPr>
                            <w:ind w:left="20"/>
                            <w:spacing w:before="169" w:line="220" w:lineRule="auto"/>
                            <w:rPr>
                              <w:rFonts w:ascii="SimSun" w:hAnsi="SimSun" w:eastAsia="SimSun" w:cs="SimSun"/>
                              <w:sz w:val="18"/>
                              <w:szCs w:val="18"/>
                            </w:rPr>
                          </w:pPr>
                          <w:r>
                            <w:rPr>
                              <w:rFonts w:ascii="Times New Roman" w:hAnsi="Times New Roman" w:eastAsia="Times New Roman" w:cs="Times New Roman"/>
                              <w:sz w:val="18"/>
                              <w:szCs w:val="18"/>
                              <w:b/>
                              <w:bCs/>
                              <w:spacing w:val="-3"/>
                            </w:rPr>
                            <w:t>1-3</w:t>
                          </w:r>
                          <w:r>
                            <w:rPr>
                              <w:rFonts w:ascii="SimSun" w:hAnsi="SimSun" w:eastAsia="SimSun" w:cs="SimSun"/>
                              <w:sz w:val="18"/>
                              <w:szCs w:val="18"/>
                              <w:b/>
                              <w:bCs/>
                              <w:spacing w:val="-3"/>
                            </w:rPr>
                            <w:t>月</w:t>
                          </w:r>
                          <w:r>
                            <w:rPr>
                              <w:rFonts w:ascii="SimSun" w:hAnsi="SimSun" w:eastAsia="SimSun" w:cs="SimSun"/>
                              <w:sz w:val="18"/>
                              <w:szCs w:val="18"/>
                              <w:spacing w:val="1"/>
                            </w:rPr>
                            <w:t xml:space="preserve">                 </w:t>
                          </w:r>
                          <w:r>
                            <w:rPr>
                              <w:rFonts w:ascii="Times New Roman" w:hAnsi="Times New Roman" w:eastAsia="Times New Roman" w:cs="Times New Roman"/>
                              <w:sz w:val="18"/>
                              <w:szCs w:val="18"/>
                              <w:b/>
                              <w:bCs/>
                              <w:spacing w:val="-3"/>
                            </w:rPr>
                            <w:t>4-6</w:t>
                          </w:r>
                          <w:r>
                            <w:rPr>
                              <w:rFonts w:ascii="SimSun" w:hAnsi="SimSun" w:eastAsia="SimSun" w:cs="SimSun"/>
                              <w:sz w:val="18"/>
                              <w:szCs w:val="18"/>
                              <w:b/>
                              <w:bCs/>
                              <w:spacing w:val="-3"/>
                            </w:rPr>
                            <w:t>月</w:t>
                          </w:r>
                          <w:r>
                            <w:rPr>
                              <w:rFonts w:ascii="SimSun" w:hAnsi="SimSun" w:eastAsia="SimSun" w:cs="SimSun"/>
                              <w:sz w:val="18"/>
                              <w:szCs w:val="18"/>
                              <w:spacing w:val="2"/>
                            </w:rPr>
                            <w:t xml:space="preserve">               </w:t>
                          </w:r>
                          <w:r>
                            <w:rPr>
                              <w:rFonts w:ascii="Times New Roman" w:hAnsi="Times New Roman" w:eastAsia="Times New Roman" w:cs="Times New Roman"/>
                              <w:sz w:val="18"/>
                              <w:szCs w:val="18"/>
                              <w:b/>
                              <w:bCs/>
                              <w:spacing w:val="-3"/>
                            </w:rPr>
                            <w:t>7-9</w:t>
                          </w:r>
                          <w:r>
                            <w:rPr>
                              <w:rFonts w:ascii="SimSun" w:hAnsi="SimSun" w:eastAsia="SimSun" w:cs="SimSun"/>
                              <w:sz w:val="18"/>
                              <w:szCs w:val="18"/>
                              <w:b/>
                              <w:bCs/>
                              <w:spacing w:val="-3"/>
                            </w:rPr>
                            <w:t>月</w:t>
                          </w:r>
                          <w:r>
                            <w:rPr>
                              <w:rFonts w:ascii="SimSun" w:hAnsi="SimSun" w:eastAsia="SimSun" w:cs="SimSun"/>
                              <w:sz w:val="18"/>
                              <w:szCs w:val="18"/>
                              <w:spacing w:val="3"/>
                            </w:rPr>
                            <w:t xml:space="preserve">             </w:t>
                          </w:r>
                          <w:r>
                            <w:rPr>
                              <w:rFonts w:ascii="Times New Roman" w:hAnsi="Times New Roman" w:eastAsia="Times New Roman" w:cs="Times New Roman"/>
                              <w:sz w:val="18"/>
                              <w:szCs w:val="18"/>
                              <w:b/>
                              <w:bCs/>
                              <w:spacing w:val="-3"/>
                            </w:rPr>
                            <w:t>10-12</w:t>
                          </w:r>
                          <w:r>
                            <w:rPr>
                              <w:rFonts w:ascii="SimSun" w:hAnsi="SimSun" w:eastAsia="SimSun" w:cs="SimSun"/>
                              <w:sz w:val="18"/>
                              <w:szCs w:val="18"/>
                              <w:b/>
                              <w:bCs/>
                              <w:spacing w:val="-3"/>
                            </w:rPr>
                            <w:t>月</w:t>
                          </w:r>
                        </w:p>
                      </w:txbxContent>
                    </v:textbox>
                  </v:shape>
                  <v:shape id="_x0000_s130" style="position:absolute;left:0;top:374;width:7519;height:10;" fillcolor="#000000" filled="true" stroked="false" coordsize="7519,10" coordorigin="0,0" path="m0,9l1963,9l1963,0l0,0l0,9xem1963,9l1973,9l1973,0l1963,0l1963,9xem1973,9l3917,9l3917,0l1973,0l1973,9xem3917,9l3927,9l3927,0l3917,0l3917,9xem3927,9l5713,9l5713,0l3927,0l3927,9xem5713,9l5723,9l5723,0l5713,0l5713,9xem5723,9l7518,9l7518,0l5723,0l5723,9xe"/>
                </v:group>
              </w:pict>
            </w:r>
          </w:p>
        </w:tc>
      </w:tr>
      <w:tr>
        <w:trPr>
          <w:trHeight w:val="379" w:hRule="atLeast"/>
        </w:trPr>
        <w:tc>
          <w:tcPr>
            <w:tcW w:w="1335" w:type="dxa"/>
            <w:vAlign w:val="top"/>
            <w:tcBorders>
              <w:bottom w:val="single" w:color="000000" w:sz="2" w:space="0"/>
              <w:top w:val="single" w:color="000000" w:sz="2" w:space="0"/>
            </w:tcBorders>
          </w:tcPr>
          <w:p>
            <w:pPr>
              <w:pStyle w:val="TableText"/>
              <w:ind w:left="81"/>
              <w:spacing w:before="109" w:line="221" w:lineRule="auto"/>
              <w:rPr>
                <w:sz w:val="18"/>
                <w:szCs w:val="18"/>
              </w:rPr>
            </w:pPr>
            <w:r>
              <w:rPr>
                <w:sz w:val="18"/>
                <w:szCs w:val="18"/>
                <w:b/>
                <w:bCs/>
                <w:spacing w:val="-5"/>
              </w:rPr>
              <w:t>净利差</w:t>
            </w:r>
          </w:p>
        </w:tc>
        <w:tc>
          <w:tcPr>
            <w:tcW w:w="3520" w:type="dxa"/>
            <w:vAlign w:val="top"/>
            <w:tcBorders>
              <w:bottom w:val="single" w:color="000000" w:sz="2" w:space="0"/>
              <w:top w:val="single" w:color="000000" w:sz="2" w:space="0"/>
            </w:tcBorders>
          </w:tcPr>
          <w:p>
            <w:pPr>
              <w:ind w:firstLine="803"/>
              <w:spacing w:line="369" w:lineRule="exact"/>
              <w:rPr/>
            </w:pPr>
            <w:r>
              <w:rPr>
                <w:position w:val="-7"/>
              </w:rPr>
              <w:pict>
                <v:shape id="_x0000_s132" style="mso-position-vertical-relative:line;mso-position-horizontal-relative:char;width:98.1pt;height:18.75pt;" fillcolor="#DBE5F1" filled="true" stroked="false" type="#_x0000_t202">
                  <v:fill on="true"/>
                  <v:stroke on="false"/>
                  <v:path/>
                  <v:imagedata o:title=""/>
                  <o:lock v:ext="edit" aspectratio="false"/>
                  <v:textbox inset="0mm,0mm,0mm,0mm">
                    <w:txbxContent>
                      <w:p>
                        <w:pPr>
                          <w:ind w:left="1603"/>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1.48</w:t>
                        </w:r>
                      </w:p>
                    </w:txbxContent>
                  </v:textbox>
                </v:shape>
              </w:pict>
            </w:r>
          </w:p>
        </w:tc>
        <w:tc>
          <w:tcPr>
            <w:tcW w:w="1600" w:type="dxa"/>
            <w:vAlign w:val="top"/>
            <w:tcBorders>
              <w:bottom w:val="single" w:color="000000" w:sz="2" w:space="0"/>
              <w:top w:val="single" w:color="000000" w:sz="2" w:space="0"/>
            </w:tcBorders>
          </w:tcPr>
          <w:p>
            <w:pPr>
              <w:ind w:left="841"/>
              <w:spacing w:before="142"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17632" behindDoc="1" locked="0" layoutInCell="1" allowOverlap="1">
                      <wp:simplePos x="0" y="0"/>
                      <wp:positionH relativeFrom="column">
                        <wp:posOffset>-479297</wp:posOffset>
                      </wp:positionH>
                      <wp:positionV relativeFrom="paragraph">
                        <wp:posOffset>377</wp:posOffset>
                      </wp:positionV>
                      <wp:extent cx="1242694" cy="238125"/>
                      <wp:effectExtent l="0" t="0" r="0" b="0"/>
                      <wp:wrapNone/>
                      <wp:docPr id="6" name="Rect 6"/>
                      <wp:cNvGraphicFramePr/>
                      <a:graphic>
                        <a:graphicData uri="http://schemas.microsoft.com/office/word/2010/wordprocessingShape">
                          <wps:wsp>
                            <wps:cNvPr id="6" name="Rect 6"/>
                            <wps:cNvSpPr/>
                            <wps:spPr>
                              <a:xfrm>
                                <a:off x="-479297" y="377"/>
                                <a:ext cx="1242694"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34" style="position:absolute;margin-left:-37.74pt;margin-top:0.029725pt;mso-position-vertical-relative:text;mso-position-horizontal-relative:text;width:97.85pt;height:18.75pt;z-index:-251598848;" fillcolor="#DBE5F1" filled="true" stroked="false"/>
                  </w:pict>
                </mc:Fallback>
              </mc:AlternateContent>
            </w:r>
            <w:r>
              <w:rPr>
                <w:rFonts w:ascii="Times New Roman" w:hAnsi="Times New Roman" w:eastAsia="Times New Roman" w:cs="Times New Roman"/>
                <w:sz w:val="18"/>
                <w:szCs w:val="18"/>
                <w:b/>
                <w:bCs/>
                <w:spacing w:val="-3"/>
              </w:rPr>
              <w:t>1.39</w:t>
            </w:r>
          </w:p>
        </w:tc>
        <w:tc>
          <w:tcPr>
            <w:tcW w:w="1367" w:type="dxa"/>
            <w:vAlign w:val="top"/>
            <w:tcBorders>
              <w:bottom w:val="single" w:color="000000" w:sz="2" w:space="0"/>
              <w:top w:val="single" w:color="000000" w:sz="2" w:space="0"/>
            </w:tcBorders>
          </w:tcPr>
          <w:p>
            <w:pPr>
              <w:ind w:left="1036"/>
              <w:spacing w:before="142"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693056" behindDoc="1" locked="0" layoutInCell="1" allowOverlap="1">
                      <wp:simplePos x="0" y="0"/>
                      <wp:positionH relativeFrom="column">
                        <wp:posOffset>-252983</wp:posOffset>
                      </wp:positionH>
                      <wp:positionV relativeFrom="paragraph">
                        <wp:posOffset>377</wp:posOffset>
                      </wp:positionV>
                      <wp:extent cx="1139189" cy="238125"/>
                      <wp:effectExtent l="0" t="0" r="0" b="0"/>
                      <wp:wrapNone/>
                      <wp:docPr id="8" name="Rect 8"/>
                      <wp:cNvGraphicFramePr/>
                      <a:graphic>
                        <a:graphicData uri="http://schemas.microsoft.com/office/word/2010/wordprocessingShape">
                          <wps:wsp>
                            <wps:cNvPr id="8" name="Rect 8"/>
                            <wps:cNvSpPr/>
                            <wps:spPr>
                              <a:xfrm>
                                <a:off x="-252983" y="377"/>
                                <a:ext cx="1139189"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36" style="position:absolute;margin-left:-19.92pt;margin-top:0.029725pt;mso-position-vertical-relative:text;mso-position-horizontal-relative:text;width:89.7pt;height:18.75pt;z-index:-251623424;" fillcolor="#DBE5F1" filled="true" stroked="false"/>
                  </w:pict>
                </mc:Fallback>
              </mc:AlternateContent>
            </w:r>
            <w:r>
              <w:rPr>
                <w:rFonts w:ascii="Times New Roman" w:hAnsi="Times New Roman" w:eastAsia="Times New Roman" w:cs="Times New Roman"/>
                <w:sz w:val="18"/>
                <w:szCs w:val="18"/>
                <w:b/>
                <w:bCs/>
                <w:spacing w:val="-3"/>
              </w:rPr>
              <w:t>1.36</w:t>
            </w:r>
          </w:p>
        </w:tc>
        <w:tc>
          <w:tcPr>
            <w:shd w:val="clear" w:fill="DBE5F1"/>
            <w:tcW w:w="1837" w:type="dxa"/>
            <w:vAlign w:val="top"/>
            <w:tcBorders>
              <w:bottom w:val="single" w:color="000000" w:sz="2" w:space="0"/>
              <w:top w:val="single" w:color="000000" w:sz="2" w:space="0"/>
            </w:tcBorders>
          </w:tcPr>
          <w:p>
            <w:pPr>
              <w:ind w:left="1472"/>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1.29</w:t>
            </w:r>
          </w:p>
        </w:tc>
      </w:tr>
      <w:tr>
        <w:trPr>
          <w:trHeight w:val="378" w:hRule="atLeast"/>
        </w:trPr>
        <w:tc>
          <w:tcPr>
            <w:tcW w:w="1335" w:type="dxa"/>
            <w:vAlign w:val="top"/>
            <w:tcBorders>
              <w:bottom w:val="single" w:color="000000" w:sz="2" w:space="0"/>
              <w:top w:val="single" w:color="000000" w:sz="2" w:space="0"/>
            </w:tcBorders>
          </w:tcPr>
          <w:p>
            <w:pPr>
              <w:pStyle w:val="TableText"/>
              <w:ind w:left="81"/>
              <w:spacing w:before="110" w:line="220" w:lineRule="auto"/>
              <w:rPr>
                <w:sz w:val="18"/>
                <w:szCs w:val="18"/>
              </w:rPr>
            </w:pPr>
            <w:r>
              <w:rPr>
                <w:sz w:val="18"/>
                <w:szCs w:val="18"/>
                <w:b/>
                <w:bCs/>
                <w:spacing w:val="-3"/>
              </w:rPr>
              <w:t>净利息收益率</w:t>
            </w:r>
          </w:p>
        </w:tc>
        <w:tc>
          <w:tcPr>
            <w:tcW w:w="3520" w:type="dxa"/>
            <w:vAlign w:val="top"/>
            <w:tcBorders>
              <w:bottom w:val="single" w:color="000000" w:sz="2" w:space="0"/>
              <w:top w:val="single" w:color="000000" w:sz="2" w:space="0"/>
            </w:tcBorders>
          </w:tcPr>
          <w:p>
            <w:pPr>
              <w:ind w:firstLine="803"/>
              <w:spacing w:line="368" w:lineRule="exact"/>
              <w:rPr/>
            </w:pPr>
            <w:r>
              <w:rPr>
                <w:position w:val="-8"/>
              </w:rPr>
              <w:pict>
                <v:shape id="_x0000_s138" style="mso-position-vertical-relative:line;mso-position-horizontal-relative:char;width:98.1pt;height:18.75pt;" fillcolor="#DBE5F1" filled="true" stroked="false" type="#_x0000_t202">
                  <v:fill on="true"/>
                  <v:stroke on="false"/>
                  <v:path/>
                  <v:imagedata o:title=""/>
                  <o:lock v:ext="edit" aspectratio="false"/>
                  <v:textbox inset="0mm,0mm,0mm,0mm">
                    <w:txbxContent>
                      <w:p>
                        <w:pPr>
                          <w:ind w:left="1603"/>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1.56</w:t>
                        </w:r>
                      </w:p>
                    </w:txbxContent>
                  </v:textbox>
                </v:shape>
              </w:pict>
            </w:r>
          </w:p>
        </w:tc>
        <w:tc>
          <w:tcPr>
            <w:tcW w:w="1600" w:type="dxa"/>
            <w:vAlign w:val="top"/>
            <w:tcBorders>
              <w:bottom w:val="single" w:color="000000" w:sz="2" w:space="0"/>
              <w:top w:val="single" w:color="000000" w:sz="2" w:space="0"/>
            </w:tcBorders>
          </w:tcPr>
          <w:p>
            <w:pPr>
              <w:ind w:left="841"/>
              <w:spacing w:before="143"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692032" behindDoc="1" locked="0" layoutInCell="1" allowOverlap="1">
                      <wp:simplePos x="0" y="0"/>
                      <wp:positionH relativeFrom="column">
                        <wp:posOffset>-479297</wp:posOffset>
                      </wp:positionH>
                      <wp:positionV relativeFrom="paragraph">
                        <wp:posOffset>434</wp:posOffset>
                      </wp:positionV>
                      <wp:extent cx="1242694" cy="238125"/>
                      <wp:effectExtent l="0" t="0" r="0" b="0"/>
                      <wp:wrapNone/>
                      <wp:docPr id="10" name="Rect 10"/>
                      <wp:cNvGraphicFramePr/>
                      <a:graphic>
                        <a:graphicData uri="http://schemas.microsoft.com/office/word/2010/wordprocessingShape">
                          <wps:wsp>
                            <wps:cNvPr id="10" name="Rect 10"/>
                            <wps:cNvSpPr/>
                            <wps:spPr>
                              <a:xfrm>
                                <a:off x="-479297" y="434"/>
                                <a:ext cx="1242694"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40" style="position:absolute;margin-left:-37.74pt;margin-top:0.03418pt;mso-position-vertical-relative:text;mso-position-horizontal-relative:text;width:97.85pt;height:18.75pt;z-index:-251624448;" fillcolor="#DBE5F1" filled="true" stroked="false"/>
                  </w:pict>
                </mc:Fallback>
              </mc:AlternateContent>
            </w:r>
            <w:r>
              <w:rPr>
                <w:rFonts w:ascii="Times New Roman" w:hAnsi="Times New Roman" w:eastAsia="Times New Roman" w:cs="Times New Roman"/>
                <w:sz w:val="18"/>
                <w:szCs w:val="18"/>
                <w:b/>
                <w:bCs/>
                <w:spacing w:val="-3"/>
              </w:rPr>
              <w:t>1.49</w:t>
            </w:r>
          </w:p>
        </w:tc>
        <w:tc>
          <w:tcPr>
            <w:tcW w:w="1367" w:type="dxa"/>
            <w:vAlign w:val="top"/>
            <w:tcBorders>
              <w:bottom w:val="single" w:color="000000" w:sz="2" w:space="0"/>
              <w:top w:val="single" w:color="000000" w:sz="2" w:space="0"/>
            </w:tcBorders>
          </w:tcPr>
          <w:p>
            <w:pPr>
              <w:ind w:left="1036"/>
              <w:spacing w:before="143"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16608" behindDoc="1" locked="0" layoutInCell="1" allowOverlap="1">
                      <wp:simplePos x="0" y="0"/>
                      <wp:positionH relativeFrom="column">
                        <wp:posOffset>-252983</wp:posOffset>
                      </wp:positionH>
                      <wp:positionV relativeFrom="paragraph">
                        <wp:posOffset>434</wp:posOffset>
                      </wp:positionV>
                      <wp:extent cx="1139189" cy="238125"/>
                      <wp:effectExtent l="0" t="0" r="0" b="0"/>
                      <wp:wrapNone/>
                      <wp:docPr id="12" name="Rect 12"/>
                      <wp:cNvGraphicFramePr/>
                      <a:graphic>
                        <a:graphicData uri="http://schemas.microsoft.com/office/word/2010/wordprocessingShape">
                          <wps:wsp>
                            <wps:cNvPr id="12" name="Rect 12"/>
                            <wps:cNvSpPr/>
                            <wps:spPr>
                              <a:xfrm>
                                <a:off x="-252983" y="434"/>
                                <a:ext cx="1139189"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42" style="position:absolute;margin-left:-19.92pt;margin-top:0.03418pt;mso-position-vertical-relative:text;mso-position-horizontal-relative:text;width:89.7pt;height:18.75pt;z-index:-251599872;" fillcolor="#DBE5F1" filled="true" stroked="false"/>
                  </w:pict>
                </mc:Fallback>
              </mc:AlternateContent>
            </w:r>
            <w:r>
              <w:rPr>
                <w:rFonts w:ascii="Times New Roman" w:hAnsi="Times New Roman" w:eastAsia="Times New Roman" w:cs="Times New Roman"/>
                <w:sz w:val="18"/>
                <w:szCs w:val="18"/>
                <w:b/>
                <w:bCs/>
                <w:spacing w:val="-3"/>
              </w:rPr>
              <w:t>1.46</w:t>
            </w:r>
          </w:p>
        </w:tc>
        <w:tc>
          <w:tcPr>
            <w:shd w:val="clear" w:fill="DBE5F1"/>
            <w:tcW w:w="1837" w:type="dxa"/>
            <w:vAlign w:val="top"/>
            <w:tcBorders>
              <w:bottom w:val="single" w:color="000000" w:sz="2" w:space="0"/>
              <w:top w:val="single" w:color="000000" w:sz="2" w:space="0"/>
            </w:tcBorders>
          </w:tcPr>
          <w:p>
            <w:pPr>
              <w:ind w:left="1472"/>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1.41</w:t>
            </w:r>
          </w:p>
        </w:tc>
      </w:tr>
      <w:tr>
        <w:trPr>
          <w:trHeight w:val="379" w:hRule="atLeast"/>
        </w:trPr>
        <w:tc>
          <w:tcPr>
            <w:tcW w:w="1335" w:type="dxa"/>
            <w:vAlign w:val="top"/>
            <w:tcBorders>
              <w:bottom w:val="single" w:color="000000" w:sz="2" w:space="0"/>
              <w:top w:val="single" w:color="000000" w:sz="2" w:space="0"/>
            </w:tcBorders>
          </w:tcPr>
          <w:p>
            <w:pPr>
              <w:pStyle w:val="TableText"/>
              <w:ind w:left="81"/>
              <w:spacing w:before="96" w:line="236" w:lineRule="auto"/>
              <w:rPr>
                <w:sz w:val="9"/>
                <w:szCs w:val="9"/>
              </w:rPr>
            </w:pPr>
            <w:r>
              <w:rPr>
                <w:sz w:val="18"/>
                <w:szCs w:val="18"/>
                <w:b/>
                <w:bCs/>
                <w:spacing w:val="-3"/>
              </w:rPr>
              <w:t>净利差</w:t>
            </w:r>
            <w:r>
              <w:rPr>
                <w:sz w:val="9"/>
                <w:szCs w:val="9"/>
                <w:b/>
                <w:bCs/>
                <w:spacing w:val="-3"/>
                <w:position w:val="8"/>
              </w:rPr>
              <w:t>注</w:t>
            </w:r>
          </w:p>
        </w:tc>
        <w:tc>
          <w:tcPr>
            <w:tcW w:w="3520" w:type="dxa"/>
            <w:vAlign w:val="top"/>
            <w:tcBorders>
              <w:bottom w:val="single" w:color="000000" w:sz="2" w:space="0"/>
              <w:top w:val="single" w:color="000000" w:sz="2" w:space="0"/>
            </w:tcBorders>
          </w:tcPr>
          <w:p>
            <w:pPr>
              <w:ind w:firstLine="803"/>
              <w:spacing w:before="1" w:line="368" w:lineRule="exact"/>
              <w:rPr/>
            </w:pPr>
            <w:r>
              <w:rPr>
                <w:position w:val="-8"/>
              </w:rPr>
              <w:pict>
                <v:shape id="_x0000_s144" style="mso-position-vertical-relative:line;mso-position-horizontal-relative:char;width:98.1pt;height:18.75pt;" fillcolor="#DBE5F1" filled="true" stroked="false" type="#_x0000_t202">
                  <v:fill on="true"/>
                  <v:stroke on="false"/>
                  <v:path/>
                  <v:imagedata o:title=""/>
                  <o:lock v:ext="edit" aspectratio="false"/>
                  <v:textbox inset="0mm,0mm,0mm,0mm">
                    <w:txbxContent>
                      <w:p>
                        <w:pPr>
                          <w:ind w:left="1603"/>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1.69</w:t>
                        </w:r>
                      </w:p>
                    </w:txbxContent>
                  </v:textbox>
                </v:shape>
              </w:pict>
            </w:r>
          </w:p>
        </w:tc>
        <w:tc>
          <w:tcPr>
            <w:tcW w:w="1600" w:type="dxa"/>
            <w:vAlign w:val="top"/>
            <w:tcBorders>
              <w:bottom w:val="single" w:color="000000" w:sz="2" w:space="0"/>
              <w:top w:val="single" w:color="000000" w:sz="2" w:space="0"/>
            </w:tcBorders>
          </w:tcPr>
          <w:p>
            <w:pPr>
              <w:ind w:left="841"/>
              <w:spacing w:before="144"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15584" behindDoc="1" locked="0" layoutInCell="1" allowOverlap="1">
                      <wp:simplePos x="0" y="0"/>
                      <wp:positionH relativeFrom="column">
                        <wp:posOffset>-479297</wp:posOffset>
                      </wp:positionH>
                      <wp:positionV relativeFrom="paragraph">
                        <wp:posOffset>1144</wp:posOffset>
                      </wp:positionV>
                      <wp:extent cx="1242694" cy="238125"/>
                      <wp:effectExtent l="0" t="0" r="0" b="0"/>
                      <wp:wrapNone/>
                      <wp:docPr id="14" name="Rect 14"/>
                      <wp:cNvGraphicFramePr/>
                      <a:graphic>
                        <a:graphicData uri="http://schemas.microsoft.com/office/word/2010/wordprocessingShape">
                          <wps:wsp>
                            <wps:cNvPr id="14" name="Rect 14"/>
                            <wps:cNvSpPr/>
                            <wps:spPr>
                              <a:xfrm>
                                <a:off x="-479297" y="1144"/>
                                <a:ext cx="1242694"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46" style="position:absolute;margin-left:-37.74pt;margin-top:0.090149pt;mso-position-vertical-relative:text;mso-position-horizontal-relative:text;width:97.85pt;height:18.75pt;z-index:-251600896;" fillcolor="#DBE5F1" filled="true" stroked="false"/>
                  </w:pict>
                </mc:Fallback>
              </mc:AlternateContent>
            </w:r>
            <w:r>
              <w:rPr>
                <w:rFonts w:ascii="Times New Roman" w:hAnsi="Times New Roman" w:eastAsia="Times New Roman" w:cs="Times New Roman"/>
                <w:sz w:val="18"/>
                <w:szCs w:val="18"/>
                <w:b/>
                <w:bCs/>
                <w:spacing w:val="-3"/>
              </w:rPr>
              <w:t>1.60</w:t>
            </w:r>
          </w:p>
        </w:tc>
        <w:tc>
          <w:tcPr>
            <w:tcW w:w="1367" w:type="dxa"/>
            <w:vAlign w:val="top"/>
            <w:tcBorders>
              <w:bottom w:val="single" w:color="000000" w:sz="2" w:space="0"/>
              <w:top w:val="single" w:color="000000" w:sz="2" w:space="0"/>
            </w:tcBorders>
          </w:tcPr>
          <w:p>
            <w:pPr>
              <w:ind w:left="1036"/>
              <w:spacing w:before="144"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14560" behindDoc="1" locked="0" layoutInCell="1" allowOverlap="1">
                      <wp:simplePos x="0" y="0"/>
                      <wp:positionH relativeFrom="column">
                        <wp:posOffset>-252983</wp:posOffset>
                      </wp:positionH>
                      <wp:positionV relativeFrom="paragraph">
                        <wp:posOffset>1144</wp:posOffset>
                      </wp:positionV>
                      <wp:extent cx="1139189" cy="238125"/>
                      <wp:effectExtent l="0" t="0" r="0" b="0"/>
                      <wp:wrapNone/>
                      <wp:docPr id="16" name="Rect 16"/>
                      <wp:cNvGraphicFramePr/>
                      <a:graphic>
                        <a:graphicData uri="http://schemas.microsoft.com/office/word/2010/wordprocessingShape">
                          <wps:wsp>
                            <wps:cNvPr id="16" name="Rect 16"/>
                            <wps:cNvSpPr/>
                            <wps:spPr>
                              <a:xfrm>
                                <a:off x="-252983" y="1144"/>
                                <a:ext cx="1139189"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48" style="position:absolute;margin-left:-19.92pt;margin-top:0.090149pt;mso-position-vertical-relative:text;mso-position-horizontal-relative:text;width:89.7pt;height:18.75pt;z-index:-251601920;" fillcolor="#DBE5F1" filled="true" stroked="false"/>
                  </w:pict>
                </mc:Fallback>
              </mc:AlternateContent>
            </w:r>
            <w:r>
              <w:rPr>
                <w:rFonts w:ascii="Times New Roman" w:hAnsi="Times New Roman" w:eastAsia="Times New Roman" w:cs="Times New Roman"/>
                <w:sz w:val="18"/>
                <w:szCs w:val="18"/>
                <w:b/>
                <w:bCs/>
                <w:spacing w:val="-3"/>
              </w:rPr>
              <w:t>1.56</w:t>
            </w:r>
          </w:p>
        </w:tc>
        <w:tc>
          <w:tcPr>
            <w:shd w:val="clear" w:fill="DBE5F1"/>
            <w:tcW w:w="1837" w:type="dxa"/>
            <w:vAlign w:val="top"/>
            <w:tcBorders>
              <w:bottom w:val="single" w:color="000000" w:sz="2" w:space="0"/>
              <w:top w:val="single" w:color="000000" w:sz="2" w:space="0"/>
            </w:tcBorders>
          </w:tcPr>
          <w:p>
            <w:pPr>
              <w:ind w:left="1472"/>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1.50</w:t>
            </w:r>
          </w:p>
        </w:tc>
      </w:tr>
      <w:tr>
        <w:trPr>
          <w:trHeight w:val="379" w:hRule="atLeast"/>
        </w:trPr>
        <w:tc>
          <w:tcPr>
            <w:tcW w:w="1335" w:type="dxa"/>
            <w:vAlign w:val="top"/>
            <w:tcBorders>
              <w:bottom w:val="single" w:color="000000" w:sz="2" w:space="0"/>
              <w:top w:val="single" w:color="000000" w:sz="2" w:space="0"/>
            </w:tcBorders>
          </w:tcPr>
          <w:p>
            <w:pPr>
              <w:pStyle w:val="TableText"/>
              <w:ind w:left="81"/>
              <w:spacing w:before="96" w:line="236" w:lineRule="auto"/>
              <w:rPr>
                <w:sz w:val="9"/>
                <w:szCs w:val="9"/>
              </w:rPr>
            </w:pPr>
            <w:r>
              <w:rPr>
                <w:sz w:val="18"/>
                <w:szCs w:val="18"/>
                <w:b/>
                <w:bCs/>
                <w:spacing w:val="-3"/>
              </w:rPr>
              <w:t>净利息收益率</w:t>
            </w:r>
            <w:r>
              <w:rPr>
                <w:sz w:val="9"/>
                <w:szCs w:val="9"/>
                <w:b/>
                <w:bCs/>
                <w:spacing w:val="-3"/>
                <w:position w:val="8"/>
              </w:rPr>
              <w:t>注</w:t>
            </w:r>
          </w:p>
        </w:tc>
        <w:tc>
          <w:tcPr>
            <w:tcW w:w="3520" w:type="dxa"/>
            <w:vAlign w:val="top"/>
            <w:tcBorders>
              <w:bottom w:val="single" w:color="000000" w:sz="2" w:space="0"/>
              <w:top w:val="single" w:color="000000" w:sz="2" w:space="0"/>
            </w:tcBorders>
          </w:tcPr>
          <w:p>
            <w:pPr>
              <w:ind w:firstLine="803"/>
              <w:spacing w:before="2" w:line="367" w:lineRule="exact"/>
              <w:rPr/>
            </w:pPr>
            <w:r>
              <w:rPr>
                <w:position w:val="-8"/>
              </w:rPr>
              <w:pict>
                <v:shape id="_x0000_s150" style="mso-position-vertical-relative:line;mso-position-horizontal-relative:char;width:98.1pt;height:18.75pt;" fillcolor="#DBE5F1" filled="true" stroked="false" type="#_x0000_t202">
                  <v:fill on="true"/>
                  <v:stroke on="false"/>
                  <v:path/>
                  <v:imagedata o:title=""/>
                  <o:lock v:ext="edit" aspectratio="false"/>
                  <v:textbox inset="0mm,0mm,0mm,0mm">
                    <w:txbxContent>
                      <w:p>
                        <w:pPr>
                          <w:ind w:left="1603"/>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1.78</w:t>
                        </w:r>
                      </w:p>
                    </w:txbxContent>
                  </v:textbox>
                </v:shape>
              </w:pict>
            </w:r>
          </w:p>
        </w:tc>
        <w:tc>
          <w:tcPr>
            <w:tcW w:w="1600" w:type="dxa"/>
            <w:vAlign w:val="top"/>
            <w:tcBorders>
              <w:bottom w:val="single" w:color="000000" w:sz="2" w:space="0"/>
              <w:top w:val="single" w:color="000000" w:sz="2" w:space="0"/>
            </w:tcBorders>
          </w:tcPr>
          <w:p>
            <w:pPr>
              <w:ind w:left="841"/>
              <w:spacing w:before="144"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13536" behindDoc="1" locked="0" layoutInCell="1" allowOverlap="1">
                      <wp:simplePos x="0" y="0"/>
                      <wp:positionH relativeFrom="column">
                        <wp:posOffset>-479297</wp:posOffset>
                      </wp:positionH>
                      <wp:positionV relativeFrom="paragraph">
                        <wp:posOffset>1448</wp:posOffset>
                      </wp:positionV>
                      <wp:extent cx="1242694" cy="238125"/>
                      <wp:effectExtent l="0" t="0" r="0" b="0"/>
                      <wp:wrapNone/>
                      <wp:docPr id="18" name="Rect 18"/>
                      <wp:cNvGraphicFramePr/>
                      <a:graphic>
                        <a:graphicData uri="http://schemas.microsoft.com/office/word/2010/wordprocessingShape">
                          <wps:wsp>
                            <wps:cNvPr id="18" name="Rect 18"/>
                            <wps:cNvSpPr/>
                            <wps:spPr>
                              <a:xfrm>
                                <a:off x="-479297" y="1448"/>
                                <a:ext cx="1242694"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52" style="position:absolute;margin-left:-37.74pt;margin-top:0.114075pt;mso-position-vertical-relative:text;mso-position-horizontal-relative:text;width:97.85pt;height:18.75pt;z-index:-251602944;" fillcolor="#DBE5F1" filled="true" stroked="false"/>
                  </w:pict>
                </mc:Fallback>
              </mc:AlternateContent>
            </w:r>
            <w:r>
              <w:rPr>
                <w:rFonts w:ascii="Times New Roman" w:hAnsi="Times New Roman" w:eastAsia="Times New Roman" w:cs="Times New Roman"/>
                <w:sz w:val="18"/>
                <w:szCs w:val="18"/>
                <w:b/>
                <w:bCs/>
                <w:spacing w:val="-3"/>
              </w:rPr>
              <w:t>1.70</w:t>
            </w:r>
          </w:p>
        </w:tc>
        <w:tc>
          <w:tcPr>
            <w:tcW w:w="1367" w:type="dxa"/>
            <w:vAlign w:val="top"/>
            <w:tcBorders>
              <w:bottom w:val="single" w:color="000000" w:sz="2" w:space="0"/>
              <w:top w:val="single" w:color="000000" w:sz="2" w:space="0"/>
            </w:tcBorders>
          </w:tcPr>
          <w:p>
            <w:pPr>
              <w:ind w:left="1036"/>
              <w:spacing w:before="144"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11488" behindDoc="1" locked="0" layoutInCell="1" allowOverlap="1">
                      <wp:simplePos x="0" y="0"/>
                      <wp:positionH relativeFrom="column">
                        <wp:posOffset>-252983</wp:posOffset>
                      </wp:positionH>
                      <wp:positionV relativeFrom="paragraph">
                        <wp:posOffset>1448</wp:posOffset>
                      </wp:positionV>
                      <wp:extent cx="1139189" cy="238125"/>
                      <wp:effectExtent l="0" t="0" r="0" b="0"/>
                      <wp:wrapNone/>
                      <wp:docPr id="20" name="Rect 20"/>
                      <wp:cNvGraphicFramePr/>
                      <a:graphic>
                        <a:graphicData uri="http://schemas.microsoft.com/office/word/2010/wordprocessingShape">
                          <wps:wsp>
                            <wps:cNvPr id="20" name="Rect 20"/>
                            <wps:cNvSpPr/>
                            <wps:spPr>
                              <a:xfrm>
                                <a:off x="-252983" y="1448"/>
                                <a:ext cx="1139189"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54" style="position:absolute;margin-left:-19.92pt;margin-top:0.114075pt;mso-position-vertical-relative:text;mso-position-horizontal-relative:text;width:89.7pt;height:18.75pt;z-index:-251604992;" fillcolor="#DBE5F1" filled="true" stroked="false"/>
                  </w:pict>
                </mc:Fallback>
              </mc:AlternateContent>
            </w:r>
            <w:r>
              <w:rPr>
                <w:rFonts w:ascii="Times New Roman" w:hAnsi="Times New Roman" w:eastAsia="Times New Roman" w:cs="Times New Roman"/>
                <w:sz w:val="18"/>
                <w:szCs w:val="18"/>
                <w:b/>
                <w:bCs/>
                <w:spacing w:val="-3"/>
              </w:rPr>
              <w:t>1.66</w:t>
            </w:r>
          </w:p>
        </w:tc>
        <w:tc>
          <w:tcPr>
            <w:shd w:val="clear" w:fill="DBE5F1"/>
            <w:tcW w:w="1837" w:type="dxa"/>
            <w:vAlign w:val="top"/>
            <w:tcBorders>
              <w:bottom w:val="single" w:color="000000" w:sz="2" w:space="0"/>
              <w:top w:val="single" w:color="000000" w:sz="2" w:space="0"/>
            </w:tcBorders>
          </w:tcPr>
          <w:p>
            <w:pPr>
              <w:ind w:left="1472"/>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1.62</w:t>
            </w:r>
          </w:p>
        </w:tc>
      </w:tr>
      <w:tr>
        <w:trPr>
          <w:trHeight w:val="360" w:hRule="atLeast"/>
        </w:trPr>
        <w:tc>
          <w:tcPr>
            <w:tcW w:w="4855" w:type="dxa"/>
            <w:vAlign w:val="top"/>
            <w:gridSpan w:val="2"/>
            <w:tcBorders>
              <w:top w:val="single" w:color="000000" w:sz="2" w:space="0"/>
            </w:tcBorders>
          </w:tcPr>
          <w:p>
            <w:pPr>
              <w:pStyle w:val="TableText"/>
              <w:ind w:left="21"/>
              <w:spacing w:before="39" w:line="220" w:lineRule="auto"/>
              <w:rPr>
                <w:sz w:val="18"/>
                <w:szCs w:val="18"/>
              </w:rPr>
            </w:pPr>
            <w:r>
              <w:rPr>
                <w:sz w:val="18"/>
                <w:szCs w:val="18"/>
                <w:spacing w:val="3"/>
              </w:rPr>
              <w:t>注:考虑债券利息收入免税的影响。</w:t>
            </w:r>
          </w:p>
        </w:tc>
        <w:tc>
          <w:tcPr>
            <w:tcW w:w="1600" w:type="dxa"/>
            <w:vAlign w:val="top"/>
            <w:tcBorders>
              <w:top w:val="single" w:color="000000" w:sz="2" w:space="0"/>
            </w:tcBorders>
          </w:tcPr>
          <w:p>
            <w:pPr>
              <w:rPr>
                <w:rFonts w:ascii="Arial"/>
                <w:sz w:val="21"/>
              </w:rPr>
            </w:pPr>
            <w:r/>
          </w:p>
        </w:tc>
        <w:tc>
          <w:tcPr>
            <w:tcW w:w="3204" w:type="dxa"/>
            <w:vAlign w:val="top"/>
            <w:gridSpan w:val="2"/>
            <w:tcBorders>
              <w:top w:val="single" w:color="000000" w:sz="2" w:space="0"/>
            </w:tcBorders>
          </w:tcPr>
          <w:p>
            <w:pPr>
              <w:rPr>
                <w:rFonts w:ascii="Arial"/>
                <w:sz w:val="21"/>
              </w:rPr>
            </w:pPr>
            <w:r/>
          </w:p>
        </w:tc>
      </w:tr>
      <w:tr>
        <w:trPr>
          <w:trHeight w:val="429" w:hRule="atLeast"/>
        </w:trPr>
        <w:tc>
          <w:tcPr>
            <w:tcW w:w="4855" w:type="dxa"/>
            <w:vAlign w:val="top"/>
            <w:gridSpan w:val="2"/>
          </w:tcPr>
          <w:p>
            <w:pPr>
              <w:pStyle w:val="TableText"/>
              <w:ind w:right="4"/>
              <w:spacing w:before="146" w:line="221" w:lineRule="auto"/>
              <w:jc w:val="right"/>
              <w:rPr/>
            </w:pPr>
            <w:r>
              <w:rPr>
                <w:spacing w:val="-1"/>
              </w:rPr>
              <w:t>本集团利息收入和利息支出因规模和利率变动而</w:t>
            </w:r>
          </w:p>
        </w:tc>
        <w:tc>
          <w:tcPr>
            <w:tcW w:w="1600" w:type="dxa"/>
            <w:vAlign w:val="top"/>
          </w:tcPr>
          <w:p>
            <w:pPr>
              <w:pStyle w:val="TableText"/>
              <w:spacing w:before="147" w:line="222" w:lineRule="auto"/>
              <w:jc w:val="right"/>
              <w:rPr/>
            </w:pPr>
            <w:r>
              <w:rPr>
                <w:spacing w:val="-13"/>
              </w:rPr>
              <w:t>引起的变化如下。</w:t>
            </w:r>
          </w:p>
        </w:tc>
        <w:tc>
          <w:tcPr>
            <w:tcW w:w="3204" w:type="dxa"/>
            <w:vAlign w:val="top"/>
            <w:gridSpan w:val="2"/>
          </w:tcPr>
          <w:p>
            <w:pPr>
              <w:pStyle w:val="TableText"/>
              <w:spacing w:before="147" w:line="221" w:lineRule="auto"/>
              <w:jc w:val="right"/>
              <w:rPr/>
            </w:pPr>
            <w:r>
              <w:rPr>
                <w:spacing w:val="-1"/>
              </w:rPr>
              <w:t>规模和利率变动的计算基准是所示</w:t>
            </w:r>
          </w:p>
        </w:tc>
      </w:tr>
      <w:tr>
        <w:trPr>
          <w:trHeight w:val="894" w:hRule="atLeast"/>
        </w:trPr>
        <w:tc>
          <w:tcPr>
            <w:tcW w:w="4855" w:type="dxa"/>
            <w:vAlign w:val="top"/>
            <w:gridSpan w:val="2"/>
            <w:tcBorders>
              <w:bottom w:val="single" w:color="000000" w:sz="2" w:space="0"/>
            </w:tcBorders>
          </w:tcPr>
          <w:p>
            <w:pPr>
              <w:pStyle w:val="TableText"/>
              <w:ind w:left="25"/>
              <w:spacing w:before="80" w:line="221" w:lineRule="auto"/>
              <w:rPr/>
            </w:pPr>
            <w:r>
              <w:rPr>
                <w:spacing w:val="-1"/>
              </w:rPr>
              <w:t>期间内平均余额的变化以及有关生息资产和计息负债</w:t>
            </w:r>
          </w:p>
        </w:tc>
        <w:tc>
          <w:tcPr>
            <w:tcW w:w="1600" w:type="dxa"/>
            <w:vAlign w:val="top"/>
            <w:tcBorders>
              <w:bottom w:val="single" w:color="000000" w:sz="2" w:space="0"/>
            </w:tcBorders>
          </w:tcPr>
          <w:p>
            <w:pPr>
              <w:pStyle w:val="TableText"/>
              <w:ind w:left="19"/>
              <w:spacing w:before="80" w:line="221" w:lineRule="auto"/>
              <w:rPr/>
            </w:pPr>
            <w:r>
              <w:rPr>
                <w:spacing w:val="-7"/>
              </w:rPr>
              <w:t>的利率变化。</w:t>
            </w:r>
          </w:p>
        </w:tc>
        <w:tc>
          <w:tcPr>
            <w:tcW w:w="3204" w:type="dxa"/>
            <w:vAlign w:val="top"/>
            <w:gridSpan w:val="2"/>
            <w:tcBorders>
              <w:bottom w:val="single" w:color="000000" w:sz="2" w:space="0"/>
            </w:tcBorders>
          </w:tcPr>
          <w:p>
            <w:pPr>
              <w:spacing w:line="289" w:lineRule="auto"/>
              <w:rPr>
                <w:rFonts w:ascii="Arial"/>
                <w:sz w:val="21"/>
              </w:rPr>
            </w:pPr>
            <w:r/>
          </w:p>
          <w:p>
            <w:pPr>
              <w:spacing w:line="289" w:lineRule="auto"/>
              <w:rPr>
                <w:rFonts w:ascii="Arial"/>
                <w:sz w:val="21"/>
              </w:rPr>
            </w:pPr>
            <w:r/>
          </w:p>
          <w:p>
            <w:pPr>
              <w:pStyle w:val="TableText"/>
              <w:ind w:right="4"/>
              <w:spacing w:before="58" w:line="244" w:lineRule="exact"/>
              <w:jc w:val="right"/>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position w:val="2"/>
              </w:rPr>
              <w:t>(</w:t>
            </w:r>
            <w:r>
              <w:rPr>
                <w:sz w:val="18"/>
                <w:szCs w:val="18"/>
                <w:spacing w:val="-1"/>
                <w:position w:val="2"/>
              </w:rPr>
              <w:t>人民币百万元</w:t>
            </w:r>
            <w:r>
              <w:rPr>
                <w:rFonts w:ascii="Times New Roman" w:hAnsi="Times New Roman" w:eastAsia="Times New Roman" w:cs="Times New Roman"/>
                <w:sz w:val="18"/>
                <w:szCs w:val="18"/>
                <w:spacing w:val="-1"/>
                <w:position w:val="2"/>
              </w:rPr>
              <w:t>)</w:t>
            </w:r>
          </w:p>
        </w:tc>
      </w:tr>
      <w:tr>
        <w:trPr>
          <w:trHeight w:val="379" w:hRule="atLeast"/>
        </w:trPr>
        <w:tc>
          <w:tcPr>
            <w:shd w:val="clear" w:fill="DBE5F1"/>
            <w:tcW w:w="9659" w:type="dxa"/>
            <w:vAlign w:val="top"/>
            <w:gridSpan w:val="5"/>
            <w:tcBorders>
              <w:top w:val="single" w:color="000000" w:sz="2" w:space="0"/>
              <w:bottom w:val="single" w:color="000000" w:sz="8" w:space="0"/>
            </w:tcBorders>
          </w:tcPr>
          <w:p>
            <w:pPr>
              <w:pStyle w:val="TableText"/>
              <w:ind w:left="5984"/>
              <w:spacing w:before="113" w:line="220" w:lineRule="auto"/>
              <w:rPr>
                <w:sz w:val="18"/>
                <w:szCs w:val="18"/>
              </w:rPr>
            </w:pPr>
            <w:r>
              <w:rPr>
                <w:rFonts w:ascii="Times New Roman" w:hAnsi="Times New Roman" w:eastAsia="Times New Roman" w:cs="Times New Roman"/>
                <w:sz w:val="18"/>
                <w:szCs w:val="18"/>
                <w:b/>
                <w:bCs/>
                <w:spacing w:val="-1"/>
              </w:rPr>
              <w:t>2022</w:t>
            </w:r>
            <w:r>
              <w:rPr>
                <w:sz w:val="18"/>
                <w:szCs w:val="18"/>
                <w:b/>
                <w:bCs/>
                <w:spacing w:val="-1"/>
              </w:rPr>
              <w:t>年与</w:t>
            </w:r>
            <w:r>
              <w:rPr>
                <w:rFonts w:ascii="Times New Roman" w:hAnsi="Times New Roman" w:eastAsia="Times New Roman" w:cs="Times New Roman"/>
                <w:sz w:val="18"/>
                <w:szCs w:val="18"/>
                <w:b/>
                <w:bCs/>
                <w:spacing w:val="-1"/>
              </w:rPr>
              <w:t>2021</w:t>
            </w:r>
            <w:r>
              <w:rPr>
                <w:sz w:val="18"/>
                <w:szCs w:val="18"/>
                <w:b/>
                <w:bCs/>
                <w:spacing w:val="-1"/>
              </w:rPr>
              <w:t>年的比较</w:t>
            </w:r>
          </w:p>
        </w:tc>
      </w:tr>
      <w:tr>
        <w:trPr>
          <w:trHeight w:val="364" w:hRule="atLeast"/>
        </w:trPr>
        <w:tc>
          <w:tcPr>
            <w:shd w:val="clear" w:fill="DBE5F1"/>
            <w:tcW w:w="9659" w:type="dxa"/>
            <w:vAlign w:val="top"/>
            <w:gridSpan w:val="5"/>
            <w:tcBorders>
              <w:top w:val="single" w:color="000000" w:sz="8" w:space="0"/>
            </w:tcBorders>
          </w:tcPr>
          <w:p>
            <w:pPr>
              <w:pStyle w:val="TableText"/>
              <w:ind w:left="6198"/>
              <w:spacing w:before="98" w:line="212" w:lineRule="auto"/>
              <w:rPr>
                <w:sz w:val="18"/>
                <w:szCs w:val="18"/>
              </w:rPr>
            </w:pPr>
            <w:r>
              <w:rPr>
                <w:sz w:val="18"/>
                <w:szCs w:val="18"/>
                <w:b/>
                <w:bCs/>
                <w:spacing w:val="8"/>
              </w:rPr>
              <w:t>增加/</w:t>
            </w:r>
            <w:r>
              <w:rPr>
                <w:rFonts w:ascii="Times New Roman" w:hAnsi="Times New Roman" w:eastAsia="Times New Roman" w:cs="Times New Roman"/>
                <w:sz w:val="18"/>
                <w:szCs w:val="18"/>
                <w:b/>
                <w:bCs/>
                <w:spacing w:val="8"/>
              </w:rPr>
              <w:t>(</w:t>
            </w:r>
            <w:r>
              <w:rPr>
                <w:sz w:val="18"/>
                <w:szCs w:val="18"/>
                <w:b/>
                <w:bCs/>
                <w:spacing w:val="8"/>
              </w:rPr>
              <w:t>减少</w:t>
            </w:r>
            <w:r>
              <w:rPr>
                <w:rFonts w:ascii="Times New Roman" w:hAnsi="Times New Roman" w:eastAsia="Times New Roman" w:cs="Times New Roman"/>
                <w:sz w:val="18"/>
                <w:szCs w:val="18"/>
                <w:b/>
                <w:bCs/>
                <w:spacing w:val="8"/>
              </w:rPr>
              <w:t>)</w:t>
            </w:r>
            <w:r>
              <w:rPr>
                <w:sz w:val="18"/>
                <w:szCs w:val="18"/>
                <w:b/>
                <w:bCs/>
                <w:spacing w:val="8"/>
              </w:rPr>
              <w:t>由于</w:t>
            </w:r>
          </w:p>
        </w:tc>
      </w:tr>
      <w:tr>
        <w:trPr>
          <w:trHeight w:val="701" w:hRule="atLeast"/>
        </w:trPr>
        <w:tc>
          <w:tcPr>
            <w:tcW w:w="7822" w:type="dxa"/>
            <w:vAlign w:val="top"/>
            <w:gridSpan w:val="4"/>
            <w:tcBorders>
              <w:bottom w:val="single" w:color="000000" w:sz="2" w:space="0"/>
            </w:tcBorders>
          </w:tcPr>
          <w:p>
            <w:pPr>
              <w:pStyle w:val="TableText"/>
              <w:ind w:right="17"/>
              <w:spacing w:before="277" w:line="220" w:lineRule="auto"/>
              <w:jc w:val="right"/>
              <w:rPr>
                <w:sz w:val="18"/>
                <w:szCs w:val="18"/>
              </w:rPr>
            </w:pPr>
            <w:r>
              <w:rPr>
                <w:sz w:val="18"/>
                <w:szCs w:val="18"/>
                <w:b/>
                <w:bCs/>
                <w:spacing w:val="-1"/>
              </w:rPr>
              <w:t>规模</w:t>
            </w:r>
            <w:r>
              <w:rPr>
                <w:sz w:val="18"/>
                <w:szCs w:val="18"/>
                <w:spacing w:val="-1"/>
              </w:rPr>
              <w:t xml:space="preserve">                </w:t>
            </w:r>
            <w:r>
              <w:rPr>
                <w:sz w:val="18"/>
                <w:szCs w:val="18"/>
                <w:b/>
                <w:bCs/>
                <w:spacing w:val="-1"/>
              </w:rPr>
              <w:t>利率</w:t>
            </w:r>
          </w:p>
        </w:tc>
        <w:tc>
          <w:tcPr>
            <w:tcW w:w="1837" w:type="dxa"/>
            <w:vAlign w:val="top"/>
            <w:tcBorders>
              <w:bottom w:val="single" w:color="000000" w:sz="2" w:space="0"/>
            </w:tcBorders>
          </w:tcPr>
          <w:p>
            <w:pPr>
              <w:pStyle w:val="TableText"/>
              <w:ind w:left="1061" w:right="59"/>
              <w:spacing w:before="117" w:line="270" w:lineRule="auto"/>
              <w:jc w:val="right"/>
              <w:rPr>
                <w:rFonts w:ascii="Times New Roman" w:hAnsi="Times New Roman" w:eastAsia="Times New Roman" w:cs="Times New Roman"/>
                <w:sz w:val="18"/>
                <w:szCs w:val="18"/>
              </w:rPr>
            </w:pPr>
            <w:r>
              <w:rPr>
                <w:sz w:val="18"/>
                <w:szCs w:val="18"/>
                <w:b/>
                <w:bCs/>
                <w:spacing w:val="18"/>
              </w:rPr>
              <w:t>净增加/</w:t>
            </w:r>
            <w:r>
              <w:rPr>
                <w:sz w:val="18"/>
                <w:szCs w:val="18"/>
              </w:rPr>
              <w:t xml:space="preserve"> </w:t>
            </w:r>
            <w:r>
              <w:rPr>
                <w:rFonts w:ascii="Times New Roman" w:hAnsi="Times New Roman" w:eastAsia="Times New Roman" w:cs="Times New Roman"/>
                <w:sz w:val="18"/>
                <w:szCs w:val="18"/>
                <w:b/>
                <w:bCs/>
                <w:spacing w:val="-2"/>
              </w:rPr>
              <w:t>(</w:t>
            </w:r>
            <w:r>
              <w:rPr>
                <w:sz w:val="18"/>
                <w:szCs w:val="18"/>
                <w:b/>
                <w:bCs/>
                <w:spacing w:val="-2"/>
              </w:rPr>
              <w:t>减少</w:t>
            </w:r>
            <w:r>
              <w:rPr>
                <w:rFonts w:ascii="Times New Roman" w:hAnsi="Times New Roman" w:eastAsia="Times New Roman" w:cs="Times New Roman"/>
                <w:sz w:val="18"/>
                <w:szCs w:val="18"/>
                <w:b/>
                <w:bCs/>
                <w:spacing w:val="-2"/>
              </w:rPr>
              <w:t>)</w:t>
            </w:r>
          </w:p>
        </w:tc>
      </w:tr>
      <w:tr>
        <w:trPr>
          <w:trHeight w:val="379" w:hRule="atLeast"/>
        </w:trPr>
        <w:tc>
          <w:tcPr>
            <w:tcW w:w="1335" w:type="dxa"/>
            <w:vAlign w:val="top"/>
            <w:tcBorders>
              <w:bottom w:val="single" w:color="000000" w:sz="2" w:space="0"/>
              <w:top w:val="single" w:color="000000" w:sz="2" w:space="0"/>
            </w:tcBorders>
          </w:tcPr>
          <w:p>
            <w:pPr>
              <w:pStyle w:val="TableText"/>
              <w:ind w:left="80"/>
              <w:spacing w:before="113" w:line="220" w:lineRule="auto"/>
              <w:rPr>
                <w:sz w:val="18"/>
                <w:szCs w:val="18"/>
              </w:rPr>
            </w:pPr>
            <w:r>
              <w:rPr>
                <w:sz w:val="18"/>
                <w:szCs w:val="18"/>
                <w:b/>
                <w:bCs/>
                <w:spacing w:val="-4"/>
              </w:rPr>
              <w:t>生息资产</w:t>
            </w:r>
          </w:p>
        </w:tc>
        <w:tc>
          <w:tcPr>
            <w:tcW w:w="8324" w:type="dxa"/>
            <w:vAlign w:val="top"/>
            <w:gridSpan w:val="4"/>
            <w:tcBorders>
              <w:bottom w:val="single" w:color="000000" w:sz="2" w:space="0"/>
              <w:top w:val="single" w:color="000000" w:sz="2" w:space="0"/>
            </w:tcBorders>
          </w:tcPr>
          <w:p>
            <w:pPr>
              <w:rPr>
                <w:rFonts w:ascii="Arial"/>
                <w:sz w:val="21"/>
              </w:rPr>
            </w:pPr>
            <w:r>
              <w:pict>
                <v:rect id="_x0000_s156" style="position:absolute;margin-left:-277.46pt;margin-top:0.199921pt;mso-position-vertical-relative:top-margin-area;mso-position-horizontal-relative:right-margin-area;width:277.25pt;height:18.75pt;z-index:251721728;" fillcolor="#DBE5F1" filled="true" stroked="false"/>
              </w:pict>
            </w:r>
            <w:r/>
          </w:p>
        </w:tc>
      </w:tr>
      <w:tr>
        <w:trPr>
          <w:trHeight w:val="379" w:hRule="atLeast"/>
        </w:trPr>
        <w:tc>
          <w:tcPr>
            <w:tcW w:w="4855" w:type="dxa"/>
            <w:vAlign w:val="top"/>
            <w:gridSpan w:val="2"/>
            <w:tcBorders>
              <w:bottom w:val="single" w:color="000000" w:sz="2" w:space="0"/>
              <w:top w:val="single" w:color="000000" w:sz="2" w:space="0"/>
            </w:tcBorders>
          </w:tcPr>
          <w:p>
            <w:pPr>
              <w:pStyle w:val="TableText"/>
              <w:ind w:left="78"/>
              <w:spacing w:before="113" w:line="220" w:lineRule="auto"/>
              <w:rPr>
                <w:sz w:val="18"/>
                <w:szCs w:val="18"/>
              </w:rPr>
            </w:pPr>
            <w:r>
              <w:rPr>
                <w:sz w:val="18"/>
                <w:szCs w:val="18"/>
                <w:spacing w:val="-1"/>
              </w:rPr>
              <w:t>存放中央银行款项</w:t>
            </w:r>
          </w:p>
        </w:tc>
        <w:tc>
          <w:tcPr>
            <w:tcW w:w="1600" w:type="dxa"/>
            <w:vAlign w:val="top"/>
            <w:tcBorders>
              <w:bottom w:val="single" w:color="000000" w:sz="2" w:space="0"/>
              <w:top w:val="single" w:color="000000" w:sz="2" w:space="0"/>
            </w:tcBorders>
          </w:tcPr>
          <w:p>
            <w:pPr>
              <w:ind w:left="774"/>
              <w:spacing w:before="146"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05344" behindDoc="1" locked="0" layoutInCell="1" allowOverlap="1">
                      <wp:simplePos x="0" y="0"/>
                      <wp:positionH relativeFrom="column">
                        <wp:posOffset>-473201</wp:posOffset>
                      </wp:positionH>
                      <wp:positionV relativeFrom="paragraph">
                        <wp:posOffset>2645</wp:posOffset>
                      </wp:positionV>
                      <wp:extent cx="1242694" cy="238125"/>
                      <wp:effectExtent l="0" t="0" r="0" b="0"/>
                      <wp:wrapNone/>
                      <wp:docPr id="22" name="Rect 22"/>
                      <wp:cNvGraphicFramePr/>
                      <a:graphic>
                        <a:graphicData uri="http://schemas.microsoft.com/office/word/2010/wordprocessingShape">
                          <wps:wsp>
                            <wps:cNvPr id="22" name="Rect 22"/>
                            <wps:cNvSpPr/>
                            <wps:spPr>
                              <a:xfrm>
                                <a:off x="-473201" y="2645"/>
                                <a:ext cx="1242694"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58" style="position:absolute;margin-left:-37.26pt;margin-top:0.208313pt;mso-position-vertical-relative:text;mso-position-horizontal-relative:text;width:97.85pt;height:18.75pt;z-index:-251611136;" fillcolor="#DBE5F1" filled="true" stroked="false"/>
                  </w:pict>
                </mc:Fallback>
              </mc:AlternateContent>
            </w:r>
            <w:r>
              <w:rPr>
                <w:rFonts w:ascii="Times New Roman" w:hAnsi="Times New Roman" w:eastAsia="Times New Roman" w:cs="Times New Roman"/>
                <w:sz w:val="18"/>
                <w:szCs w:val="18"/>
                <w:b/>
                <w:bCs/>
                <w:spacing w:val="-2"/>
              </w:rPr>
              <w:t>(179)</w:t>
            </w:r>
          </w:p>
        </w:tc>
        <w:tc>
          <w:tcPr>
            <w:tcW w:w="1367" w:type="dxa"/>
            <w:vAlign w:val="top"/>
            <w:tcBorders>
              <w:bottom w:val="single" w:color="000000" w:sz="2" w:space="0"/>
              <w:top w:val="single" w:color="000000" w:sz="2" w:space="0"/>
            </w:tcBorders>
          </w:tcPr>
          <w:p>
            <w:pPr>
              <w:ind w:right="18"/>
              <w:spacing w:before="146" w:line="186" w:lineRule="auto"/>
              <w:jc w:val="right"/>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04320" behindDoc="1" locked="0" layoutInCell="1" allowOverlap="1">
                      <wp:simplePos x="0" y="0"/>
                      <wp:positionH relativeFrom="column">
                        <wp:posOffset>-246887</wp:posOffset>
                      </wp:positionH>
                      <wp:positionV relativeFrom="paragraph">
                        <wp:posOffset>2591</wp:posOffset>
                      </wp:positionV>
                      <wp:extent cx="1139189" cy="238125"/>
                      <wp:effectExtent l="0" t="0" r="0" b="0"/>
                      <wp:wrapNone/>
                      <wp:docPr id="24" name="Rect 24"/>
                      <wp:cNvGraphicFramePr/>
                      <a:graphic>
                        <a:graphicData uri="http://schemas.microsoft.com/office/word/2010/wordprocessingShape">
                          <wps:wsp>
                            <wps:cNvPr id="24" name="Rect 24"/>
                            <wps:cNvSpPr/>
                            <wps:spPr>
                              <a:xfrm>
                                <a:off x="-246887" y="2591"/>
                                <a:ext cx="1139189"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60" style="position:absolute;margin-left:-19.44pt;margin-top:0.204072pt;mso-position-vertical-relative:text;mso-position-horizontal-relative:text;width:89.7pt;height:18.75pt;z-index:-251612160;" fillcolor="#DBE5F1" filled="true" stroked="false"/>
                  </w:pict>
                </mc:Fallback>
              </mc:AlternateContent>
            </w:r>
            <w:r>
              <w:rPr>
                <w:rFonts w:ascii="Times New Roman" w:hAnsi="Times New Roman" w:eastAsia="Times New Roman" w:cs="Times New Roman"/>
                <w:sz w:val="18"/>
                <w:szCs w:val="18"/>
                <w:b/>
                <w:bCs/>
                <w:spacing w:val="-1"/>
              </w:rPr>
              <w:t>500</w:t>
            </w:r>
          </w:p>
        </w:tc>
        <w:tc>
          <w:tcPr>
            <w:shd w:val="clear" w:fill="DBE5F1"/>
            <w:tcW w:w="1837" w:type="dxa"/>
            <w:vAlign w:val="top"/>
            <w:tcBorders>
              <w:bottom w:val="single" w:color="000000" w:sz="2" w:space="0"/>
              <w:top w:val="single" w:color="000000" w:sz="2" w:space="0"/>
            </w:tcBorders>
          </w:tcPr>
          <w:p>
            <w:pPr>
              <w:ind w:left="1506"/>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321</w:t>
            </w:r>
          </w:p>
        </w:tc>
      </w:tr>
      <w:tr>
        <w:trPr>
          <w:trHeight w:val="379" w:hRule="atLeast"/>
        </w:trPr>
        <w:tc>
          <w:tcPr>
            <w:tcW w:w="4855" w:type="dxa"/>
            <w:vAlign w:val="top"/>
            <w:gridSpan w:val="2"/>
            <w:tcBorders>
              <w:bottom w:val="single" w:color="000000" w:sz="2" w:space="0"/>
              <w:top w:val="single" w:color="000000" w:sz="2" w:space="0"/>
            </w:tcBorders>
          </w:tcPr>
          <w:p>
            <w:pPr>
              <w:pStyle w:val="TableText"/>
              <w:ind w:left="78"/>
              <w:spacing w:before="112" w:line="220" w:lineRule="auto"/>
              <w:rPr>
                <w:sz w:val="18"/>
                <w:szCs w:val="18"/>
              </w:rPr>
            </w:pPr>
            <w:r>
              <w:rPr>
                <w:sz w:val="18"/>
                <w:szCs w:val="18"/>
                <w:spacing w:val="-1"/>
              </w:rPr>
              <w:t>存放、拆放同业及其他金融机构款项</w:t>
            </w:r>
          </w:p>
        </w:tc>
        <w:tc>
          <w:tcPr>
            <w:tcW w:w="1600" w:type="dxa"/>
            <w:vAlign w:val="top"/>
            <w:tcBorders>
              <w:bottom w:val="single" w:color="000000" w:sz="2" w:space="0"/>
              <w:top w:val="single" w:color="000000" w:sz="2" w:space="0"/>
            </w:tcBorders>
          </w:tcPr>
          <w:p>
            <w:pPr>
              <w:ind w:left="762"/>
              <w:spacing w:before="146"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697152" behindDoc="1" locked="0" layoutInCell="1" allowOverlap="1">
                      <wp:simplePos x="0" y="0"/>
                      <wp:positionH relativeFrom="column">
                        <wp:posOffset>-473201</wp:posOffset>
                      </wp:positionH>
                      <wp:positionV relativeFrom="paragraph">
                        <wp:posOffset>2520</wp:posOffset>
                      </wp:positionV>
                      <wp:extent cx="1242694" cy="238125"/>
                      <wp:effectExtent l="0" t="0" r="0" b="0"/>
                      <wp:wrapNone/>
                      <wp:docPr id="26" name="Rect 26"/>
                      <wp:cNvGraphicFramePr/>
                      <a:graphic>
                        <a:graphicData uri="http://schemas.microsoft.com/office/word/2010/wordprocessingShape">
                          <wps:wsp>
                            <wps:cNvPr id="26" name="Rect 26"/>
                            <wps:cNvSpPr/>
                            <wps:spPr>
                              <a:xfrm>
                                <a:off x="-473201" y="2520"/>
                                <a:ext cx="1242694"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62" style="position:absolute;margin-left:-37.26pt;margin-top:0.198487pt;mso-position-vertical-relative:text;mso-position-horizontal-relative:text;width:97.85pt;height:18.75pt;z-index:-251619328;" fillcolor="#DBE5F1" filled="true" stroked="false"/>
                  </w:pict>
                </mc:Fallback>
              </mc:AlternateContent>
            </w:r>
            <w:r>
              <w:rPr>
                <w:rFonts w:ascii="Times New Roman" w:hAnsi="Times New Roman" w:eastAsia="Times New Roman" w:cs="Times New Roman"/>
                <w:sz w:val="18"/>
                <w:szCs w:val="18"/>
                <w:b/>
                <w:bCs/>
                <w:spacing w:val="-3"/>
              </w:rPr>
              <w:t>1,924</w:t>
            </w:r>
          </w:p>
        </w:tc>
        <w:tc>
          <w:tcPr>
            <w:tcW w:w="1367" w:type="dxa"/>
            <w:vAlign w:val="top"/>
            <w:tcBorders>
              <w:bottom w:val="single" w:color="000000" w:sz="2" w:space="0"/>
              <w:top w:val="single" w:color="000000" w:sz="2" w:space="0"/>
            </w:tcBorders>
          </w:tcPr>
          <w:p>
            <w:pPr>
              <w:ind w:right="19"/>
              <w:spacing w:before="146" w:line="186" w:lineRule="auto"/>
              <w:jc w:val="right"/>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10464" behindDoc="1" locked="0" layoutInCell="1" allowOverlap="1">
                      <wp:simplePos x="0" y="0"/>
                      <wp:positionH relativeFrom="column">
                        <wp:posOffset>-246887</wp:posOffset>
                      </wp:positionH>
                      <wp:positionV relativeFrom="paragraph">
                        <wp:posOffset>2520</wp:posOffset>
                      </wp:positionV>
                      <wp:extent cx="1139189" cy="238125"/>
                      <wp:effectExtent l="0" t="0" r="0" b="0"/>
                      <wp:wrapNone/>
                      <wp:docPr id="28" name="Rect 28"/>
                      <wp:cNvGraphicFramePr/>
                      <a:graphic>
                        <a:graphicData uri="http://schemas.microsoft.com/office/word/2010/wordprocessingShape">
                          <wps:wsp>
                            <wps:cNvPr id="28" name="Rect 28"/>
                            <wps:cNvSpPr/>
                            <wps:spPr>
                              <a:xfrm>
                                <a:off x="-246887" y="2520"/>
                                <a:ext cx="1139189"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64" style="position:absolute;margin-left:-19.44pt;margin-top:0.198487pt;mso-position-vertical-relative:text;mso-position-horizontal-relative:text;width:89.7pt;height:18.75pt;z-index:-251606016;" fillcolor="#DBE5F1" filled="true" stroked="false"/>
                  </w:pict>
                </mc:Fallback>
              </mc:AlternateContent>
            </w:r>
            <w:r>
              <w:rPr>
                <w:rFonts w:ascii="Times New Roman" w:hAnsi="Times New Roman" w:eastAsia="Times New Roman" w:cs="Times New Roman"/>
                <w:sz w:val="18"/>
                <w:szCs w:val="18"/>
                <w:b/>
                <w:bCs/>
                <w:spacing w:val="-1"/>
              </w:rPr>
              <w:t>3,696</w:t>
            </w:r>
          </w:p>
        </w:tc>
        <w:tc>
          <w:tcPr>
            <w:shd w:val="clear" w:fill="DBE5F1"/>
            <w:tcW w:w="1837" w:type="dxa"/>
            <w:vAlign w:val="top"/>
            <w:tcBorders>
              <w:bottom w:val="single" w:color="000000" w:sz="2" w:space="0"/>
              <w:top w:val="single" w:color="000000" w:sz="2" w:space="0"/>
            </w:tcBorders>
          </w:tcPr>
          <w:p>
            <w:pPr>
              <w:ind w:left="1375"/>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5,620</w:t>
            </w:r>
          </w:p>
        </w:tc>
      </w:tr>
      <w:tr>
        <w:trPr>
          <w:trHeight w:val="379" w:hRule="atLeast"/>
        </w:trPr>
        <w:tc>
          <w:tcPr>
            <w:tcW w:w="4855" w:type="dxa"/>
            <w:vAlign w:val="top"/>
            <w:gridSpan w:val="2"/>
            <w:tcBorders>
              <w:bottom w:val="single" w:color="000000" w:sz="2" w:space="0"/>
              <w:top w:val="single" w:color="000000" w:sz="2" w:space="0"/>
            </w:tcBorders>
          </w:tcPr>
          <w:p>
            <w:pPr>
              <w:pStyle w:val="TableText"/>
              <w:ind w:left="80"/>
              <w:spacing w:before="113" w:line="220" w:lineRule="auto"/>
              <w:rPr>
                <w:sz w:val="18"/>
                <w:szCs w:val="18"/>
              </w:rPr>
            </w:pPr>
            <w:r>
              <w:rPr>
                <w:sz w:val="18"/>
                <w:szCs w:val="18"/>
                <w:spacing w:val="-2"/>
              </w:rPr>
              <w:t>客户贷款</w:t>
            </w:r>
          </w:p>
        </w:tc>
        <w:tc>
          <w:tcPr>
            <w:tcW w:w="1600" w:type="dxa"/>
            <w:vAlign w:val="top"/>
            <w:tcBorders>
              <w:bottom w:val="single" w:color="000000" w:sz="2" w:space="0"/>
              <w:top w:val="single" w:color="000000" w:sz="2" w:space="0"/>
            </w:tcBorders>
          </w:tcPr>
          <w:p>
            <w:pPr>
              <w:ind w:left="662"/>
              <w:spacing w:before="146"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03296" behindDoc="1" locked="0" layoutInCell="1" allowOverlap="1">
                      <wp:simplePos x="0" y="0"/>
                      <wp:positionH relativeFrom="column">
                        <wp:posOffset>-473201</wp:posOffset>
                      </wp:positionH>
                      <wp:positionV relativeFrom="paragraph">
                        <wp:posOffset>2520</wp:posOffset>
                      </wp:positionV>
                      <wp:extent cx="1242694" cy="238125"/>
                      <wp:effectExtent l="0" t="0" r="0" b="0"/>
                      <wp:wrapNone/>
                      <wp:docPr id="30" name="Rect 30"/>
                      <wp:cNvGraphicFramePr/>
                      <a:graphic>
                        <a:graphicData uri="http://schemas.microsoft.com/office/word/2010/wordprocessingShape">
                          <wps:wsp>
                            <wps:cNvPr id="30" name="Rect 30"/>
                            <wps:cNvSpPr/>
                            <wps:spPr>
                              <a:xfrm>
                                <a:off x="-473201" y="2520"/>
                                <a:ext cx="1242694"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66" style="position:absolute;margin-left:-37.26pt;margin-top:0.198456pt;mso-position-vertical-relative:text;mso-position-horizontal-relative:text;width:97.85pt;height:18.75pt;z-index:-251613184;" fillcolor="#DBE5F1" filled="true" stroked="false"/>
                  </w:pict>
                </mc:Fallback>
              </mc:AlternateContent>
            </w:r>
            <w:r>
              <w:rPr>
                <w:rFonts w:ascii="Times New Roman" w:hAnsi="Times New Roman" w:eastAsia="Times New Roman" w:cs="Times New Roman"/>
                <w:sz w:val="18"/>
                <w:szCs w:val="18"/>
                <w:b/>
                <w:bCs/>
                <w:spacing w:val="-1"/>
              </w:rPr>
              <w:t>33,806</w:t>
            </w:r>
          </w:p>
        </w:tc>
        <w:tc>
          <w:tcPr>
            <w:tcW w:w="1367" w:type="dxa"/>
            <w:vAlign w:val="top"/>
            <w:tcBorders>
              <w:bottom w:val="single" w:color="000000" w:sz="2" w:space="0"/>
              <w:top w:val="single" w:color="000000" w:sz="2" w:space="0"/>
            </w:tcBorders>
          </w:tcPr>
          <w:p>
            <w:pPr>
              <w:ind w:right="18"/>
              <w:spacing w:before="146" w:line="186" w:lineRule="auto"/>
              <w:jc w:val="right"/>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02272" behindDoc="1" locked="0" layoutInCell="1" allowOverlap="1">
                      <wp:simplePos x="0" y="0"/>
                      <wp:positionH relativeFrom="column">
                        <wp:posOffset>-246887</wp:posOffset>
                      </wp:positionH>
                      <wp:positionV relativeFrom="paragraph">
                        <wp:posOffset>2645</wp:posOffset>
                      </wp:positionV>
                      <wp:extent cx="1139189" cy="238125"/>
                      <wp:effectExtent l="0" t="0" r="0" b="0"/>
                      <wp:wrapNone/>
                      <wp:docPr id="32" name="Rect 32"/>
                      <wp:cNvGraphicFramePr/>
                      <a:graphic>
                        <a:graphicData uri="http://schemas.microsoft.com/office/word/2010/wordprocessingShape">
                          <wps:wsp>
                            <wps:cNvPr id="32" name="Rect 32"/>
                            <wps:cNvSpPr/>
                            <wps:spPr>
                              <a:xfrm>
                                <a:off x="-246887" y="2645"/>
                                <a:ext cx="1139189"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68" style="position:absolute;margin-left:-19.44pt;margin-top:0.208283pt;mso-position-vertical-relative:text;mso-position-horizontal-relative:text;width:89.7pt;height:18.75pt;z-index:-251614208;" fillcolor="#DBE5F1" filled="true" stroked="false"/>
                  </w:pict>
                </mc:Fallback>
              </mc:AlternateContent>
            </w:r>
            <w:r>
              <w:rPr>
                <w:rFonts w:ascii="Times New Roman" w:hAnsi="Times New Roman" w:eastAsia="Times New Roman" w:cs="Times New Roman"/>
                <w:sz w:val="18"/>
                <w:szCs w:val="18"/>
                <w:b/>
                <w:bCs/>
                <w:spacing w:val="-1"/>
              </w:rPr>
              <w:t>(8,320)</w:t>
            </w:r>
          </w:p>
        </w:tc>
        <w:tc>
          <w:tcPr>
            <w:shd w:val="clear" w:fill="DBE5F1"/>
            <w:tcW w:w="1837" w:type="dxa"/>
            <w:vAlign w:val="top"/>
            <w:tcBorders>
              <w:bottom w:val="single" w:color="000000" w:sz="2" w:space="0"/>
              <w:top w:val="single" w:color="000000" w:sz="2" w:space="0"/>
            </w:tcBorders>
          </w:tcPr>
          <w:p>
            <w:pPr>
              <w:ind w:left="1285"/>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25,486</w:t>
            </w:r>
          </w:p>
        </w:tc>
      </w:tr>
      <w:tr>
        <w:trPr>
          <w:trHeight w:val="379" w:hRule="atLeast"/>
        </w:trPr>
        <w:tc>
          <w:tcPr>
            <w:tcW w:w="4855" w:type="dxa"/>
            <w:vAlign w:val="top"/>
            <w:gridSpan w:val="2"/>
            <w:tcBorders>
              <w:bottom w:val="single" w:color="000000" w:sz="2" w:space="0"/>
              <w:top w:val="single" w:color="000000" w:sz="2" w:space="0"/>
            </w:tcBorders>
          </w:tcPr>
          <w:p>
            <w:pPr>
              <w:pStyle w:val="TableText"/>
              <w:ind w:left="79"/>
              <w:spacing w:before="113" w:line="221" w:lineRule="auto"/>
              <w:rPr>
                <w:sz w:val="18"/>
                <w:szCs w:val="18"/>
              </w:rPr>
            </w:pPr>
            <w:r>
              <w:rPr>
                <w:sz w:val="18"/>
                <w:szCs w:val="18"/>
                <w:spacing w:val="-2"/>
              </w:rPr>
              <w:t>证券投资</w:t>
            </w:r>
          </w:p>
        </w:tc>
        <w:tc>
          <w:tcPr>
            <w:tcW w:w="1600" w:type="dxa"/>
            <w:vAlign w:val="top"/>
            <w:tcBorders>
              <w:bottom w:val="single" w:color="000000" w:sz="2" w:space="0"/>
              <w:top w:val="single" w:color="000000" w:sz="2" w:space="0"/>
            </w:tcBorders>
          </w:tcPr>
          <w:p>
            <w:pPr>
              <w:ind w:left="756"/>
              <w:spacing w:before="146"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694080" behindDoc="1" locked="0" layoutInCell="1" allowOverlap="1">
                      <wp:simplePos x="0" y="0"/>
                      <wp:positionH relativeFrom="column">
                        <wp:posOffset>-473201</wp:posOffset>
                      </wp:positionH>
                      <wp:positionV relativeFrom="paragraph">
                        <wp:posOffset>2520</wp:posOffset>
                      </wp:positionV>
                      <wp:extent cx="1242694" cy="238125"/>
                      <wp:effectExtent l="0" t="0" r="0" b="0"/>
                      <wp:wrapNone/>
                      <wp:docPr id="34" name="Rect 34"/>
                      <wp:cNvGraphicFramePr/>
                      <a:graphic>
                        <a:graphicData uri="http://schemas.microsoft.com/office/word/2010/wordprocessingShape">
                          <wps:wsp>
                            <wps:cNvPr id="34" name="Rect 34"/>
                            <wps:cNvSpPr/>
                            <wps:spPr>
                              <a:xfrm>
                                <a:off x="-473201" y="2520"/>
                                <a:ext cx="1242694"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70" style="position:absolute;margin-left:-37.26pt;margin-top:0.198456pt;mso-position-vertical-relative:text;mso-position-horizontal-relative:text;width:97.85pt;height:18.75pt;z-index:-251622400;" fillcolor="#DBE5F1" filled="true" stroked="false"/>
                  </w:pict>
                </mc:Fallback>
              </mc:AlternateContent>
            </w:r>
            <w:r>
              <w:rPr>
                <w:rFonts w:ascii="Times New Roman" w:hAnsi="Times New Roman" w:eastAsia="Times New Roman" w:cs="Times New Roman"/>
                <w:sz w:val="18"/>
                <w:szCs w:val="18"/>
                <w:b/>
                <w:bCs/>
                <w:spacing w:val="-1"/>
              </w:rPr>
              <w:t>7,754</w:t>
            </w:r>
          </w:p>
        </w:tc>
        <w:tc>
          <w:tcPr>
            <w:tcW w:w="1367" w:type="dxa"/>
            <w:vAlign w:val="top"/>
            <w:tcBorders>
              <w:bottom w:val="single" w:color="000000" w:sz="2" w:space="0"/>
              <w:top w:val="single" w:color="000000" w:sz="2" w:space="0"/>
            </w:tcBorders>
          </w:tcPr>
          <w:p>
            <w:pPr>
              <w:ind w:right="19"/>
              <w:spacing w:before="146" w:line="186" w:lineRule="auto"/>
              <w:jc w:val="right"/>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07392" behindDoc="1" locked="0" layoutInCell="1" allowOverlap="1">
                      <wp:simplePos x="0" y="0"/>
                      <wp:positionH relativeFrom="column">
                        <wp:posOffset>-246887</wp:posOffset>
                      </wp:positionH>
                      <wp:positionV relativeFrom="paragraph">
                        <wp:posOffset>2520</wp:posOffset>
                      </wp:positionV>
                      <wp:extent cx="1139189" cy="238125"/>
                      <wp:effectExtent l="0" t="0" r="0" b="0"/>
                      <wp:wrapNone/>
                      <wp:docPr id="36" name="Rect 36"/>
                      <wp:cNvGraphicFramePr/>
                      <a:graphic>
                        <a:graphicData uri="http://schemas.microsoft.com/office/word/2010/wordprocessingShape">
                          <wps:wsp>
                            <wps:cNvPr id="36" name="Rect 36"/>
                            <wps:cNvSpPr/>
                            <wps:spPr>
                              <a:xfrm>
                                <a:off x="-246887" y="2520"/>
                                <a:ext cx="1139189"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72" style="position:absolute;margin-left:-19.44pt;margin-top:0.198456pt;mso-position-vertical-relative:text;mso-position-horizontal-relative:text;width:89.7pt;height:18.75pt;z-index:-251609088;" fillcolor="#DBE5F1" filled="true" stroked="false"/>
                  </w:pict>
                </mc:Fallback>
              </mc:AlternateContent>
            </w:r>
            <w:r>
              <w:rPr>
                <w:rFonts w:ascii="Times New Roman" w:hAnsi="Times New Roman" w:eastAsia="Times New Roman" w:cs="Times New Roman"/>
                <w:sz w:val="18"/>
                <w:szCs w:val="18"/>
                <w:b/>
                <w:bCs/>
                <w:spacing w:val="-3"/>
              </w:rPr>
              <w:t>1,295</w:t>
            </w:r>
          </w:p>
        </w:tc>
        <w:tc>
          <w:tcPr>
            <w:shd w:val="clear" w:fill="DBE5F1"/>
            <w:tcW w:w="1837" w:type="dxa"/>
            <w:vAlign w:val="top"/>
            <w:tcBorders>
              <w:bottom w:val="single" w:color="000000" w:sz="2" w:space="0"/>
              <w:top w:val="single" w:color="000000" w:sz="2" w:space="0"/>
            </w:tcBorders>
          </w:tcPr>
          <w:p>
            <w:pPr>
              <w:ind w:left="1375"/>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9,049</w:t>
            </w:r>
          </w:p>
        </w:tc>
      </w:tr>
      <w:tr>
        <w:trPr>
          <w:trHeight w:val="379" w:hRule="atLeast"/>
        </w:trPr>
        <w:tc>
          <w:tcPr>
            <w:tcW w:w="4855" w:type="dxa"/>
            <w:vAlign w:val="top"/>
            <w:gridSpan w:val="2"/>
            <w:tcBorders>
              <w:bottom w:val="single" w:color="000000" w:sz="2" w:space="0"/>
              <w:top w:val="single" w:color="000000" w:sz="2" w:space="0"/>
            </w:tcBorders>
          </w:tcPr>
          <w:p>
            <w:pPr>
              <w:pStyle w:val="TableText"/>
              <w:ind w:left="79"/>
              <w:spacing w:before="113" w:line="220" w:lineRule="auto"/>
              <w:rPr>
                <w:sz w:val="18"/>
                <w:szCs w:val="18"/>
              </w:rPr>
            </w:pPr>
            <w:r>
              <w:rPr>
                <w:sz w:val="18"/>
                <w:szCs w:val="18"/>
                <w:spacing w:val="-2"/>
              </w:rPr>
              <w:t>利息收入变化</w:t>
            </w:r>
          </w:p>
        </w:tc>
        <w:tc>
          <w:tcPr>
            <w:tcW w:w="1600" w:type="dxa"/>
            <w:vAlign w:val="top"/>
            <w:tcBorders>
              <w:bottom w:val="single" w:color="000000" w:sz="2" w:space="0"/>
              <w:top w:val="single" w:color="000000" w:sz="2" w:space="0"/>
            </w:tcBorders>
          </w:tcPr>
          <w:p>
            <w:pPr>
              <w:ind w:left="666"/>
              <w:spacing w:before="146"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12512" behindDoc="1" locked="0" layoutInCell="1" allowOverlap="1">
                      <wp:simplePos x="0" y="0"/>
                      <wp:positionH relativeFrom="column">
                        <wp:posOffset>-473201</wp:posOffset>
                      </wp:positionH>
                      <wp:positionV relativeFrom="paragraph">
                        <wp:posOffset>2520</wp:posOffset>
                      </wp:positionV>
                      <wp:extent cx="1242694" cy="238125"/>
                      <wp:effectExtent l="0" t="0" r="0" b="0"/>
                      <wp:wrapNone/>
                      <wp:docPr id="38" name="Rect 38"/>
                      <wp:cNvGraphicFramePr/>
                      <a:graphic>
                        <a:graphicData uri="http://schemas.microsoft.com/office/word/2010/wordprocessingShape">
                          <wps:wsp>
                            <wps:cNvPr id="38" name="Rect 38"/>
                            <wps:cNvSpPr/>
                            <wps:spPr>
                              <a:xfrm>
                                <a:off x="-473201" y="2520"/>
                                <a:ext cx="1242694"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74" style="position:absolute;margin-left:-37.26pt;margin-top:0.198456pt;mso-position-vertical-relative:text;mso-position-horizontal-relative:text;width:97.85pt;height:18.75pt;z-index:-251603968;" fillcolor="#DBE5F1" filled="true" stroked="false"/>
                  </w:pict>
                </mc:Fallback>
              </mc:AlternateContent>
            </w:r>
            <w:r>
              <w:rPr>
                <w:rFonts w:ascii="Times New Roman" w:hAnsi="Times New Roman" w:eastAsia="Times New Roman" w:cs="Times New Roman"/>
                <w:sz w:val="18"/>
                <w:szCs w:val="18"/>
                <w:b/>
                <w:bCs/>
                <w:spacing w:val="-1"/>
              </w:rPr>
              <w:t>43,305</w:t>
            </w:r>
          </w:p>
        </w:tc>
        <w:tc>
          <w:tcPr>
            <w:tcW w:w="1367" w:type="dxa"/>
            <w:vAlign w:val="top"/>
            <w:tcBorders>
              <w:bottom w:val="single" w:color="000000" w:sz="2" w:space="0"/>
              <w:top w:val="single" w:color="000000" w:sz="2" w:space="0"/>
            </w:tcBorders>
          </w:tcPr>
          <w:p>
            <w:pPr>
              <w:ind w:right="18"/>
              <w:spacing w:before="146" w:line="186" w:lineRule="auto"/>
              <w:jc w:val="right"/>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01248" behindDoc="1" locked="0" layoutInCell="1" allowOverlap="1">
                      <wp:simplePos x="0" y="0"/>
                      <wp:positionH relativeFrom="column">
                        <wp:posOffset>-246887</wp:posOffset>
                      </wp:positionH>
                      <wp:positionV relativeFrom="paragraph">
                        <wp:posOffset>2645</wp:posOffset>
                      </wp:positionV>
                      <wp:extent cx="1139189" cy="238125"/>
                      <wp:effectExtent l="0" t="0" r="0" b="0"/>
                      <wp:wrapNone/>
                      <wp:docPr id="40" name="Rect 40"/>
                      <wp:cNvGraphicFramePr/>
                      <a:graphic>
                        <a:graphicData uri="http://schemas.microsoft.com/office/word/2010/wordprocessingShape">
                          <wps:wsp>
                            <wps:cNvPr id="40" name="Rect 40"/>
                            <wps:cNvSpPr/>
                            <wps:spPr>
                              <a:xfrm>
                                <a:off x="-246887" y="2645"/>
                                <a:ext cx="1139189"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76" style="position:absolute;margin-left:-19.44pt;margin-top:0.208283pt;mso-position-vertical-relative:text;mso-position-horizontal-relative:text;width:89.7pt;height:18.75pt;z-index:-251615232;" fillcolor="#DBE5F1" filled="true" stroked="false"/>
                  </w:pict>
                </mc:Fallback>
              </mc:AlternateContent>
            </w:r>
            <w:r>
              <w:rPr>
                <w:rFonts w:ascii="Times New Roman" w:hAnsi="Times New Roman" w:eastAsia="Times New Roman" w:cs="Times New Roman"/>
                <w:sz w:val="18"/>
                <w:szCs w:val="18"/>
                <w:b/>
                <w:bCs/>
                <w:spacing w:val="-1"/>
              </w:rPr>
              <w:t>(2,829)</w:t>
            </w:r>
          </w:p>
        </w:tc>
        <w:tc>
          <w:tcPr>
            <w:shd w:val="clear" w:fill="DBE5F1"/>
            <w:tcW w:w="1837" w:type="dxa"/>
            <w:vAlign w:val="top"/>
            <w:tcBorders>
              <w:bottom w:val="single" w:color="000000" w:sz="2" w:space="0"/>
              <w:top w:val="single" w:color="000000" w:sz="2" w:space="0"/>
            </w:tcBorders>
          </w:tcPr>
          <w:p>
            <w:pPr>
              <w:ind w:left="1282"/>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40,476</w:t>
            </w:r>
          </w:p>
        </w:tc>
      </w:tr>
      <w:tr>
        <w:trPr>
          <w:trHeight w:val="379" w:hRule="atLeast"/>
        </w:trPr>
        <w:tc>
          <w:tcPr>
            <w:tcW w:w="1335" w:type="dxa"/>
            <w:vAlign w:val="top"/>
            <w:tcBorders>
              <w:bottom w:val="single" w:color="000000" w:sz="2" w:space="0"/>
              <w:top w:val="single" w:color="000000" w:sz="2" w:space="0"/>
            </w:tcBorders>
          </w:tcPr>
          <w:p>
            <w:pPr>
              <w:pStyle w:val="TableText"/>
              <w:ind w:left="79"/>
              <w:spacing w:before="113" w:line="220" w:lineRule="auto"/>
              <w:rPr>
                <w:sz w:val="18"/>
                <w:szCs w:val="18"/>
              </w:rPr>
            </w:pPr>
            <w:r>
              <w:rPr>
                <w:sz w:val="18"/>
                <w:szCs w:val="18"/>
                <w:b/>
                <w:bCs/>
                <w:spacing w:val="-4"/>
              </w:rPr>
              <w:t>计息负债</w:t>
            </w:r>
          </w:p>
        </w:tc>
        <w:tc>
          <w:tcPr>
            <w:tcW w:w="8324" w:type="dxa"/>
            <w:vAlign w:val="top"/>
            <w:gridSpan w:val="4"/>
            <w:tcBorders>
              <w:bottom w:val="single" w:color="000000" w:sz="2" w:space="0"/>
              <w:top w:val="single" w:color="000000" w:sz="2" w:space="0"/>
            </w:tcBorders>
          </w:tcPr>
          <w:p>
            <w:pPr>
              <w:rPr>
                <w:rFonts w:ascii="Arial"/>
                <w:sz w:val="21"/>
              </w:rPr>
            </w:pPr>
            <w:r>
              <w:pict>
                <v:rect id="_x0000_s178" style="position:absolute;margin-left:-277.46pt;margin-top:0.199829pt;mso-position-vertical-relative:top-margin-area;mso-position-horizontal-relative:right-margin-area;width:277.25pt;height:18.75pt;z-index:251720704;" fillcolor="#DBE5F1" filled="true" stroked="false"/>
              </w:pict>
            </w:r>
            <w:r/>
          </w:p>
        </w:tc>
      </w:tr>
      <w:tr>
        <w:trPr>
          <w:trHeight w:val="379" w:hRule="atLeast"/>
        </w:trPr>
        <w:tc>
          <w:tcPr>
            <w:tcW w:w="4855" w:type="dxa"/>
            <w:vAlign w:val="top"/>
            <w:gridSpan w:val="2"/>
            <w:tcBorders>
              <w:bottom w:val="single" w:color="000000" w:sz="2" w:space="0"/>
              <w:top w:val="single" w:color="000000" w:sz="2" w:space="0"/>
            </w:tcBorders>
          </w:tcPr>
          <w:p>
            <w:pPr>
              <w:pStyle w:val="TableText"/>
              <w:ind w:left="80"/>
              <w:spacing w:before="114" w:line="220" w:lineRule="auto"/>
              <w:rPr>
                <w:sz w:val="18"/>
                <w:szCs w:val="18"/>
              </w:rPr>
            </w:pPr>
            <w:r>
              <w:rPr>
                <w:sz w:val="18"/>
                <w:szCs w:val="18"/>
                <w:spacing w:val="-2"/>
              </w:rPr>
              <w:t>客户存款</w:t>
            </w:r>
          </w:p>
        </w:tc>
        <w:tc>
          <w:tcPr>
            <w:tcW w:w="1600" w:type="dxa"/>
            <w:vAlign w:val="top"/>
            <w:tcBorders>
              <w:bottom w:val="single" w:color="000000" w:sz="2" w:space="0"/>
              <w:top w:val="single" w:color="000000" w:sz="2" w:space="0"/>
            </w:tcBorders>
          </w:tcPr>
          <w:p>
            <w:pPr>
              <w:ind w:left="671"/>
              <w:spacing w:before="146"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696128" behindDoc="1" locked="0" layoutInCell="1" allowOverlap="1">
                      <wp:simplePos x="0" y="0"/>
                      <wp:positionH relativeFrom="column">
                        <wp:posOffset>-473201</wp:posOffset>
                      </wp:positionH>
                      <wp:positionV relativeFrom="paragraph">
                        <wp:posOffset>2596</wp:posOffset>
                      </wp:positionV>
                      <wp:extent cx="1242694" cy="238125"/>
                      <wp:effectExtent l="0" t="0" r="0" b="0"/>
                      <wp:wrapNone/>
                      <wp:docPr id="42" name="Rect 42"/>
                      <wp:cNvGraphicFramePr/>
                      <a:graphic>
                        <a:graphicData uri="http://schemas.microsoft.com/office/word/2010/wordprocessingShape">
                          <wps:wsp>
                            <wps:cNvPr id="42" name="Rect 42"/>
                            <wps:cNvSpPr/>
                            <wps:spPr>
                              <a:xfrm>
                                <a:off x="-473201" y="2596"/>
                                <a:ext cx="1242694"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80" style="position:absolute;margin-left:-37.26pt;margin-top:0.204468pt;mso-position-vertical-relative:text;mso-position-horizontal-relative:text;width:97.85pt;height:18.75pt;z-index:-251620352;" fillcolor="#DBE5F1" filled="true" stroked="false"/>
                  </w:pict>
                </mc:Fallback>
              </mc:AlternateContent>
            </w:r>
            <w:r>
              <w:rPr>
                <w:rFonts w:ascii="Times New Roman" w:hAnsi="Times New Roman" w:eastAsia="Times New Roman" w:cs="Times New Roman"/>
                <w:sz w:val="18"/>
                <w:szCs w:val="18"/>
                <w:b/>
                <w:bCs/>
                <w:spacing w:val="-2"/>
              </w:rPr>
              <w:t>15,917</w:t>
            </w:r>
          </w:p>
        </w:tc>
        <w:tc>
          <w:tcPr>
            <w:tcW w:w="1367" w:type="dxa"/>
            <w:vAlign w:val="top"/>
            <w:tcBorders>
              <w:bottom w:val="single" w:color="000000" w:sz="2" w:space="0"/>
              <w:top w:val="single" w:color="000000" w:sz="2" w:space="0"/>
            </w:tcBorders>
          </w:tcPr>
          <w:p>
            <w:pPr>
              <w:ind w:right="19"/>
              <w:spacing w:before="146" w:line="186" w:lineRule="auto"/>
              <w:jc w:val="right"/>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00224" behindDoc="1" locked="0" layoutInCell="1" allowOverlap="1">
                      <wp:simplePos x="0" y="0"/>
                      <wp:positionH relativeFrom="column">
                        <wp:posOffset>-246887</wp:posOffset>
                      </wp:positionH>
                      <wp:positionV relativeFrom="paragraph">
                        <wp:posOffset>2596</wp:posOffset>
                      </wp:positionV>
                      <wp:extent cx="1139189" cy="238125"/>
                      <wp:effectExtent l="0" t="0" r="0" b="0"/>
                      <wp:wrapNone/>
                      <wp:docPr id="44" name="Rect 44"/>
                      <wp:cNvGraphicFramePr/>
                      <a:graphic>
                        <a:graphicData uri="http://schemas.microsoft.com/office/word/2010/wordprocessingShape">
                          <wps:wsp>
                            <wps:cNvPr id="44" name="Rect 44"/>
                            <wps:cNvSpPr/>
                            <wps:spPr>
                              <a:xfrm>
                                <a:off x="-246887" y="2596"/>
                                <a:ext cx="1139189"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82" style="position:absolute;margin-left:-19.44pt;margin-top:0.204468pt;mso-position-vertical-relative:text;mso-position-horizontal-relative:text;width:89.7pt;height:18.75pt;z-index:-251616256;" fillcolor="#DBE5F1" filled="true" stroked="false"/>
                  </w:pict>
                </mc:Fallback>
              </mc:AlternateContent>
            </w:r>
            <w:r>
              <w:rPr>
                <w:rFonts w:ascii="Times New Roman" w:hAnsi="Times New Roman" w:eastAsia="Times New Roman" w:cs="Times New Roman"/>
                <w:sz w:val="18"/>
                <w:szCs w:val="18"/>
                <w:b/>
                <w:bCs/>
                <w:spacing w:val="-2"/>
              </w:rPr>
              <w:t>6,558</w:t>
            </w:r>
          </w:p>
        </w:tc>
        <w:tc>
          <w:tcPr>
            <w:shd w:val="clear" w:fill="DBE5F1"/>
            <w:tcW w:w="1837" w:type="dxa"/>
            <w:vAlign w:val="top"/>
            <w:tcBorders>
              <w:bottom w:val="single" w:color="000000" w:sz="2" w:space="0"/>
              <w:top w:val="single" w:color="000000" w:sz="2" w:space="0"/>
            </w:tcBorders>
          </w:tcPr>
          <w:p>
            <w:pPr>
              <w:ind w:left="1282"/>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22,475</w:t>
            </w:r>
          </w:p>
        </w:tc>
      </w:tr>
      <w:tr>
        <w:trPr>
          <w:trHeight w:val="379" w:hRule="atLeast"/>
        </w:trPr>
        <w:tc>
          <w:tcPr>
            <w:tcW w:w="4855" w:type="dxa"/>
            <w:vAlign w:val="top"/>
            <w:gridSpan w:val="2"/>
            <w:tcBorders>
              <w:bottom w:val="single" w:color="000000" w:sz="2" w:space="0"/>
              <w:top w:val="single" w:color="000000" w:sz="2" w:space="0"/>
            </w:tcBorders>
          </w:tcPr>
          <w:p>
            <w:pPr>
              <w:pStyle w:val="TableText"/>
              <w:ind w:left="96"/>
              <w:spacing w:before="113" w:line="220" w:lineRule="auto"/>
              <w:rPr>
                <w:sz w:val="18"/>
                <w:szCs w:val="18"/>
              </w:rPr>
            </w:pPr>
            <w:r>
              <w:rPr>
                <w:sz w:val="18"/>
                <w:szCs w:val="18"/>
                <w:spacing w:val="-2"/>
              </w:rPr>
              <w:t>同业及其他金融机构存放和拆入款项</w:t>
            </w:r>
          </w:p>
        </w:tc>
        <w:tc>
          <w:tcPr>
            <w:tcW w:w="1600" w:type="dxa"/>
            <w:vAlign w:val="top"/>
            <w:tcBorders>
              <w:bottom w:val="single" w:color="000000" w:sz="2" w:space="0"/>
              <w:top w:val="single" w:color="000000" w:sz="2" w:space="0"/>
            </w:tcBorders>
          </w:tcPr>
          <w:p>
            <w:pPr>
              <w:ind w:left="754"/>
              <w:spacing w:before="146"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09440" behindDoc="1" locked="0" layoutInCell="1" allowOverlap="1">
                      <wp:simplePos x="0" y="0"/>
                      <wp:positionH relativeFrom="column">
                        <wp:posOffset>-473201</wp:posOffset>
                      </wp:positionH>
                      <wp:positionV relativeFrom="paragraph">
                        <wp:posOffset>2900</wp:posOffset>
                      </wp:positionV>
                      <wp:extent cx="1242694" cy="238125"/>
                      <wp:effectExtent l="0" t="0" r="0" b="0"/>
                      <wp:wrapNone/>
                      <wp:docPr id="46" name="Rect 46"/>
                      <wp:cNvGraphicFramePr/>
                      <a:graphic>
                        <a:graphicData uri="http://schemas.microsoft.com/office/word/2010/wordprocessingShape">
                          <wps:wsp>
                            <wps:cNvPr id="46" name="Rect 46"/>
                            <wps:cNvSpPr/>
                            <wps:spPr>
                              <a:xfrm>
                                <a:off x="-473201" y="2900"/>
                                <a:ext cx="1242694"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84" style="position:absolute;margin-left:-37.26pt;margin-top:0.228364pt;mso-position-vertical-relative:text;mso-position-horizontal-relative:text;width:97.85pt;height:18.75pt;z-index:-251607040;" fillcolor="#DBE5F1" filled="true" stroked="false"/>
                  </w:pict>
                </mc:Fallback>
              </mc:AlternateContent>
            </w:r>
            <w:r>
              <w:rPr>
                <w:rFonts w:ascii="Times New Roman" w:hAnsi="Times New Roman" w:eastAsia="Times New Roman" w:cs="Times New Roman"/>
                <w:sz w:val="18"/>
                <w:szCs w:val="18"/>
                <w:b/>
                <w:bCs/>
                <w:spacing w:val="-1"/>
              </w:rPr>
              <w:t>2,572</w:t>
            </w:r>
          </w:p>
        </w:tc>
        <w:tc>
          <w:tcPr>
            <w:tcW w:w="1367" w:type="dxa"/>
            <w:vAlign w:val="top"/>
            <w:tcBorders>
              <w:bottom w:val="single" w:color="000000" w:sz="2" w:space="0"/>
              <w:top w:val="single" w:color="000000" w:sz="2" w:space="0"/>
            </w:tcBorders>
          </w:tcPr>
          <w:p>
            <w:pPr>
              <w:ind w:right="19"/>
              <w:spacing w:before="146" w:line="186" w:lineRule="auto"/>
              <w:jc w:val="right"/>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698176" behindDoc="1" locked="0" layoutInCell="1" allowOverlap="1">
                      <wp:simplePos x="0" y="0"/>
                      <wp:positionH relativeFrom="column">
                        <wp:posOffset>-246887</wp:posOffset>
                      </wp:positionH>
                      <wp:positionV relativeFrom="paragraph">
                        <wp:posOffset>2900</wp:posOffset>
                      </wp:positionV>
                      <wp:extent cx="1139189" cy="238125"/>
                      <wp:effectExtent l="0" t="0" r="0" b="0"/>
                      <wp:wrapNone/>
                      <wp:docPr id="48" name="Rect 48"/>
                      <wp:cNvGraphicFramePr/>
                      <a:graphic>
                        <a:graphicData uri="http://schemas.microsoft.com/office/word/2010/wordprocessingShape">
                          <wps:wsp>
                            <wps:cNvPr id="48" name="Rect 48"/>
                            <wps:cNvSpPr/>
                            <wps:spPr>
                              <a:xfrm>
                                <a:off x="-246887" y="2900"/>
                                <a:ext cx="1139189"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86" style="position:absolute;margin-left:-19.44pt;margin-top:0.228364pt;mso-position-vertical-relative:text;mso-position-horizontal-relative:text;width:89.7pt;height:18.75pt;z-index:-251618304;" fillcolor="#DBE5F1" filled="true" stroked="false"/>
                  </w:pict>
                </mc:Fallback>
              </mc:AlternateContent>
            </w:r>
            <w:r>
              <w:rPr>
                <w:rFonts w:ascii="Times New Roman" w:hAnsi="Times New Roman" w:eastAsia="Times New Roman" w:cs="Times New Roman"/>
                <w:sz w:val="18"/>
                <w:szCs w:val="18"/>
                <w:b/>
                <w:bCs/>
                <w:spacing w:val="-1"/>
              </w:rPr>
              <w:t>3,543</w:t>
            </w:r>
          </w:p>
        </w:tc>
        <w:tc>
          <w:tcPr>
            <w:shd w:val="clear" w:fill="DBE5F1"/>
            <w:tcW w:w="1837" w:type="dxa"/>
            <w:vAlign w:val="top"/>
            <w:tcBorders>
              <w:bottom w:val="single" w:color="000000" w:sz="2" w:space="0"/>
              <w:top w:val="single" w:color="000000" w:sz="2" w:space="0"/>
            </w:tcBorders>
          </w:tcPr>
          <w:p>
            <w:pPr>
              <w:ind w:left="1385"/>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6,115</w:t>
            </w:r>
          </w:p>
        </w:tc>
      </w:tr>
      <w:tr>
        <w:trPr>
          <w:trHeight w:val="379" w:hRule="atLeast"/>
        </w:trPr>
        <w:tc>
          <w:tcPr>
            <w:tcW w:w="4855" w:type="dxa"/>
            <w:vAlign w:val="top"/>
            <w:gridSpan w:val="2"/>
            <w:tcBorders>
              <w:bottom w:val="single" w:color="000000" w:sz="2" w:space="0"/>
              <w:top w:val="single" w:color="000000" w:sz="2" w:space="0"/>
            </w:tcBorders>
          </w:tcPr>
          <w:p>
            <w:pPr>
              <w:pStyle w:val="TableText"/>
              <w:ind w:left="79"/>
              <w:spacing w:before="114" w:line="220" w:lineRule="auto"/>
              <w:rPr>
                <w:sz w:val="18"/>
                <w:szCs w:val="18"/>
              </w:rPr>
            </w:pPr>
            <w:r>
              <w:rPr>
                <w:sz w:val="18"/>
                <w:szCs w:val="18"/>
                <w:spacing w:val="-1"/>
              </w:rPr>
              <w:t>应付债券及其他</w:t>
            </w:r>
          </w:p>
        </w:tc>
        <w:tc>
          <w:tcPr>
            <w:tcW w:w="1600" w:type="dxa"/>
            <w:vAlign w:val="top"/>
            <w:tcBorders>
              <w:bottom w:val="single" w:color="000000" w:sz="2" w:space="0"/>
              <w:top w:val="single" w:color="000000" w:sz="2" w:space="0"/>
            </w:tcBorders>
          </w:tcPr>
          <w:p>
            <w:pPr>
              <w:ind w:left="754"/>
              <w:spacing w:before="146"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699200" behindDoc="1" locked="0" layoutInCell="1" allowOverlap="1">
                      <wp:simplePos x="0" y="0"/>
                      <wp:positionH relativeFrom="column">
                        <wp:posOffset>-473201</wp:posOffset>
                      </wp:positionH>
                      <wp:positionV relativeFrom="paragraph">
                        <wp:posOffset>2900</wp:posOffset>
                      </wp:positionV>
                      <wp:extent cx="1242694" cy="238125"/>
                      <wp:effectExtent l="0" t="0" r="0" b="0"/>
                      <wp:wrapNone/>
                      <wp:docPr id="50" name="Rect 50"/>
                      <wp:cNvGraphicFramePr/>
                      <a:graphic>
                        <a:graphicData uri="http://schemas.microsoft.com/office/word/2010/wordprocessingShape">
                          <wps:wsp>
                            <wps:cNvPr id="50" name="Rect 50"/>
                            <wps:cNvSpPr/>
                            <wps:spPr>
                              <a:xfrm>
                                <a:off x="-473201" y="2900"/>
                                <a:ext cx="1242694"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88" style="position:absolute;margin-left:-37.26pt;margin-top:0.228394pt;mso-position-vertical-relative:text;mso-position-horizontal-relative:text;width:97.85pt;height:18.75pt;z-index:-251617280;" fillcolor="#DBE5F1" filled="true" stroked="false"/>
                  </w:pict>
                </mc:Fallback>
              </mc:AlternateContent>
            </w:r>
            <w:r>
              <w:rPr>
                <w:rFonts w:ascii="Times New Roman" w:hAnsi="Times New Roman" w:eastAsia="Times New Roman" w:cs="Times New Roman"/>
                <w:sz w:val="18"/>
                <w:szCs w:val="18"/>
                <w:b/>
                <w:bCs/>
                <w:spacing w:val="-1"/>
              </w:rPr>
              <w:t>4,151</w:t>
            </w:r>
          </w:p>
        </w:tc>
        <w:tc>
          <w:tcPr>
            <w:tcW w:w="1367" w:type="dxa"/>
            <w:vAlign w:val="top"/>
            <w:tcBorders>
              <w:bottom w:val="single" w:color="000000" w:sz="2" w:space="0"/>
              <w:top w:val="single" w:color="000000" w:sz="2" w:space="0"/>
            </w:tcBorders>
          </w:tcPr>
          <w:p>
            <w:pPr>
              <w:ind w:right="18"/>
              <w:spacing w:before="146" w:line="186" w:lineRule="auto"/>
              <w:jc w:val="right"/>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695104" behindDoc="1" locked="0" layoutInCell="1" allowOverlap="1">
                      <wp:simplePos x="0" y="0"/>
                      <wp:positionH relativeFrom="column">
                        <wp:posOffset>-246887</wp:posOffset>
                      </wp:positionH>
                      <wp:positionV relativeFrom="paragraph">
                        <wp:posOffset>3026</wp:posOffset>
                      </wp:positionV>
                      <wp:extent cx="1139189" cy="238125"/>
                      <wp:effectExtent l="0" t="0" r="0" b="0"/>
                      <wp:wrapNone/>
                      <wp:docPr id="52" name="Rect 52"/>
                      <wp:cNvGraphicFramePr/>
                      <a:graphic>
                        <a:graphicData uri="http://schemas.microsoft.com/office/word/2010/wordprocessingShape">
                          <wps:wsp>
                            <wps:cNvPr id="52" name="Rect 52"/>
                            <wps:cNvSpPr/>
                            <wps:spPr>
                              <a:xfrm>
                                <a:off x="-246887" y="3026"/>
                                <a:ext cx="1139189"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90" style="position:absolute;margin-left:-19.44pt;margin-top:0.238282pt;mso-position-vertical-relative:text;mso-position-horizontal-relative:text;width:89.7pt;height:18.75pt;z-index:-251621376;" fillcolor="#DBE5F1" filled="true" stroked="false"/>
                  </w:pict>
                </mc:Fallback>
              </mc:AlternateContent>
            </w:r>
            <w:r>
              <w:rPr>
                <w:rFonts w:ascii="Times New Roman" w:hAnsi="Times New Roman" w:eastAsia="Times New Roman" w:cs="Times New Roman"/>
                <w:sz w:val="18"/>
                <w:szCs w:val="18"/>
                <w:b/>
                <w:bCs/>
                <w:spacing w:val="-2"/>
              </w:rPr>
              <w:t>(509)</w:t>
            </w:r>
          </w:p>
        </w:tc>
        <w:tc>
          <w:tcPr>
            <w:shd w:val="clear" w:fill="DBE5F1"/>
            <w:tcW w:w="1837" w:type="dxa"/>
            <w:vAlign w:val="top"/>
            <w:tcBorders>
              <w:bottom w:val="single" w:color="000000" w:sz="2" w:space="0"/>
              <w:top w:val="single" w:color="000000" w:sz="2" w:space="0"/>
            </w:tcBorders>
          </w:tcPr>
          <w:p>
            <w:pPr>
              <w:ind w:left="1372"/>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3,642</w:t>
            </w:r>
          </w:p>
        </w:tc>
      </w:tr>
      <w:tr>
        <w:trPr>
          <w:trHeight w:val="379" w:hRule="atLeast"/>
        </w:trPr>
        <w:tc>
          <w:tcPr>
            <w:tcW w:w="4855" w:type="dxa"/>
            <w:vAlign w:val="top"/>
            <w:gridSpan w:val="2"/>
            <w:tcBorders>
              <w:bottom w:val="single" w:color="000000" w:sz="2" w:space="0"/>
              <w:top w:val="single" w:color="000000" w:sz="2" w:space="0"/>
            </w:tcBorders>
          </w:tcPr>
          <w:p>
            <w:pPr>
              <w:pStyle w:val="TableText"/>
              <w:ind w:left="79"/>
              <w:spacing w:before="113" w:line="221" w:lineRule="auto"/>
              <w:rPr>
                <w:sz w:val="18"/>
                <w:szCs w:val="18"/>
              </w:rPr>
            </w:pPr>
            <w:r>
              <w:rPr>
                <w:sz w:val="18"/>
                <w:szCs w:val="18"/>
                <w:spacing w:val="-2"/>
              </w:rPr>
              <w:t>利息支出变化</w:t>
            </w:r>
          </w:p>
        </w:tc>
        <w:tc>
          <w:tcPr>
            <w:tcW w:w="1600" w:type="dxa"/>
            <w:vAlign w:val="top"/>
            <w:tcBorders>
              <w:bottom w:val="single" w:color="000000" w:sz="2" w:space="0"/>
              <w:top w:val="single" w:color="000000" w:sz="2" w:space="0"/>
            </w:tcBorders>
          </w:tcPr>
          <w:p>
            <w:pPr>
              <w:ind w:left="665"/>
              <w:spacing w:before="146"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06368" behindDoc="1" locked="0" layoutInCell="1" allowOverlap="1">
                      <wp:simplePos x="0" y="0"/>
                      <wp:positionH relativeFrom="column">
                        <wp:posOffset>-473201</wp:posOffset>
                      </wp:positionH>
                      <wp:positionV relativeFrom="paragraph">
                        <wp:posOffset>2900</wp:posOffset>
                      </wp:positionV>
                      <wp:extent cx="1242694" cy="238125"/>
                      <wp:effectExtent l="0" t="0" r="0" b="0"/>
                      <wp:wrapNone/>
                      <wp:docPr id="54" name="Rect 54"/>
                      <wp:cNvGraphicFramePr/>
                      <a:graphic>
                        <a:graphicData uri="http://schemas.microsoft.com/office/word/2010/wordprocessingShape">
                          <wps:wsp>
                            <wps:cNvPr id="54" name="Rect 54"/>
                            <wps:cNvSpPr/>
                            <wps:spPr>
                              <a:xfrm>
                                <a:off x="-473201" y="2900"/>
                                <a:ext cx="1242694"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92" style="position:absolute;margin-left:-37.26pt;margin-top:0.228394pt;mso-position-vertical-relative:text;mso-position-horizontal-relative:text;width:97.85pt;height:18.75pt;z-index:-251610112;" fillcolor="#DBE5F1" filled="true" stroked="false"/>
                  </w:pict>
                </mc:Fallback>
              </mc:AlternateContent>
            </w:r>
            <w:r>
              <w:rPr>
                <w:rFonts w:ascii="Times New Roman" w:hAnsi="Times New Roman" w:eastAsia="Times New Roman" w:cs="Times New Roman"/>
                <w:sz w:val="18"/>
                <w:szCs w:val="18"/>
                <w:b/>
                <w:bCs/>
                <w:spacing w:val="-1"/>
              </w:rPr>
              <w:t>22,640</w:t>
            </w:r>
          </w:p>
        </w:tc>
        <w:tc>
          <w:tcPr>
            <w:tcW w:w="1367" w:type="dxa"/>
            <w:vAlign w:val="top"/>
            <w:tcBorders>
              <w:bottom w:val="single" w:color="000000" w:sz="2" w:space="0"/>
              <w:top w:val="single" w:color="000000" w:sz="2" w:space="0"/>
            </w:tcBorders>
          </w:tcPr>
          <w:p>
            <w:pPr>
              <w:ind w:right="19"/>
              <w:spacing w:before="146" w:line="186" w:lineRule="auto"/>
              <w:jc w:val="right"/>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08416" behindDoc="1" locked="0" layoutInCell="1" allowOverlap="1">
                      <wp:simplePos x="0" y="0"/>
                      <wp:positionH relativeFrom="column">
                        <wp:posOffset>-246887</wp:posOffset>
                      </wp:positionH>
                      <wp:positionV relativeFrom="paragraph">
                        <wp:posOffset>2900</wp:posOffset>
                      </wp:positionV>
                      <wp:extent cx="1139189" cy="238125"/>
                      <wp:effectExtent l="0" t="0" r="0" b="0"/>
                      <wp:wrapNone/>
                      <wp:docPr id="56" name="Rect 56"/>
                      <wp:cNvGraphicFramePr/>
                      <a:graphic>
                        <a:graphicData uri="http://schemas.microsoft.com/office/word/2010/wordprocessingShape">
                          <wps:wsp>
                            <wps:cNvPr id="56" name="Rect 56"/>
                            <wps:cNvSpPr/>
                            <wps:spPr>
                              <a:xfrm>
                                <a:off x="-246887" y="2900"/>
                                <a:ext cx="1139189"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94" style="position:absolute;margin-left:-19.44pt;margin-top:0.228394pt;mso-position-vertical-relative:text;mso-position-horizontal-relative:text;width:89.7pt;height:18.75pt;z-index:-251608064;" fillcolor="#DBE5F1" filled="true" stroked="false"/>
                  </w:pict>
                </mc:Fallback>
              </mc:AlternateContent>
            </w:r>
            <w:r>
              <w:rPr>
                <w:rFonts w:ascii="Times New Roman" w:hAnsi="Times New Roman" w:eastAsia="Times New Roman" w:cs="Times New Roman"/>
                <w:sz w:val="18"/>
                <w:szCs w:val="18"/>
                <w:b/>
                <w:bCs/>
                <w:spacing w:val="-1"/>
              </w:rPr>
              <w:t>9,592</w:t>
            </w:r>
          </w:p>
        </w:tc>
        <w:tc>
          <w:tcPr>
            <w:shd w:val="clear" w:fill="DBE5F1"/>
            <w:tcW w:w="1837" w:type="dxa"/>
            <w:vAlign w:val="top"/>
            <w:tcBorders>
              <w:bottom w:val="single" w:color="000000" w:sz="2" w:space="0"/>
              <w:top w:val="single" w:color="000000" w:sz="2" w:space="0"/>
            </w:tcBorders>
          </w:tcPr>
          <w:p>
            <w:pPr>
              <w:ind w:left="1281"/>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32,232</w:t>
            </w:r>
          </w:p>
        </w:tc>
      </w:tr>
      <w:tr>
        <w:trPr>
          <w:trHeight w:val="379" w:hRule="atLeast"/>
        </w:trPr>
        <w:tc>
          <w:tcPr>
            <w:tcW w:w="4855" w:type="dxa"/>
            <w:vAlign w:val="top"/>
            <w:gridSpan w:val="2"/>
            <w:tcBorders>
              <w:bottom w:val="single" w:color="000000" w:sz="2" w:space="0"/>
              <w:top w:val="single" w:color="000000" w:sz="2" w:space="0"/>
            </w:tcBorders>
          </w:tcPr>
          <w:p>
            <w:pPr>
              <w:rPr>
                <w:rFonts w:ascii="Arial"/>
                <w:sz w:val="21"/>
              </w:rPr>
            </w:pPr>
            <w:r/>
          </w:p>
        </w:tc>
        <w:tc>
          <w:tcPr>
            <w:tcW w:w="1600" w:type="dxa"/>
            <w:vAlign w:val="top"/>
            <w:tcBorders>
              <w:bottom w:val="single" w:color="000000" w:sz="2" w:space="0"/>
              <w:top w:val="single" w:color="000000" w:sz="2" w:space="0"/>
            </w:tcBorders>
          </w:tcPr>
          <w:p>
            <w:pPr>
              <w:rPr>
                <w:rFonts w:ascii="Arial"/>
                <w:sz w:val="21"/>
              </w:rPr>
            </w:pPr>
            <w:r/>
          </w:p>
        </w:tc>
        <w:tc>
          <w:tcPr>
            <w:tcW w:w="3204" w:type="dxa"/>
            <w:vAlign w:val="top"/>
            <w:gridSpan w:val="2"/>
            <w:tcBorders>
              <w:bottom w:val="single" w:color="000000" w:sz="2" w:space="0"/>
              <w:top w:val="single" w:color="000000" w:sz="2" w:space="0"/>
            </w:tcBorders>
          </w:tcPr>
          <w:p>
            <w:pPr>
              <w:rPr>
                <w:rFonts w:ascii="Arial"/>
                <w:sz w:val="21"/>
              </w:rPr>
            </w:pPr>
            <w:r>
              <w:pict>
                <v:rect id="_x0000_s196" style="position:absolute;margin-left:-89.97pt;margin-top:0.229828pt;mso-position-vertical-relative:top-margin-area;mso-position-horizontal-relative:right-margin-area;width:89.8pt;height:18.75pt;z-index:251719680;" fillcolor="#DBE5F1" filled="true" stroked="false"/>
              </w:pict>
            </w:r>
            <w:r/>
          </w:p>
        </w:tc>
      </w:tr>
      <w:tr>
        <w:trPr>
          <w:trHeight w:val="383" w:hRule="atLeast"/>
        </w:trPr>
        <w:tc>
          <w:tcPr>
            <w:tcW w:w="4855" w:type="dxa"/>
            <w:vAlign w:val="top"/>
            <w:gridSpan w:val="2"/>
            <w:tcBorders>
              <w:bottom w:val="single" w:color="000000" w:sz="2" w:space="0"/>
              <w:top w:val="single" w:color="000000" w:sz="2" w:space="0"/>
            </w:tcBorders>
          </w:tcPr>
          <w:p>
            <w:pPr>
              <w:pStyle w:val="TableText"/>
              <w:ind w:left="79"/>
              <w:spacing w:before="114" w:line="220" w:lineRule="auto"/>
              <w:rPr>
                <w:sz w:val="18"/>
                <w:szCs w:val="18"/>
              </w:rPr>
            </w:pPr>
            <w:r>
              <w:rPr>
                <w:sz w:val="18"/>
                <w:szCs w:val="18"/>
                <w:b/>
                <w:bCs/>
                <w:spacing w:val="-3"/>
              </w:rPr>
              <w:t>利息净收入变化</w:t>
            </w:r>
          </w:p>
        </w:tc>
        <w:tc>
          <w:tcPr>
            <w:tcW w:w="1600" w:type="dxa"/>
            <w:vAlign w:val="top"/>
            <w:tcBorders>
              <w:bottom w:val="single" w:color="000000" w:sz="2" w:space="0"/>
              <w:top w:val="single" w:color="000000" w:sz="2" w:space="0"/>
            </w:tcBorders>
          </w:tcPr>
          <w:p>
            <w:pPr>
              <w:ind w:left="665"/>
              <w:spacing w:before="146"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691008" behindDoc="1" locked="0" layoutInCell="1" allowOverlap="1">
                      <wp:simplePos x="0" y="0"/>
                      <wp:positionH relativeFrom="column">
                        <wp:posOffset>-473201</wp:posOffset>
                      </wp:positionH>
                      <wp:positionV relativeFrom="paragraph">
                        <wp:posOffset>2900</wp:posOffset>
                      </wp:positionV>
                      <wp:extent cx="1242694" cy="238125"/>
                      <wp:effectExtent l="0" t="0" r="0" b="0"/>
                      <wp:wrapNone/>
                      <wp:docPr id="58" name="Rect 58"/>
                      <wp:cNvGraphicFramePr/>
                      <a:graphic>
                        <a:graphicData uri="http://schemas.microsoft.com/office/word/2010/wordprocessingShape">
                          <wps:wsp>
                            <wps:cNvPr id="58" name="Rect 58"/>
                            <wps:cNvSpPr/>
                            <wps:spPr>
                              <a:xfrm>
                                <a:off x="-473201" y="2900"/>
                                <a:ext cx="1242694"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98" style="position:absolute;margin-left:-37.26pt;margin-top:0.228394pt;mso-position-vertical-relative:text;mso-position-horizontal-relative:text;width:97.85pt;height:18.75pt;z-index:-251625472;" fillcolor="#DBE5F1" filled="true" stroked="false"/>
                  </w:pict>
                </mc:Fallback>
              </mc:AlternateContent>
            </w:r>
            <w:r>
              <w:rPr>
                <w:rFonts w:ascii="Times New Roman" w:hAnsi="Times New Roman" w:eastAsia="Times New Roman" w:cs="Times New Roman"/>
                <w:sz w:val="18"/>
                <w:szCs w:val="18"/>
                <w:b/>
                <w:bCs/>
                <w:spacing w:val="-1"/>
              </w:rPr>
              <w:t>20,665</w:t>
            </w:r>
          </w:p>
        </w:tc>
        <w:tc>
          <w:tcPr>
            <w:tcW w:w="1367" w:type="dxa"/>
            <w:vAlign w:val="top"/>
            <w:tcBorders>
              <w:bottom w:val="single" w:color="000000" w:sz="2" w:space="0"/>
              <w:top w:val="single" w:color="000000" w:sz="2" w:space="0"/>
            </w:tcBorders>
          </w:tcPr>
          <w:p>
            <w:pPr>
              <w:ind w:right="18"/>
              <w:spacing w:before="146" w:line="186" w:lineRule="auto"/>
              <w:jc w:val="right"/>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689984" behindDoc="1" locked="0" layoutInCell="1" allowOverlap="1">
                      <wp:simplePos x="0" y="0"/>
                      <wp:positionH relativeFrom="column">
                        <wp:posOffset>-246887</wp:posOffset>
                      </wp:positionH>
                      <wp:positionV relativeFrom="paragraph">
                        <wp:posOffset>3026</wp:posOffset>
                      </wp:positionV>
                      <wp:extent cx="1139189" cy="238125"/>
                      <wp:effectExtent l="0" t="0" r="0" b="0"/>
                      <wp:wrapNone/>
                      <wp:docPr id="60" name="Rect 60"/>
                      <wp:cNvGraphicFramePr/>
                      <a:graphic>
                        <a:graphicData uri="http://schemas.microsoft.com/office/word/2010/wordprocessingShape">
                          <wps:wsp>
                            <wps:cNvPr id="60" name="Rect 60"/>
                            <wps:cNvSpPr/>
                            <wps:spPr>
                              <a:xfrm>
                                <a:off x="-246887" y="3026"/>
                                <a:ext cx="1139189"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00" style="position:absolute;margin-left:-19.44pt;margin-top:0.238282pt;mso-position-vertical-relative:text;mso-position-horizontal-relative:text;width:89.7pt;height:18.75pt;z-index:-251626496;" fillcolor="#DBE5F1" filled="true" stroked="false"/>
                  </w:pict>
                </mc:Fallback>
              </mc:AlternateContent>
            </w:r>
            <w:r>
              <w:rPr>
                <w:rFonts w:ascii="Times New Roman" w:hAnsi="Times New Roman" w:eastAsia="Times New Roman" w:cs="Times New Roman"/>
                <w:sz w:val="18"/>
                <w:szCs w:val="18"/>
                <w:b/>
                <w:bCs/>
                <w:spacing w:val="-1"/>
              </w:rPr>
              <w:t>(12,421)</w:t>
            </w:r>
          </w:p>
        </w:tc>
        <w:tc>
          <w:tcPr>
            <w:shd w:val="clear" w:fill="DBE5F1"/>
            <w:tcW w:w="1837" w:type="dxa"/>
            <w:vAlign w:val="top"/>
            <w:tcBorders>
              <w:bottom w:val="single" w:color="000000" w:sz="2" w:space="0"/>
              <w:top w:val="single" w:color="000000" w:sz="2" w:space="0"/>
            </w:tcBorders>
          </w:tcPr>
          <w:p>
            <w:pPr>
              <w:ind w:left="1375"/>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8,244</w:t>
            </w:r>
          </w:p>
        </w:tc>
      </w:tr>
    </w:tbl>
    <w:p>
      <w:pPr>
        <w:ind w:left="21" w:firstLine="419"/>
        <w:spacing w:before="264" w:line="267" w:lineRule="auto"/>
        <w:rPr>
          <w:rFonts w:ascii="SimSun" w:hAnsi="SimSun" w:eastAsia="SimSun" w:cs="SimSun"/>
          <w:sz w:val="21"/>
          <w:szCs w:val="21"/>
        </w:rPr>
      </w:pPr>
      <w:r>
        <w:rPr>
          <w:rFonts w:ascii="SimSun" w:hAnsi="SimSun" w:eastAsia="SimSun" w:cs="SimSun"/>
          <w:sz w:val="21"/>
          <w:szCs w:val="21"/>
          <w:spacing w:val="4"/>
        </w:rPr>
        <w:t>报告期内,</w:t>
      </w:r>
      <w:r>
        <w:rPr>
          <w:rFonts w:ascii="SimSun" w:hAnsi="SimSun" w:eastAsia="SimSun" w:cs="SimSun"/>
          <w:sz w:val="21"/>
          <w:szCs w:val="21"/>
          <w:spacing w:val="30"/>
        </w:rPr>
        <w:t xml:space="preserve"> </w:t>
      </w:r>
      <w:r>
        <w:rPr>
          <w:rFonts w:ascii="SimSun" w:hAnsi="SimSun" w:eastAsia="SimSun" w:cs="SimSun"/>
          <w:sz w:val="21"/>
          <w:szCs w:val="21"/>
          <w:spacing w:val="4"/>
        </w:rPr>
        <w:t>本集团利息净收入同比增加</w:t>
      </w:r>
      <w:r>
        <w:rPr>
          <w:rFonts w:ascii="SimSun" w:hAnsi="SimSun" w:eastAsia="SimSun" w:cs="SimSun"/>
          <w:sz w:val="21"/>
          <w:szCs w:val="21"/>
          <w:spacing w:val="-25"/>
        </w:rPr>
        <w:t xml:space="preserve"> </w:t>
      </w:r>
      <w:r>
        <w:rPr>
          <w:rFonts w:ascii="Times New Roman" w:hAnsi="Times New Roman" w:eastAsia="Times New Roman" w:cs="Times New Roman"/>
          <w:sz w:val="21"/>
          <w:szCs w:val="21"/>
          <w:spacing w:val="4"/>
        </w:rPr>
        <w:t>82.</w:t>
      </w:r>
      <w:r>
        <w:rPr>
          <w:rFonts w:ascii="Times New Roman" w:hAnsi="Times New Roman" w:eastAsia="Times New Roman" w:cs="Times New Roman"/>
          <w:sz w:val="21"/>
          <w:szCs w:val="21"/>
          <w:spacing w:val="3"/>
        </w:rPr>
        <w:t>44</w:t>
      </w:r>
      <w:r>
        <w:rPr>
          <w:rFonts w:ascii="Times New Roman" w:hAnsi="Times New Roman" w:eastAsia="Times New Roman" w:cs="Times New Roman"/>
          <w:sz w:val="21"/>
          <w:szCs w:val="21"/>
          <w:spacing w:val="24"/>
        </w:rPr>
        <w:t xml:space="preserve"> </w:t>
      </w:r>
      <w:r>
        <w:rPr>
          <w:rFonts w:ascii="SimSun" w:hAnsi="SimSun" w:eastAsia="SimSun" w:cs="SimSun"/>
          <w:sz w:val="21"/>
          <w:szCs w:val="21"/>
          <w:spacing w:val="3"/>
        </w:rPr>
        <w:t>亿元,其中,各项资产负债平均余额变动带动利息净收</w:t>
      </w:r>
      <w:r>
        <w:rPr>
          <w:rFonts w:ascii="SimSun" w:hAnsi="SimSun" w:eastAsia="SimSun" w:cs="SimSun"/>
          <w:sz w:val="21"/>
          <w:szCs w:val="21"/>
        </w:rPr>
        <w:t xml:space="preserve"> </w:t>
      </w:r>
      <w:r>
        <w:rPr>
          <w:rFonts w:ascii="SimSun" w:hAnsi="SimSun" w:eastAsia="SimSun" w:cs="SimSun"/>
          <w:sz w:val="21"/>
          <w:szCs w:val="21"/>
          <w:spacing w:val="2"/>
        </w:rPr>
        <w:t>入增加</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2"/>
        </w:rPr>
        <w:t>206.65 </w:t>
      </w:r>
      <w:r>
        <w:rPr>
          <w:rFonts w:ascii="SimSun" w:hAnsi="SimSun" w:eastAsia="SimSun" w:cs="SimSun"/>
          <w:sz w:val="21"/>
          <w:szCs w:val="21"/>
          <w:spacing w:val="2"/>
        </w:rPr>
        <w:t>亿元,平均收益率和平均成本率变</w:t>
      </w:r>
      <w:r>
        <w:rPr>
          <w:rFonts w:ascii="SimSun" w:hAnsi="SimSun" w:eastAsia="SimSun" w:cs="SimSun"/>
          <w:sz w:val="21"/>
          <w:szCs w:val="21"/>
          <w:spacing w:val="1"/>
        </w:rPr>
        <w:t>动致使利息净收入减少</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1"/>
        </w:rPr>
        <w:t>124.21 </w:t>
      </w:r>
      <w:r>
        <w:rPr>
          <w:rFonts w:ascii="SimSun" w:hAnsi="SimSun" w:eastAsia="SimSun" w:cs="SimSun"/>
          <w:sz w:val="21"/>
          <w:szCs w:val="21"/>
          <w:spacing w:val="1"/>
        </w:rPr>
        <w:t>亿元。</w:t>
      </w:r>
    </w:p>
    <w:p>
      <w:pPr>
        <w:pStyle w:val="BodyText"/>
        <w:spacing w:line="244" w:lineRule="auto"/>
        <w:rPr/>
      </w:pPr>
      <w:r/>
    </w:p>
    <w:p>
      <w:pPr>
        <w:ind w:left="556"/>
        <w:spacing w:before="68" w:line="221" w:lineRule="auto"/>
        <w:rPr>
          <w:rFonts w:ascii="SimSun" w:hAnsi="SimSun" w:eastAsia="SimSun" w:cs="SimSun"/>
          <w:sz w:val="21"/>
          <w:szCs w:val="21"/>
        </w:rPr>
      </w:pPr>
      <w:r>
        <w:rPr>
          <w:rFonts w:ascii="SimSun" w:hAnsi="SimSun" w:eastAsia="SimSun" w:cs="SimSun"/>
          <w:sz w:val="21"/>
          <w:szCs w:val="21"/>
          <w:b/>
          <w:bCs/>
          <w:spacing w:val="12"/>
        </w:rPr>
        <w:t>(</w:t>
      </w:r>
      <w:r>
        <w:rPr>
          <w:rFonts w:ascii="Times New Roman" w:hAnsi="Times New Roman" w:eastAsia="Times New Roman" w:cs="Times New Roman"/>
          <w:sz w:val="21"/>
          <w:szCs w:val="21"/>
          <w:b/>
          <w:bCs/>
          <w:spacing w:val="12"/>
        </w:rPr>
        <w:t>1</w:t>
      </w:r>
      <w:r>
        <w:rPr>
          <w:rFonts w:ascii="SimSun" w:hAnsi="SimSun" w:eastAsia="SimSun" w:cs="SimSun"/>
          <w:sz w:val="21"/>
          <w:szCs w:val="21"/>
          <w:b/>
          <w:bCs/>
          <w:spacing w:val="12"/>
        </w:rPr>
        <w:t>)利息收入</w:t>
      </w:r>
    </w:p>
    <w:p>
      <w:pPr>
        <w:spacing w:line="221" w:lineRule="auto"/>
        <w:sectPr>
          <w:footerReference w:type="default" r:id="rId23"/>
          <w:pgSz w:w="11907" w:h="16839"/>
          <w:pgMar w:top="1134" w:right="1128" w:bottom="1375" w:left="1118" w:header="0" w:footer="1211" w:gutter="0"/>
        </w:sectPr>
        <w:rPr>
          <w:rFonts w:ascii="SimSun" w:hAnsi="SimSun" w:eastAsia="SimSun" w:cs="SimSun"/>
          <w:sz w:val="21"/>
          <w:szCs w:val="21"/>
        </w:rPr>
      </w:pPr>
    </w:p>
    <w:p>
      <w:pPr>
        <w:ind w:left="23" w:right="89" w:firstLine="417"/>
        <w:spacing w:before="43" w:line="269" w:lineRule="auto"/>
        <w:rPr>
          <w:rFonts w:ascii="SimSun" w:hAnsi="SimSun" w:eastAsia="SimSun" w:cs="SimSun"/>
          <w:sz w:val="21"/>
          <w:szCs w:val="21"/>
        </w:rPr>
      </w:pPr>
      <w:r>
        <w:rPr>
          <w:rFonts w:ascii="SimSun" w:hAnsi="SimSun" w:eastAsia="SimSun" w:cs="SimSun"/>
          <w:sz w:val="21"/>
          <w:szCs w:val="21"/>
          <w:spacing w:val="3"/>
        </w:rPr>
        <w:t>报告期内,</w:t>
      </w:r>
      <w:r>
        <w:rPr>
          <w:rFonts w:ascii="SimSun" w:hAnsi="SimSun" w:eastAsia="SimSun" w:cs="SimSun"/>
          <w:sz w:val="21"/>
          <w:szCs w:val="21"/>
          <w:spacing w:val="30"/>
        </w:rPr>
        <w:t xml:space="preserve"> </w:t>
      </w:r>
      <w:r>
        <w:rPr>
          <w:rFonts w:ascii="SimSun" w:hAnsi="SimSun" w:eastAsia="SimSun" w:cs="SimSun"/>
          <w:sz w:val="21"/>
          <w:szCs w:val="21"/>
          <w:spacing w:val="3"/>
        </w:rPr>
        <w:t>本集团实现利息收入</w:t>
      </w:r>
      <w:r>
        <w:rPr>
          <w:rFonts w:ascii="SimSun" w:hAnsi="SimSun" w:eastAsia="SimSun" w:cs="SimSun"/>
          <w:sz w:val="21"/>
          <w:szCs w:val="21"/>
          <w:spacing w:val="-37"/>
        </w:rPr>
        <w:t xml:space="preserve"> </w:t>
      </w:r>
      <w:r>
        <w:rPr>
          <w:rFonts w:ascii="Times New Roman" w:hAnsi="Times New Roman" w:eastAsia="Times New Roman" w:cs="Times New Roman"/>
          <w:sz w:val="21"/>
          <w:szCs w:val="21"/>
          <w:spacing w:val="3"/>
        </w:rPr>
        <w:t>4,181.22</w:t>
      </w:r>
      <w:r>
        <w:rPr>
          <w:rFonts w:ascii="Times New Roman" w:hAnsi="Times New Roman" w:eastAsia="Times New Roman" w:cs="Times New Roman"/>
          <w:sz w:val="21"/>
          <w:szCs w:val="21"/>
          <w:spacing w:val="22"/>
        </w:rPr>
        <w:t xml:space="preserve"> </w:t>
      </w:r>
      <w:r>
        <w:rPr>
          <w:rFonts w:ascii="SimSun" w:hAnsi="SimSun" w:eastAsia="SimSun" w:cs="SimSun"/>
          <w:sz w:val="21"/>
          <w:szCs w:val="21"/>
          <w:spacing w:val="3"/>
        </w:rPr>
        <w:t>亿</w:t>
      </w:r>
      <w:r>
        <w:rPr>
          <w:rFonts w:ascii="SimSun" w:hAnsi="SimSun" w:eastAsia="SimSun" w:cs="SimSun"/>
          <w:sz w:val="21"/>
          <w:szCs w:val="21"/>
          <w:spacing w:val="2"/>
        </w:rPr>
        <w:t>元,同比增加</w:t>
      </w:r>
      <w:r>
        <w:rPr>
          <w:rFonts w:ascii="SimSun" w:hAnsi="SimSun" w:eastAsia="SimSun" w:cs="SimSun"/>
          <w:sz w:val="21"/>
          <w:szCs w:val="21"/>
          <w:spacing w:val="-37"/>
        </w:rPr>
        <w:t xml:space="preserve"> </w:t>
      </w:r>
      <w:r>
        <w:rPr>
          <w:rFonts w:ascii="Times New Roman" w:hAnsi="Times New Roman" w:eastAsia="Times New Roman" w:cs="Times New Roman"/>
          <w:sz w:val="21"/>
          <w:szCs w:val="21"/>
          <w:spacing w:val="2"/>
        </w:rPr>
        <w:t>404.76</w:t>
      </w:r>
      <w:r>
        <w:rPr>
          <w:rFonts w:ascii="Times New Roman" w:hAnsi="Times New Roman" w:eastAsia="Times New Roman" w:cs="Times New Roman"/>
          <w:sz w:val="21"/>
          <w:szCs w:val="21"/>
          <w:spacing w:val="19"/>
        </w:rPr>
        <w:t xml:space="preserve"> </w:t>
      </w:r>
      <w:r>
        <w:rPr>
          <w:rFonts w:ascii="SimSun" w:hAnsi="SimSun" w:eastAsia="SimSun" w:cs="SimSun"/>
          <w:sz w:val="21"/>
          <w:szCs w:val="21"/>
          <w:spacing w:val="2"/>
        </w:rPr>
        <w:t>亿元,增幅</w:t>
      </w:r>
      <w:r>
        <w:rPr>
          <w:rFonts w:ascii="SimSun" w:hAnsi="SimSun" w:eastAsia="SimSun" w:cs="SimSun"/>
          <w:sz w:val="21"/>
          <w:szCs w:val="21"/>
          <w:spacing w:val="-18"/>
        </w:rPr>
        <w:t xml:space="preserve"> </w:t>
      </w:r>
      <w:r>
        <w:rPr>
          <w:rFonts w:ascii="Times New Roman" w:hAnsi="Times New Roman" w:eastAsia="Times New Roman" w:cs="Times New Roman"/>
          <w:sz w:val="21"/>
          <w:szCs w:val="21"/>
          <w:spacing w:val="2"/>
        </w:rPr>
        <w:t>10.72%</w:t>
      </w:r>
      <w:r>
        <w:rPr>
          <w:rFonts w:ascii="SimSun" w:hAnsi="SimSun" w:eastAsia="SimSun" w:cs="SimSun"/>
          <w:sz w:val="21"/>
          <w:szCs w:val="21"/>
          <w:spacing w:val="2"/>
        </w:rPr>
        <w:t>。其中客户贷款</w:t>
      </w:r>
      <w:r>
        <w:rPr>
          <w:rFonts w:ascii="SimSun" w:hAnsi="SimSun" w:eastAsia="SimSun" w:cs="SimSun"/>
          <w:sz w:val="21"/>
          <w:szCs w:val="21"/>
        </w:rPr>
        <w:t xml:space="preserve"> </w:t>
      </w:r>
      <w:r>
        <w:rPr>
          <w:rFonts w:ascii="SimSun" w:hAnsi="SimSun" w:eastAsia="SimSun" w:cs="SimSun"/>
          <w:sz w:val="21"/>
          <w:szCs w:val="21"/>
          <w:spacing w:val="-1"/>
        </w:rPr>
        <w:t>利息收入、证券投资利息收入和存放中央银行款项利息收入占比分别为</w:t>
      </w:r>
      <w:r>
        <w:rPr>
          <w:rFonts w:ascii="SimSun" w:hAnsi="SimSun" w:eastAsia="SimSun" w:cs="SimSun"/>
          <w:sz w:val="21"/>
          <w:szCs w:val="21"/>
          <w:spacing w:val="-29"/>
        </w:rPr>
        <w:t xml:space="preserve"> </w:t>
      </w:r>
      <w:r>
        <w:rPr>
          <w:rFonts w:ascii="Times New Roman" w:hAnsi="Times New Roman" w:eastAsia="Times New Roman" w:cs="Times New Roman"/>
          <w:sz w:val="21"/>
          <w:szCs w:val="21"/>
          <w:spacing w:val="-1"/>
        </w:rPr>
        <w:t>69.81%</w:t>
      </w:r>
      <w:r>
        <w:rPr>
          <w:rFonts w:ascii="Times New Roman" w:hAnsi="Times New Roman" w:eastAsia="Times New Roman" w:cs="Times New Roman"/>
          <w:sz w:val="21"/>
          <w:szCs w:val="21"/>
          <w:spacing w:val="-30"/>
        </w:rPr>
        <w:t xml:space="preserve"> </w:t>
      </w:r>
      <w:r>
        <w:rPr>
          <w:rFonts w:ascii="SimSun" w:hAnsi="SimSun" w:eastAsia="SimSun" w:cs="SimSun"/>
          <w:sz w:val="21"/>
          <w:szCs w:val="21"/>
          <w:spacing w:val="-1"/>
        </w:rPr>
        <w:t>、</w:t>
      </w:r>
      <w:r>
        <w:rPr>
          <w:rFonts w:ascii="Times New Roman" w:hAnsi="Times New Roman" w:eastAsia="Times New Roman" w:cs="Times New Roman"/>
          <w:sz w:val="21"/>
          <w:szCs w:val="21"/>
          <w:spacing w:val="-1"/>
        </w:rPr>
        <w:t>23.27%</w:t>
      </w:r>
      <w:r>
        <w:rPr>
          <w:rFonts w:ascii="SimSun" w:hAnsi="SimSun" w:eastAsia="SimSun" w:cs="SimSun"/>
          <w:sz w:val="21"/>
          <w:szCs w:val="21"/>
          <w:spacing w:val="-1"/>
        </w:rPr>
        <w:t>和</w:t>
      </w:r>
      <w:r>
        <w:rPr>
          <w:rFonts w:ascii="SimSun" w:hAnsi="SimSun" w:eastAsia="SimSun" w:cs="SimSun"/>
          <w:sz w:val="21"/>
          <w:szCs w:val="21"/>
          <w:spacing w:val="-50"/>
        </w:rPr>
        <w:t xml:space="preserve"> </w:t>
      </w:r>
      <w:r>
        <w:rPr>
          <w:rFonts w:ascii="Times New Roman" w:hAnsi="Times New Roman" w:eastAsia="Times New Roman" w:cs="Times New Roman"/>
          <w:sz w:val="21"/>
          <w:szCs w:val="21"/>
          <w:spacing w:val="-1"/>
        </w:rPr>
        <w:t>2.64%</w:t>
      </w:r>
      <w:r>
        <w:rPr>
          <w:rFonts w:ascii="SimSun" w:hAnsi="SimSun" w:eastAsia="SimSun" w:cs="SimSun"/>
          <w:sz w:val="21"/>
          <w:szCs w:val="21"/>
          <w:spacing w:val="-1"/>
        </w:rPr>
        <w:t>。</w:t>
      </w:r>
    </w:p>
    <w:p>
      <w:pPr>
        <w:pStyle w:val="BodyText"/>
        <w:rPr/>
      </w:pPr>
      <w:r/>
    </w:p>
    <w:p>
      <w:pPr>
        <w:ind w:left="438"/>
        <w:spacing w:before="68"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1"/>
        </w:rPr>
        <w:t>A.</w:t>
      </w:r>
      <w:r>
        <w:rPr>
          <w:rFonts w:ascii="SimSun" w:hAnsi="SimSun" w:eastAsia="SimSun" w:cs="SimSun"/>
          <w:sz w:val="21"/>
          <w:szCs w:val="21"/>
          <w:b/>
          <w:bCs/>
          <w:spacing w:val="-1"/>
        </w:rPr>
        <w:t>客户贷款利息收入</w:t>
      </w:r>
    </w:p>
    <w:p>
      <w:pPr>
        <w:ind w:left="25" w:right="85" w:firstLine="419"/>
        <w:spacing w:before="306" w:line="285" w:lineRule="auto"/>
        <w:jc w:val="both"/>
        <w:rPr>
          <w:rFonts w:ascii="SimSun" w:hAnsi="SimSun" w:eastAsia="SimSun" w:cs="SimSun"/>
          <w:sz w:val="21"/>
          <w:szCs w:val="21"/>
        </w:rPr>
      </w:pPr>
      <w:r>
        <w:rPr>
          <w:rFonts w:ascii="SimSun" w:hAnsi="SimSun" w:eastAsia="SimSun" w:cs="SimSun"/>
          <w:sz w:val="21"/>
          <w:szCs w:val="21"/>
          <w:spacing w:val="-1"/>
        </w:rPr>
        <w:t>客户贷款利息收入是本集团利息收入的最大组成部分</w:t>
      </w:r>
      <w:r>
        <w:rPr>
          <w:rFonts w:ascii="SimSun" w:hAnsi="SimSun" w:eastAsia="SimSun" w:cs="SimSun"/>
          <w:sz w:val="21"/>
          <w:szCs w:val="21"/>
          <w:spacing w:val="-2"/>
        </w:rPr>
        <w:t>。报告期内,</w:t>
      </w:r>
      <w:r>
        <w:rPr>
          <w:rFonts w:ascii="SimSun" w:hAnsi="SimSun" w:eastAsia="SimSun" w:cs="SimSun"/>
          <w:sz w:val="21"/>
          <w:szCs w:val="21"/>
          <w:spacing w:val="31"/>
        </w:rPr>
        <w:t xml:space="preserve"> </w:t>
      </w:r>
      <w:r>
        <w:rPr>
          <w:rFonts w:ascii="SimSun" w:hAnsi="SimSun" w:eastAsia="SimSun" w:cs="SimSun"/>
          <w:sz w:val="21"/>
          <w:szCs w:val="21"/>
          <w:spacing w:val="-2"/>
        </w:rPr>
        <w:t>客户贷款利息收入 </w:t>
      </w:r>
      <w:r>
        <w:rPr>
          <w:rFonts w:ascii="Times New Roman" w:hAnsi="Times New Roman" w:eastAsia="Times New Roman" w:cs="Times New Roman"/>
          <w:sz w:val="21"/>
          <w:szCs w:val="21"/>
          <w:spacing w:val="-2"/>
        </w:rPr>
        <w:t>2,919.05</w:t>
      </w:r>
      <w:r>
        <w:rPr>
          <w:rFonts w:ascii="Times New Roman" w:hAnsi="Times New Roman" w:eastAsia="Times New Roman" w:cs="Times New Roman"/>
          <w:sz w:val="21"/>
          <w:szCs w:val="21"/>
          <w:spacing w:val="47"/>
          <w:w w:val="101"/>
        </w:rPr>
        <w:t xml:space="preserve"> </w:t>
      </w:r>
      <w:r>
        <w:rPr>
          <w:rFonts w:ascii="SimSun" w:hAnsi="SimSun" w:eastAsia="SimSun" w:cs="SimSun"/>
          <w:sz w:val="21"/>
          <w:szCs w:val="21"/>
          <w:spacing w:val="-2"/>
        </w:rPr>
        <w:t>亿元,</w:t>
      </w:r>
      <w:r>
        <w:rPr>
          <w:rFonts w:ascii="SimSun" w:hAnsi="SimSun" w:eastAsia="SimSun" w:cs="SimSun"/>
          <w:sz w:val="21"/>
          <w:szCs w:val="21"/>
        </w:rPr>
        <w:t xml:space="preserve"> </w:t>
      </w:r>
      <w:r>
        <w:rPr>
          <w:rFonts w:ascii="SimSun" w:hAnsi="SimSun" w:eastAsia="SimSun" w:cs="SimSun"/>
          <w:sz w:val="21"/>
          <w:szCs w:val="21"/>
          <w:spacing w:val="1"/>
        </w:rPr>
        <w:t>同比增加</w:t>
      </w:r>
      <w:r>
        <w:rPr>
          <w:rFonts w:ascii="SimSun" w:hAnsi="SimSun" w:eastAsia="SimSun" w:cs="SimSun"/>
          <w:sz w:val="21"/>
          <w:szCs w:val="21"/>
          <w:spacing w:val="-25"/>
        </w:rPr>
        <w:t xml:space="preserve"> </w:t>
      </w:r>
      <w:r>
        <w:rPr>
          <w:rFonts w:ascii="Times New Roman" w:hAnsi="Times New Roman" w:eastAsia="Times New Roman" w:cs="Times New Roman"/>
          <w:sz w:val="21"/>
          <w:szCs w:val="21"/>
          <w:spacing w:val="1"/>
        </w:rPr>
        <w:t>254.86</w:t>
      </w:r>
      <w:r>
        <w:rPr>
          <w:rFonts w:ascii="Times New Roman" w:hAnsi="Times New Roman" w:eastAsia="Times New Roman" w:cs="Times New Roman"/>
          <w:sz w:val="21"/>
          <w:szCs w:val="21"/>
          <w:spacing w:val="26"/>
        </w:rPr>
        <w:t xml:space="preserve"> </w:t>
      </w:r>
      <w:r>
        <w:rPr>
          <w:rFonts w:ascii="SimSun" w:hAnsi="SimSun" w:eastAsia="SimSun" w:cs="SimSun"/>
          <w:sz w:val="21"/>
          <w:szCs w:val="21"/>
          <w:spacing w:val="1"/>
        </w:rPr>
        <w:t>亿元,</w:t>
      </w:r>
      <w:r>
        <w:rPr>
          <w:rFonts w:ascii="SimSun" w:hAnsi="SimSun" w:eastAsia="SimSun" w:cs="SimSun"/>
          <w:sz w:val="21"/>
          <w:szCs w:val="21"/>
          <w:spacing w:val="30"/>
        </w:rPr>
        <w:t xml:space="preserve"> </w:t>
      </w:r>
      <w:r>
        <w:rPr>
          <w:rFonts w:ascii="SimSun" w:hAnsi="SimSun" w:eastAsia="SimSun" w:cs="SimSun"/>
          <w:sz w:val="21"/>
          <w:szCs w:val="21"/>
          <w:spacing w:val="1"/>
        </w:rPr>
        <w:t>增幅</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1"/>
        </w:rPr>
        <w:t>9.57%</w:t>
      </w:r>
      <w:r>
        <w:rPr>
          <w:rFonts w:ascii="SimSun" w:hAnsi="SimSun" w:eastAsia="SimSun" w:cs="SimSun"/>
          <w:sz w:val="21"/>
          <w:szCs w:val="21"/>
          <w:spacing w:val="1"/>
        </w:rPr>
        <w:t>,</w:t>
      </w:r>
      <w:r>
        <w:rPr>
          <w:rFonts w:ascii="SimSun" w:hAnsi="SimSun" w:eastAsia="SimSun" w:cs="SimSun"/>
          <w:sz w:val="21"/>
          <w:szCs w:val="21"/>
          <w:spacing w:val="31"/>
        </w:rPr>
        <w:t xml:space="preserve"> </w:t>
      </w:r>
      <w:r>
        <w:rPr>
          <w:rFonts w:ascii="SimSun" w:hAnsi="SimSun" w:eastAsia="SimSun" w:cs="SimSun"/>
          <w:sz w:val="21"/>
          <w:szCs w:val="21"/>
          <w:spacing w:val="1"/>
        </w:rPr>
        <w:t>主要由于客户贷款平均余额增加</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1"/>
        </w:rPr>
        <w:t>7,807.37</w:t>
      </w:r>
      <w:r>
        <w:rPr>
          <w:rFonts w:ascii="Times New Roman" w:hAnsi="Times New Roman" w:eastAsia="Times New Roman" w:cs="Times New Roman"/>
          <w:sz w:val="21"/>
          <w:szCs w:val="21"/>
          <w:spacing w:val="26"/>
        </w:rPr>
        <w:t xml:space="preserve"> </w:t>
      </w:r>
      <w:r>
        <w:rPr>
          <w:rFonts w:ascii="SimSun" w:hAnsi="SimSun" w:eastAsia="SimSun" w:cs="SimSun"/>
          <w:sz w:val="21"/>
          <w:szCs w:val="21"/>
          <w:spacing w:val="1"/>
        </w:rPr>
        <w:t>亿元,增幅 </w:t>
      </w:r>
      <w:r>
        <w:rPr>
          <w:rFonts w:ascii="Times New Roman" w:hAnsi="Times New Roman" w:eastAsia="Times New Roman" w:cs="Times New Roman"/>
          <w:sz w:val="21"/>
          <w:szCs w:val="21"/>
          <w:spacing w:val="1"/>
        </w:rPr>
        <w:t>12.69%</w:t>
      </w:r>
      <w:r>
        <w:rPr>
          <w:rFonts w:ascii="SimSun" w:hAnsi="SimSun" w:eastAsia="SimSun" w:cs="SimSun"/>
          <w:sz w:val="21"/>
          <w:szCs w:val="21"/>
          <w:spacing w:val="1"/>
        </w:rPr>
        <w:t>,增长</w:t>
      </w:r>
      <w:r>
        <w:rPr>
          <w:rFonts w:ascii="SimSun" w:hAnsi="SimSun" w:eastAsia="SimSun" w:cs="SimSun"/>
          <w:sz w:val="21"/>
          <w:szCs w:val="21"/>
        </w:rPr>
        <w:t xml:space="preserve"> </w:t>
      </w:r>
      <w:r>
        <w:rPr>
          <w:rFonts w:ascii="SimSun" w:hAnsi="SimSun" w:eastAsia="SimSun" w:cs="SimSun"/>
          <w:sz w:val="21"/>
          <w:szCs w:val="21"/>
          <w:spacing w:val="-2"/>
        </w:rPr>
        <w:t>部分主要来自公司类和个人中长期贷款。</w:t>
      </w:r>
    </w:p>
    <w:p>
      <w:pPr>
        <w:ind w:left="447"/>
        <w:spacing w:before="307" w:line="221" w:lineRule="auto"/>
        <w:rPr>
          <w:rFonts w:ascii="SimSun" w:hAnsi="SimSun" w:eastAsia="SimSun" w:cs="SimSun"/>
          <w:sz w:val="21"/>
          <w:szCs w:val="21"/>
        </w:rPr>
      </w:pPr>
      <w:r>
        <w:rPr>
          <w:rFonts w:ascii="SimSun" w:hAnsi="SimSun" w:eastAsia="SimSun" w:cs="SimSun"/>
          <w:sz w:val="21"/>
          <w:szCs w:val="21"/>
          <w:b/>
          <w:bCs/>
          <w:spacing w:val="-2"/>
        </w:rPr>
        <w:t>按业务类型和期限结构划分的客户贷款平均收益分析</w:t>
      </w:r>
    </w:p>
    <w:p>
      <w:pPr>
        <w:pStyle w:val="BodyText"/>
        <w:spacing w:line="250" w:lineRule="auto"/>
        <w:rPr/>
      </w:pPr>
      <w:r/>
    </w:p>
    <w:p>
      <w:pPr>
        <w:ind w:left="7201"/>
        <w:spacing w:before="59" w:line="250"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position w:val="2"/>
        </w:rPr>
        <w:t>(</w:t>
      </w:r>
      <w:r>
        <w:rPr>
          <w:rFonts w:ascii="SimSun" w:hAnsi="SimSun" w:eastAsia="SimSun" w:cs="SimSun"/>
          <w:sz w:val="18"/>
          <w:szCs w:val="18"/>
          <w:spacing w:val="5"/>
          <w:position w:val="2"/>
        </w:rPr>
        <w:t>除另有标明外,人民币百万元</w:t>
      </w:r>
      <w:r>
        <w:rPr>
          <w:rFonts w:ascii="Times New Roman" w:hAnsi="Times New Roman" w:eastAsia="Times New Roman" w:cs="Times New Roman"/>
          <w:sz w:val="18"/>
          <w:szCs w:val="18"/>
          <w:spacing w:val="5"/>
          <w:position w:val="2"/>
        </w:rPr>
        <w:t>)</w:t>
      </w:r>
    </w:p>
    <w:p>
      <w:pPr>
        <w:spacing w:line="35" w:lineRule="auto"/>
        <w:rPr>
          <w:rFonts w:ascii="Arial"/>
          <w:sz w:val="2"/>
        </w:rPr>
      </w:pPr>
      <w:r>
        <w:rPr>
          <w:rFonts w:ascii="Arial"/>
          <w:sz w:val="2"/>
        </w:rPr>
      </w:r>
    </w:p>
    <w:tbl>
      <w:tblPr>
        <w:tblStyle w:val="TableNormal"/>
        <w:tblW w:w="9654"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069"/>
        <w:gridCol w:w="1265"/>
        <w:gridCol w:w="1265"/>
        <w:gridCol w:w="1263"/>
        <w:gridCol w:w="1480"/>
        <w:gridCol w:w="1174"/>
        <w:gridCol w:w="1138"/>
      </w:tblGrid>
      <w:tr>
        <w:trPr>
          <w:trHeight w:val="384" w:hRule="atLeast"/>
        </w:trPr>
        <w:tc>
          <w:tcPr>
            <w:tcW w:w="2069" w:type="dxa"/>
            <w:vAlign w:val="top"/>
            <w:vMerge w:val="restart"/>
            <w:tcBorders>
              <w:bottom w:val="nil"/>
              <w:top w:val="single" w:color="000000" w:sz="2" w:space="0"/>
            </w:tcBorders>
          </w:tcPr>
          <w:p>
            <w:pPr>
              <w:rPr>
                <w:rFonts w:ascii="Arial"/>
                <w:sz w:val="21"/>
              </w:rPr>
            </w:pPr>
            <w:r/>
          </w:p>
        </w:tc>
        <w:tc>
          <w:tcPr>
            <w:shd w:val="clear" w:fill="DBE5F1"/>
            <w:tcW w:w="3793" w:type="dxa"/>
            <w:vAlign w:val="top"/>
            <w:gridSpan w:val="3"/>
            <w:tcBorders>
              <w:bottom w:val="single" w:color="000000" w:sz="2" w:space="0"/>
              <w:top w:val="single" w:color="000000" w:sz="2" w:space="0"/>
            </w:tcBorders>
          </w:tcPr>
          <w:p>
            <w:pPr>
              <w:pStyle w:val="TableText"/>
              <w:ind w:left="1111"/>
              <w:spacing w:before="114" w:line="220" w:lineRule="auto"/>
              <w:rPr>
                <w:sz w:val="18"/>
                <w:szCs w:val="18"/>
              </w:rPr>
            </w:pPr>
            <w:r>
              <w:rPr>
                <w:rFonts w:ascii="Times New Roman" w:hAnsi="Times New Roman" w:eastAsia="Times New Roman" w:cs="Times New Roman"/>
                <w:sz w:val="18"/>
                <w:szCs w:val="18"/>
                <w:b/>
                <w:bCs/>
                <w:spacing w:val="-4"/>
              </w:rPr>
              <w:t>2022 </w:t>
            </w:r>
            <w:r>
              <w:rPr>
                <w:sz w:val="18"/>
                <w:szCs w:val="18"/>
                <w:b/>
                <w:bCs/>
                <w:spacing w:val="-4"/>
              </w:rPr>
              <w:t>年</w:t>
            </w:r>
            <w:r>
              <w:rPr>
                <w:sz w:val="18"/>
                <w:szCs w:val="18"/>
                <w:spacing w:val="-31"/>
              </w:rPr>
              <w:t xml:space="preserve"> </w:t>
            </w:r>
            <w:r>
              <w:rPr>
                <w:rFonts w:ascii="Times New Roman" w:hAnsi="Times New Roman" w:eastAsia="Times New Roman" w:cs="Times New Roman"/>
                <w:sz w:val="18"/>
                <w:szCs w:val="18"/>
                <w:b/>
                <w:bCs/>
                <w:spacing w:val="-4"/>
              </w:rPr>
              <w:t>1</w:t>
            </w:r>
            <w:r>
              <w:rPr>
                <w:rFonts w:ascii="Times New Roman" w:hAnsi="Times New Roman" w:eastAsia="Times New Roman" w:cs="Times New Roman"/>
                <w:sz w:val="18"/>
                <w:szCs w:val="18"/>
                <w:b/>
                <w:bCs/>
                <w:spacing w:val="13"/>
              </w:rPr>
              <w:t xml:space="preserve"> </w:t>
            </w:r>
            <w:r>
              <w:rPr>
                <w:sz w:val="18"/>
                <w:szCs w:val="18"/>
                <w:b/>
                <w:bCs/>
                <w:spacing w:val="-4"/>
              </w:rPr>
              <w:t>月至</w:t>
            </w:r>
            <w:r>
              <w:rPr>
                <w:sz w:val="18"/>
                <w:szCs w:val="18"/>
                <w:spacing w:val="-33"/>
              </w:rPr>
              <w:t xml:space="preserve"> </w:t>
            </w:r>
            <w:r>
              <w:rPr>
                <w:rFonts w:ascii="Times New Roman" w:hAnsi="Times New Roman" w:eastAsia="Times New Roman" w:cs="Times New Roman"/>
                <w:sz w:val="18"/>
                <w:szCs w:val="18"/>
                <w:b/>
                <w:bCs/>
                <w:spacing w:val="-4"/>
              </w:rPr>
              <w:t>12</w:t>
            </w:r>
            <w:r>
              <w:rPr>
                <w:rFonts w:ascii="Times New Roman" w:hAnsi="Times New Roman" w:eastAsia="Times New Roman" w:cs="Times New Roman"/>
                <w:sz w:val="18"/>
                <w:szCs w:val="18"/>
                <w:b/>
                <w:bCs/>
                <w:spacing w:val="11"/>
                <w:w w:val="101"/>
              </w:rPr>
              <w:t xml:space="preserve"> </w:t>
            </w:r>
            <w:r>
              <w:rPr>
                <w:sz w:val="18"/>
                <w:szCs w:val="18"/>
                <w:b/>
                <w:bCs/>
                <w:spacing w:val="-4"/>
              </w:rPr>
              <w:t>月</w:t>
            </w:r>
          </w:p>
        </w:tc>
        <w:tc>
          <w:tcPr>
            <w:tcW w:w="3792" w:type="dxa"/>
            <w:vAlign w:val="top"/>
            <w:gridSpan w:val="3"/>
            <w:tcBorders>
              <w:bottom w:val="single" w:color="000000" w:sz="2" w:space="0"/>
              <w:top w:val="single" w:color="000000" w:sz="2" w:space="0"/>
            </w:tcBorders>
          </w:tcPr>
          <w:p>
            <w:pPr>
              <w:pStyle w:val="TableText"/>
              <w:ind w:left="1112"/>
              <w:spacing w:before="114" w:line="220" w:lineRule="auto"/>
              <w:rPr>
                <w:sz w:val="18"/>
                <w:szCs w:val="18"/>
              </w:rPr>
            </w:pPr>
            <w:r>
              <w:rPr>
                <w:rFonts w:ascii="Times New Roman" w:hAnsi="Times New Roman" w:eastAsia="Times New Roman" w:cs="Times New Roman"/>
                <w:sz w:val="18"/>
                <w:szCs w:val="18"/>
                <w:spacing w:val="-6"/>
              </w:rPr>
              <w:t>2021</w:t>
            </w:r>
            <w:r>
              <w:rPr>
                <w:rFonts w:ascii="Times New Roman" w:hAnsi="Times New Roman" w:eastAsia="Times New Roman" w:cs="Times New Roman"/>
                <w:sz w:val="18"/>
                <w:szCs w:val="18"/>
                <w:spacing w:val="10"/>
              </w:rPr>
              <w:t xml:space="preserve"> </w:t>
            </w:r>
            <w:r>
              <w:rPr>
                <w:sz w:val="18"/>
                <w:szCs w:val="18"/>
                <w:spacing w:val="-6"/>
              </w:rPr>
              <w:t>年</w:t>
            </w:r>
            <w:r>
              <w:rPr>
                <w:sz w:val="18"/>
                <w:szCs w:val="18"/>
                <w:spacing w:val="-26"/>
              </w:rPr>
              <w:t xml:space="preserve"> </w:t>
            </w:r>
            <w:r>
              <w:rPr>
                <w:rFonts w:ascii="Times New Roman" w:hAnsi="Times New Roman" w:eastAsia="Times New Roman" w:cs="Times New Roman"/>
                <w:sz w:val="18"/>
                <w:szCs w:val="18"/>
                <w:spacing w:val="-6"/>
              </w:rPr>
              <w:t>1</w:t>
            </w:r>
            <w:r>
              <w:rPr>
                <w:rFonts w:ascii="Times New Roman" w:hAnsi="Times New Roman" w:eastAsia="Times New Roman" w:cs="Times New Roman"/>
                <w:sz w:val="18"/>
                <w:szCs w:val="18"/>
                <w:spacing w:val="13"/>
                <w:w w:val="101"/>
              </w:rPr>
              <w:t xml:space="preserve"> </w:t>
            </w:r>
            <w:r>
              <w:rPr>
                <w:sz w:val="18"/>
                <w:szCs w:val="18"/>
                <w:spacing w:val="-6"/>
              </w:rPr>
              <w:t>月至</w:t>
            </w:r>
            <w:r>
              <w:rPr>
                <w:sz w:val="18"/>
                <w:szCs w:val="18"/>
                <w:spacing w:val="-26"/>
              </w:rPr>
              <w:t xml:space="preserve"> </w:t>
            </w:r>
            <w:r>
              <w:rPr>
                <w:rFonts w:ascii="Times New Roman" w:hAnsi="Times New Roman" w:eastAsia="Times New Roman" w:cs="Times New Roman"/>
                <w:sz w:val="18"/>
                <w:szCs w:val="18"/>
                <w:spacing w:val="-6"/>
              </w:rPr>
              <w:t>12</w:t>
            </w:r>
            <w:r>
              <w:rPr>
                <w:rFonts w:ascii="Times New Roman" w:hAnsi="Times New Roman" w:eastAsia="Times New Roman" w:cs="Times New Roman"/>
                <w:sz w:val="18"/>
                <w:szCs w:val="18"/>
                <w:spacing w:val="13"/>
                <w:w w:val="101"/>
              </w:rPr>
              <w:t xml:space="preserve"> </w:t>
            </w:r>
            <w:r>
              <w:rPr>
                <w:sz w:val="18"/>
                <w:szCs w:val="18"/>
                <w:spacing w:val="-6"/>
              </w:rPr>
              <w:t>月</w:t>
            </w:r>
          </w:p>
        </w:tc>
      </w:tr>
      <w:tr>
        <w:trPr>
          <w:trHeight w:val="637" w:hRule="atLeast"/>
        </w:trPr>
        <w:tc>
          <w:tcPr>
            <w:tcW w:w="2069" w:type="dxa"/>
            <w:vAlign w:val="top"/>
            <w:vMerge w:val="continue"/>
            <w:tcBorders>
              <w:bottom w:val="single" w:color="000000" w:sz="2" w:space="0"/>
              <w:top w:val="nil"/>
            </w:tcBorders>
          </w:tcPr>
          <w:p>
            <w:pPr>
              <w:rPr>
                <w:rFonts w:ascii="Arial"/>
                <w:sz w:val="21"/>
              </w:rPr>
            </w:pPr>
            <w:r/>
          </w:p>
        </w:tc>
        <w:tc>
          <w:tcPr>
            <w:shd w:val="clear" w:fill="DBE5F1"/>
            <w:tcW w:w="1265" w:type="dxa"/>
            <w:vAlign w:val="top"/>
            <w:tcBorders>
              <w:bottom w:val="single" w:color="000000" w:sz="2" w:space="0"/>
              <w:top w:val="single" w:color="000000" w:sz="2" w:space="0"/>
            </w:tcBorders>
          </w:tcPr>
          <w:p>
            <w:pPr>
              <w:pStyle w:val="TableText"/>
              <w:ind w:left="491"/>
              <w:spacing w:before="239" w:line="220" w:lineRule="auto"/>
              <w:rPr>
                <w:sz w:val="18"/>
                <w:szCs w:val="18"/>
              </w:rPr>
            </w:pPr>
            <w:r>
              <w:rPr>
                <w:sz w:val="18"/>
                <w:szCs w:val="18"/>
                <w:b/>
                <w:bCs/>
                <w:spacing w:val="-3"/>
              </w:rPr>
              <w:t>平均余额</w:t>
            </w:r>
          </w:p>
        </w:tc>
        <w:tc>
          <w:tcPr>
            <w:shd w:val="clear" w:fill="DBE5F1"/>
            <w:tcW w:w="1265" w:type="dxa"/>
            <w:vAlign w:val="top"/>
            <w:tcBorders>
              <w:bottom w:val="single" w:color="000000" w:sz="2" w:space="0"/>
              <w:top w:val="single" w:color="000000" w:sz="2" w:space="0"/>
            </w:tcBorders>
          </w:tcPr>
          <w:p>
            <w:pPr>
              <w:pStyle w:val="TableText"/>
              <w:ind w:left="493"/>
              <w:spacing w:before="239" w:line="220" w:lineRule="auto"/>
              <w:rPr>
                <w:sz w:val="18"/>
                <w:szCs w:val="18"/>
              </w:rPr>
            </w:pPr>
            <w:r>
              <w:rPr>
                <w:sz w:val="18"/>
                <w:szCs w:val="18"/>
                <w:b/>
                <w:bCs/>
                <w:spacing w:val="-4"/>
              </w:rPr>
              <w:t>利息收入</w:t>
            </w:r>
          </w:p>
        </w:tc>
        <w:tc>
          <w:tcPr>
            <w:shd w:val="clear" w:fill="DBE5F1"/>
            <w:tcW w:w="1263" w:type="dxa"/>
            <w:vAlign w:val="top"/>
            <w:tcBorders>
              <w:bottom w:val="single" w:color="000000" w:sz="2" w:space="0"/>
              <w:top w:val="single" w:color="000000" w:sz="2" w:space="0"/>
            </w:tcBorders>
          </w:tcPr>
          <w:p>
            <w:pPr>
              <w:pStyle w:val="TableText"/>
              <w:ind w:left="311" w:right="55"/>
              <w:spacing w:before="112" w:line="246" w:lineRule="auto"/>
              <w:jc w:val="right"/>
              <w:rPr>
                <w:rFonts w:ascii="Times New Roman" w:hAnsi="Times New Roman" w:eastAsia="Times New Roman" w:cs="Times New Roman"/>
                <w:sz w:val="18"/>
                <w:szCs w:val="18"/>
              </w:rPr>
            </w:pPr>
            <w:r>
              <w:rPr>
                <w:sz w:val="18"/>
                <w:szCs w:val="18"/>
                <w:b/>
                <w:bCs/>
                <w:spacing w:val="-3"/>
              </w:rPr>
              <w:t>平均收益率</w:t>
            </w:r>
            <w:r>
              <w:rPr>
                <w:sz w:val="18"/>
                <w:szCs w:val="18"/>
              </w:rPr>
              <w:t xml:space="preserve"> </w:t>
            </w:r>
            <w:r>
              <w:rPr>
                <w:rFonts w:ascii="Times New Roman" w:hAnsi="Times New Roman" w:eastAsia="Times New Roman" w:cs="Times New Roman"/>
                <w:sz w:val="18"/>
                <w:szCs w:val="18"/>
                <w:b/>
                <w:bCs/>
                <w:spacing w:val="-2"/>
              </w:rPr>
              <w:t>(%)</w:t>
            </w:r>
          </w:p>
        </w:tc>
        <w:tc>
          <w:tcPr>
            <w:tcW w:w="1480" w:type="dxa"/>
            <w:vAlign w:val="top"/>
            <w:tcBorders>
              <w:bottom w:val="single" w:color="000000" w:sz="2" w:space="0"/>
              <w:top w:val="single" w:color="000000" w:sz="2" w:space="0"/>
            </w:tcBorders>
          </w:tcPr>
          <w:p>
            <w:pPr>
              <w:pStyle w:val="TableText"/>
              <w:ind w:left="493"/>
              <w:spacing w:before="239" w:line="220" w:lineRule="auto"/>
              <w:rPr>
                <w:sz w:val="18"/>
                <w:szCs w:val="18"/>
              </w:rPr>
            </w:pPr>
            <w:r>
              <w:rPr>
                <w:sz w:val="18"/>
                <w:szCs w:val="18"/>
                <w:spacing w:val="-2"/>
              </w:rPr>
              <w:t>平均余额</w:t>
            </w:r>
          </w:p>
        </w:tc>
        <w:tc>
          <w:tcPr>
            <w:tcW w:w="1174" w:type="dxa"/>
            <w:vAlign w:val="top"/>
            <w:tcBorders>
              <w:bottom w:val="single" w:color="000000" w:sz="2" w:space="0"/>
              <w:top w:val="single" w:color="000000" w:sz="2" w:space="0"/>
            </w:tcBorders>
          </w:tcPr>
          <w:p>
            <w:pPr>
              <w:pStyle w:val="TableText"/>
              <w:ind w:left="279"/>
              <w:spacing w:before="239" w:line="220" w:lineRule="auto"/>
              <w:rPr>
                <w:sz w:val="18"/>
                <w:szCs w:val="18"/>
              </w:rPr>
            </w:pPr>
            <w:r>
              <w:rPr>
                <w:sz w:val="18"/>
                <w:szCs w:val="18"/>
                <w:spacing w:val="-2"/>
              </w:rPr>
              <w:t>利息收入</w:t>
            </w:r>
          </w:p>
        </w:tc>
        <w:tc>
          <w:tcPr>
            <w:tcW w:w="1138" w:type="dxa"/>
            <w:vAlign w:val="top"/>
            <w:tcBorders>
              <w:bottom w:val="single" w:color="000000" w:sz="2" w:space="0"/>
              <w:top w:val="single" w:color="000000" w:sz="2" w:space="0"/>
            </w:tcBorders>
          </w:tcPr>
          <w:p>
            <w:pPr>
              <w:pStyle w:val="TableText"/>
              <w:ind w:left="189" w:right="54"/>
              <w:spacing w:before="111" w:line="256" w:lineRule="auto"/>
              <w:jc w:val="right"/>
              <w:rPr>
                <w:rFonts w:ascii="Times New Roman" w:hAnsi="Times New Roman" w:eastAsia="Times New Roman" w:cs="Times New Roman"/>
                <w:sz w:val="18"/>
                <w:szCs w:val="18"/>
              </w:rPr>
            </w:pPr>
            <w:r>
              <w:rPr>
                <w:sz w:val="18"/>
                <w:szCs w:val="18"/>
                <w:spacing w:val="-2"/>
              </w:rPr>
              <w:t>平均收益率</w:t>
            </w:r>
            <w:r>
              <w:rPr>
                <w:sz w:val="18"/>
                <w:szCs w:val="18"/>
                <w:spacing w:val="2"/>
              </w:rPr>
              <w:t xml:space="preserve"> </w:t>
            </w:r>
            <w:r>
              <w:rPr>
                <w:rFonts w:ascii="Times New Roman" w:hAnsi="Times New Roman" w:eastAsia="Times New Roman" w:cs="Times New Roman"/>
                <w:sz w:val="18"/>
                <w:szCs w:val="18"/>
                <w:spacing w:val="-3"/>
              </w:rPr>
              <w:t>(%)</w:t>
            </w:r>
          </w:p>
        </w:tc>
      </w:tr>
      <w:tr>
        <w:trPr>
          <w:trHeight w:val="379" w:hRule="atLeast"/>
        </w:trPr>
        <w:tc>
          <w:tcPr>
            <w:tcW w:w="2069" w:type="dxa"/>
            <w:vAlign w:val="top"/>
            <w:tcBorders>
              <w:bottom w:val="single" w:color="000000" w:sz="2" w:space="0"/>
              <w:top w:val="single" w:color="000000" w:sz="2" w:space="0"/>
            </w:tcBorders>
          </w:tcPr>
          <w:p>
            <w:pPr>
              <w:pStyle w:val="TableText"/>
              <w:ind w:left="84"/>
              <w:spacing w:before="111" w:line="220" w:lineRule="auto"/>
              <w:rPr>
                <w:sz w:val="18"/>
                <w:szCs w:val="18"/>
              </w:rPr>
            </w:pPr>
            <w:r>
              <w:rPr>
                <w:sz w:val="18"/>
                <w:szCs w:val="18"/>
                <w:b/>
                <w:bCs/>
                <w:spacing w:val="-4"/>
              </w:rPr>
              <w:t>公司类贷款</w:t>
            </w:r>
          </w:p>
        </w:tc>
        <w:tc>
          <w:tcPr>
            <w:shd w:val="clear" w:fill="DBE5F1"/>
            <w:tcW w:w="1265" w:type="dxa"/>
            <w:vAlign w:val="top"/>
            <w:tcBorders>
              <w:bottom w:val="single" w:color="000000" w:sz="2" w:space="0"/>
              <w:top w:val="single" w:color="000000" w:sz="2" w:space="0"/>
            </w:tcBorders>
          </w:tcPr>
          <w:p>
            <w:pPr>
              <w:ind w:left="489"/>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4,412,329</w:t>
            </w:r>
          </w:p>
        </w:tc>
        <w:tc>
          <w:tcPr>
            <w:shd w:val="clear" w:fill="DBE5F1"/>
            <w:tcW w:w="1265" w:type="dxa"/>
            <w:vAlign w:val="top"/>
            <w:tcBorders>
              <w:bottom w:val="single" w:color="000000" w:sz="2" w:space="0"/>
              <w:top w:val="single" w:color="000000" w:sz="2" w:space="0"/>
            </w:tcBorders>
          </w:tcPr>
          <w:p>
            <w:pPr>
              <w:ind w:left="634"/>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176,385</w:t>
            </w:r>
          </w:p>
        </w:tc>
        <w:tc>
          <w:tcPr>
            <w:shd w:val="clear" w:fill="DBE5F1"/>
            <w:tcW w:w="1263" w:type="dxa"/>
            <w:vAlign w:val="top"/>
            <w:tcBorders>
              <w:bottom w:val="single" w:color="000000" w:sz="2" w:space="0"/>
              <w:top w:val="single" w:color="000000" w:sz="2" w:space="0"/>
            </w:tcBorders>
          </w:tcPr>
          <w:p>
            <w:pPr>
              <w:ind w:left="898"/>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4.00</w:t>
            </w:r>
          </w:p>
        </w:tc>
        <w:tc>
          <w:tcPr>
            <w:tcW w:w="1480" w:type="dxa"/>
            <w:vAlign w:val="top"/>
            <w:tcBorders>
              <w:bottom w:val="single" w:color="000000" w:sz="2" w:space="0"/>
              <w:top w:val="single" w:color="000000" w:sz="2" w:space="0"/>
            </w:tcBorders>
          </w:tcPr>
          <w:p>
            <w:pPr>
              <w:ind w:left="492"/>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3,917,298</w:t>
            </w:r>
          </w:p>
        </w:tc>
        <w:tc>
          <w:tcPr>
            <w:tcW w:w="1174" w:type="dxa"/>
            <w:vAlign w:val="top"/>
            <w:tcBorders>
              <w:bottom w:val="single" w:color="000000" w:sz="2" w:space="0"/>
              <w:top w:val="single" w:color="000000" w:sz="2" w:space="0"/>
            </w:tcBorders>
          </w:tcPr>
          <w:p>
            <w:pPr>
              <w:ind w:left="427"/>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158,362</w:t>
            </w:r>
          </w:p>
        </w:tc>
        <w:tc>
          <w:tcPr>
            <w:tcW w:w="1138" w:type="dxa"/>
            <w:vAlign w:val="top"/>
            <w:tcBorders>
              <w:bottom w:val="single" w:color="000000" w:sz="2" w:space="0"/>
              <w:top w:val="single" w:color="000000" w:sz="2" w:space="0"/>
            </w:tcBorders>
          </w:tcPr>
          <w:p>
            <w:pPr>
              <w:ind w:left="772"/>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4.04</w:t>
            </w:r>
          </w:p>
        </w:tc>
      </w:tr>
      <w:tr>
        <w:trPr>
          <w:trHeight w:val="378" w:hRule="atLeast"/>
        </w:trPr>
        <w:tc>
          <w:tcPr>
            <w:tcW w:w="2069" w:type="dxa"/>
            <w:vAlign w:val="top"/>
            <w:tcBorders>
              <w:bottom w:val="single" w:color="000000" w:sz="2" w:space="0"/>
              <w:top w:val="single" w:color="000000" w:sz="2" w:space="0"/>
            </w:tcBorders>
          </w:tcPr>
          <w:p>
            <w:pPr>
              <w:pStyle w:val="TableText"/>
              <w:ind w:left="95"/>
              <w:spacing w:before="111" w:line="220" w:lineRule="auto"/>
              <w:rPr>
                <w:sz w:val="18"/>
                <w:szCs w:val="18"/>
              </w:rPr>
            </w:pPr>
            <w:r>
              <w:rPr>
                <w:sz w:val="18"/>
                <w:szCs w:val="18"/>
                <w:spacing w:val="13"/>
              </w:rPr>
              <w:t>-短期贷款</w:t>
            </w:r>
          </w:p>
        </w:tc>
        <w:tc>
          <w:tcPr>
            <w:shd w:val="clear" w:fill="DBE5F1"/>
            <w:tcW w:w="1265" w:type="dxa"/>
            <w:vAlign w:val="top"/>
            <w:tcBorders>
              <w:bottom w:val="single" w:color="000000" w:sz="2" w:space="0"/>
              <w:top w:val="single" w:color="000000" w:sz="2" w:space="0"/>
            </w:tcBorders>
          </w:tcPr>
          <w:p>
            <w:pPr>
              <w:ind w:left="499"/>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1,390,254</w:t>
            </w:r>
          </w:p>
        </w:tc>
        <w:tc>
          <w:tcPr>
            <w:shd w:val="clear" w:fill="DBE5F1"/>
            <w:tcW w:w="1265" w:type="dxa"/>
            <w:vAlign w:val="top"/>
            <w:tcBorders>
              <w:bottom w:val="single" w:color="000000" w:sz="2" w:space="0"/>
              <w:top w:val="single" w:color="000000" w:sz="2" w:space="0"/>
            </w:tcBorders>
          </w:tcPr>
          <w:p>
            <w:pPr>
              <w:ind w:left="717"/>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47,582</w:t>
            </w:r>
          </w:p>
        </w:tc>
        <w:tc>
          <w:tcPr>
            <w:shd w:val="clear" w:fill="DBE5F1"/>
            <w:tcW w:w="1263" w:type="dxa"/>
            <w:vAlign w:val="top"/>
            <w:tcBorders>
              <w:bottom w:val="single" w:color="000000" w:sz="2" w:space="0"/>
              <w:top w:val="single" w:color="000000" w:sz="2" w:space="0"/>
            </w:tcBorders>
          </w:tcPr>
          <w:p>
            <w:pPr>
              <w:ind w:left="896"/>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3.42</w:t>
            </w:r>
          </w:p>
        </w:tc>
        <w:tc>
          <w:tcPr>
            <w:tcW w:w="1480" w:type="dxa"/>
            <w:vAlign w:val="top"/>
            <w:tcBorders>
              <w:bottom w:val="single" w:color="000000" w:sz="2" w:space="0"/>
              <w:top w:val="single" w:color="000000" w:sz="2" w:space="0"/>
            </w:tcBorders>
          </w:tcPr>
          <w:p>
            <w:pPr>
              <w:ind w:left="508"/>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1,300,743</w:t>
            </w:r>
          </w:p>
        </w:tc>
        <w:tc>
          <w:tcPr>
            <w:tcW w:w="1174" w:type="dxa"/>
            <w:vAlign w:val="top"/>
            <w:tcBorders>
              <w:bottom w:val="single" w:color="000000" w:sz="2" w:space="0"/>
              <w:top w:val="single" w:color="000000" w:sz="2" w:space="0"/>
            </w:tcBorders>
          </w:tcPr>
          <w:p>
            <w:pPr>
              <w:ind w:left="498"/>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44,440</w:t>
            </w:r>
          </w:p>
        </w:tc>
        <w:tc>
          <w:tcPr>
            <w:tcW w:w="1138" w:type="dxa"/>
            <w:vAlign w:val="top"/>
            <w:tcBorders>
              <w:bottom w:val="single" w:color="000000" w:sz="2" w:space="0"/>
              <w:top w:val="single" w:color="000000" w:sz="2" w:space="0"/>
            </w:tcBorders>
          </w:tcPr>
          <w:p>
            <w:pPr>
              <w:ind w:left="776"/>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3.42</w:t>
            </w:r>
          </w:p>
        </w:tc>
      </w:tr>
      <w:tr>
        <w:trPr>
          <w:trHeight w:val="378" w:hRule="atLeast"/>
        </w:trPr>
        <w:tc>
          <w:tcPr>
            <w:tcW w:w="2069" w:type="dxa"/>
            <w:vAlign w:val="top"/>
            <w:tcBorders>
              <w:bottom w:val="single" w:color="000000" w:sz="2" w:space="0"/>
              <w:top w:val="single" w:color="000000" w:sz="2" w:space="0"/>
            </w:tcBorders>
          </w:tcPr>
          <w:p>
            <w:pPr>
              <w:pStyle w:val="TableText"/>
              <w:ind w:left="95"/>
              <w:spacing w:before="112" w:line="220" w:lineRule="auto"/>
              <w:rPr>
                <w:sz w:val="18"/>
                <w:szCs w:val="18"/>
              </w:rPr>
            </w:pPr>
            <w:r>
              <w:rPr>
                <w:sz w:val="18"/>
                <w:szCs w:val="18"/>
                <w:spacing w:val="11"/>
              </w:rPr>
              <w:t>-中长期贷款</w:t>
            </w:r>
          </w:p>
        </w:tc>
        <w:tc>
          <w:tcPr>
            <w:shd w:val="clear" w:fill="DBE5F1"/>
            <w:tcW w:w="1265" w:type="dxa"/>
            <w:vAlign w:val="top"/>
            <w:tcBorders>
              <w:bottom w:val="single" w:color="000000" w:sz="2" w:space="0"/>
              <w:top w:val="single" w:color="000000" w:sz="2" w:space="0"/>
            </w:tcBorders>
          </w:tcPr>
          <w:p>
            <w:pPr>
              <w:ind w:left="490"/>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3,022,075</w:t>
            </w:r>
          </w:p>
        </w:tc>
        <w:tc>
          <w:tcPr>
            <w:shd w:val="clear" w:fill="DBE5F1"/>
            <w:tcW w:w="1265" w:type="dxa"/>
            <w:vAlign w:val="top"/>
            <w:tcBorders>
              <w:bottom w:val="single" w:color="000000" w:sz="2" w:space="0"/>
              <w:top w:val="single" w:color="000000" w:sz="2" w:space="0"/>
            </w:tcBorders>
          </w:tcPr>
          <w:p>
            <w:pPr>
              <w:ind w:left="634"/>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128,803</w:t>
            </w:r>
          </w:p>
        </w:tc>
        <w:tc>
          <w:tcPr>
            <w:shd w:val="clear" w:fill="DBE5F1"/>
            <w:tcW w:w="1263" w:type="dxa"/>
            <w:vAlign w:val="top"/>
            <w:tcBorders>
              <w:bottom w:val="single" w:color="000000" w:sz="2" w:space="0"/>
              <w:top w:val="single" w:color="000000" w:sz="2" w:space="0"/>
            </w:tcBorders>
          </w:tcPr>
          <w:p>
            <w:pPr>
              <w:ind w:left="895"/>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4.26</w:t>
            </w:r>
          </w:p>
        </w:tc>
        <w:tc>
          <w:tcPr>
            <w:tcW w:w="1480" w:type="dxa"/>
            <w:vAlign w:val="top"/>
            <w:tcBorders>
              <w:bottom w:val="single" w:color="000000" w:sz="2" w:space="0"/>
              <w:top w:val="single" w:color="000000" w:sz="2" w:space="0"/>
            </w:tcBorders>
          </w:tcPr>
          <w:p>
            <w:pPr>
              <w:ind w:left="491"/>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2,616,555</w:t>
            </w:r>
          </w:p>
        </w:tc>
        <w:tc>
          <w:tcPr>
            <w:tcW w:w="1174" w:type="dxa"/>
            <w:vAlign w:val="top"/>
            <w:tcBorders>
              <w:bottom w:val="single" w:color="000000" w:sz="2" w:space="0"/>
              <w:top w:val="single" w:color="000000" w:sz="2" w:space="0"/>
            </w:tcBorders>
          </w:tcPr>
          <w:p>
            <w:pPr>
              <w:ind w:left="435"/>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113,922</w:t>
            </w:r>
          </w:p>
        </w:tc>
        <w:tc>
          <w:tcPr>
            <w:tcW w:w="1138" w:type="dxa"/>
            <w:vAlign w:val="top"/>
            <w:tcBorders>
              <w:bottom w:val="single" w:color="000000" w:sz="2" w:space="0"/>
              <w:top w:val="single" w:color="000000" w:sz="2" w:space="0"/>
            </w:tcBorders>
          </w:tcPr>
          <w:p>
            <w:pPr>
              <w:ind w:left="772"/>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4.35</w:t>
            </w:r>
          </w:p>
        </w:tc>
      </w:tr>
      <w:tr>
        <w:trPr>
          <w:trHeight w:val="379" w:hRule="atLeast"/>
        </w:trPr>
        <w:tc>
          <w:tcPr>
            <w:tcW w:w="2069" w:type="dxa"/>
            <w:vAlign w:val="top"/>
            <w:tcBorders>
              <w:bottom w:val="single" w:color="000000" w:sz="2" w:space="0"/>
              <w:top w:val="single" w:color="000000" w:sz="2" w:space="0"/>
            </w:tcBorders>
          </w:tcPr>
          <w:p>
            <w:pPr>
              <w:pStyle w:val="TableText"/>
              <w:ind w:left="79"/>
              <w:spacing w:before="113" w:line="220" w:lineRule="auto"/>
              <w:rPr>
                <w:sz w:val="18"/>
                <w:szCs w:val="18"/>
              </w:rPr>
            </w:pPr>
            <w:r>
              <w:rPr>
                <w:sz w:val="18"/>
                <w:szCs w:val="18"/>
                <w:b/>
                <w:bCs/>
                <w:spacing w:val="-4"/>
              </w:rPr>
              <w:t>个人贷款</w:t>
            </w:r>
          </w:p>
        </w:tc>
        <w:tc>
          <w:tcPr>
            <w:shd w:val="clear" w:fill="DBE5F1"/>
            <w:tcW w:w="1265" w:type="dxa"/>
            <w:vAlign w:val="top"/>
            <w:tcBorders>
              <w:bottom w:val="single" w:color="000000" w:sz="2" w:space="0"/>
              <w:top w:val="single" w:color="000000" w:sz="2" w:space="0"/>
            </w:tcBorders>
          </w:tcPr>
          <w:p>
            <w:pPr>
              <w:ind w:left="489"/>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2,287,938</w:t>
            </w:r>
          </w:p>
        </w:tc>
        <w:tc>
          <w:tcPr>
            <w:shd w:val="clear" w:fill="DBE5F1"/>
            <w:tcW w:w="1265" w:type="dxa"/>
            <w:vAlign w:val="top"/>
            <w:tcBorders>
              <w:bottom w:val="single" w:color="000000" w:sz="2" w:space="0"/>
              <w:top w:val="single" w:color="000000" w:sz="2" w:space="0"/>
            </w:tcBorders>
          </w:tcPr>
          <w:p>
            <w:pPr>
              <w:ind w:left="655"/>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5"/>
              </w:rPr>
              <w:t>111,439</w:t>
            </w:r>
          </w:p>
        </w:tc>
        <w:tc>
          <w:tcPr>
            <w:shd w:val="clear" w:fill="DBE5F1"/>
            <w:tcW w:w="1263" w:type="dxa"/>
            <w:vAlign w:val="top"/>
            <w:tcBorders>
              <w:bottom w:val="single" w:color="000000" w:sz="2" w:space="0"/>
              <w:top w:val="single" w:color="000000" w:sz="2" w:space="0"/>
            </w:tcBorders>
          </w:tcPr>
          <w:p>
            <w:pPr>
              <w:ind w:left="898"/>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4.87</w:t>
            </w:r>
          </w:p>
        </w:tc>
        <w:tc>
          <w:tcPr>
            <w:tcW w:w="1480" w:type="dxa"/>
            <w:vAlign w:val="top"/>
            <w:tcBorders>
              <w:bottom w:val="single" w:color="000000" w:sz="2" w:space="0"/>
              <w:top w:val="single" w:color="000000" w:sz="2" w:space="0"/>
            </w:tcBorders>
          </w:tcPr>
          <w:p>
            <w:pPr>
              <w:ind w:left="488"/>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2,075,137</w:t>
            </w:r>
          </w:p>
        </w:tc>
        <w:tc>
          <w:tcPr>
            <w:tcW w:w="1174" w:type="dxa"/>
            <w:vAlign w:val="top"/>
            <w:tcBorders>
              <w:bottom w:val="single" w:color="000000" w:sz="2" w:space="0"/>
              <w:top w:val="single" w:color="000000" w:sz="2" w:space="0"/>
            </w:tcBorders>
          </w:tcPr>
          <w:p>
            <w:pPr>
              <w:ind w:left="427"/>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103,576</w:t>
            </w:r>
          </w:p>
        </w:tc>
        <w:tc>
          <w:tcPr>
            <w:tcW w:w="1138" w:type="dxa"/>
            <w:vAlign w:val="top"/>
            <w:tcBorders>
              <w:bottom w:val="single" w:color="000000" w:sz="2" w:space="0"/>
              <w:top w:val="single" w:color="000000" w:sz="2" w:space="0"/>
            </w:tcBorders>
          </w:tcPr>
          <w:p>
            <w:pPr>
              <w:ind w:left="772"/>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4.99</w:t>
            </w:r>
          </w:p>
        </w:tc>
      </w:tr>
      <w:tr>
        <w:trPr>
          <w:trHeight w:val="379" w:hRule="atLeast"/>
        </w:trPr>
        <w:tc>
          <w:tcPr>
            <w:tcW w:w="2069" w:type="dxa"/>
            <w:vAlign w:val="top"/>
            <w:tcBorders>
              <w:bottom w:val="single" w:color="000000" w:sz="2" w:space="0"/>
              <w:top w:val="single" w:color="000000" w:sz="2" w:space="0"/>
            </w:tcBorders>
          </w:tcPr>
          <w:p>
            <w:pPr>
              <w:pStyle w:val="TableText"/>
              <w:ind w:left="95"/>
              <w:spacing w:before="113" w:line="220" w:lineRule="auto"/>
              <w:rPr>
                <w:sz w:val="18"/>
                <w:szCs w:val="18"/>
              </w:rPr>
            </w:pPr>
            <w:r>
              <w:rPr>
                <w:sz w:val="18"/>
                <w:szCs w:val="18"/>
                <w:spacing w:val="13"/>
              </w:rPr>
              <w:t>-短期贷款</w:t>
            </w:r>
          </w:p>
        </w:tc>
        <w:tc>
          <w:tcPr>
            <w:shd w:val="clear" w:fill="DBE5F1"/>
            <w:tcW w:w="1265" w:type="dxa"/>
            <w:vAlign w:val="top"/>
            <w:tcBorders>
              <w:bottom w:val="single" w:color="000000" w:sz="2" w:space="0"/>
              <w:top w:val="single" w:color="000000" w:sz="2" w:space="0"/>
            </w:tcBorders>
          </w:tcPr>
          <w:p>
            <w:pPr>
              <w:ind w:left="628"/>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584,594</w:t>
            </w:r>
          </w:p>
        </w:tc>
        <w:tc>
          <w:tcPr>
            <w:shd w:val="clear" w:fill="DBE5F1"/>
            <w:tcW w:w="1265" w:type="dxa"/>
            <w:vAlign w:val="top"/>
            <w:tcBorders>
              <w:bottom w:val="single" w:color="000000" w:sz="2" w:space="0"/>
              <w:top w:val="single" w:color="000000" w:sz="2" w:space="0"/>
            </w:tcBorders>
          </w:tcPr>
          <w:p>
            <w:pPr>
              <w:ind w:left="715"/>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28,849</w:t>
            </w:r>
          </w:p>
        </w:tc>
        <w:tc>
          <w:tcPr>
            <w:shd w:val="clear" w:fill="DBE5F1"/>
            <w:tcW w:w="1263" w:type="dxa"/>
            <w:vAlign w:val="top"/>
            <w:tcBorders>
              <w:bottom w:val="single" w:color="000000" w:sz="2" w:space="0"/>
              <w:top w:val="single" w:color="000000" w:sz="2" w:space="0"/>
            </w:tcBorders>
          </w:tcPr>
          <w:p>
            <w:pPr>
              <w:ind w:left="895"/>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4.93</w:t>
            </w:r>
          </w:p>
        </w:tc>
        <w:tc>
          <w:tcPr>
            <w:tcW w:w="1480" w:type="dxa"/>
            <w:vAlign w:val="top"/>
            <w:tcBorders>
              <w:bottom w:val="single" w:color="000000" w:sz="2" w:space="0"/>
              <w:top w:val="single" w:color="000000" w:sz="2" w:space="0"/>
            </w:tcBorders>
          </w:tcPr>
          <w:p>
            <w:pPr>
              <w:ind w:left="630"/>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547,418</w:t>
            </w:r>
          </w:p>
        </w:tc>
        <w:tc>
          <w:tcPr>
            <w:tcW w:w="1174" w:type="dxa"/>
            <w:vAlign w:val="top"/>
            <w:tcBorders>
              <w:bottom w:val="single" w:color="000000" w:sz="2" w:space="0"/>
              <w:top w:val="single" w:color="000000" w:sz="2" w:space="0"/>
            </w:tcBorders>
          </w:tcPr>
          <w:p>
            <w:pPr>
              <w:ind w:left="499"/>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29,541</w:t>
            </w:r>
          </w:p>
        </w:tc>
        <w:tc>
          <w:tcPr>
            <w:tcW w:w="1138" w:type="dxa"/>
            <w:vAlign w:val="top"/>
            <w:tcBorders>
              <w:bottom w:val="single" w:color="000000" w:sz="2" w:space="0"/>
              <w:top w:val="single" w:color="000000" w:sz="2" w:space="0"/>
            </w:tcBorders>
          </w:tcPr>
          <w:p>
            <w:pPr>
              <w:ind w:left="777"/>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5.40</w:t>
            </w:r>
          </w:p>
        </w:tc>
      </w:tr>
      <w:tr>
        <w:trPr>
          <w:trHeight w:val="378" w:hRule="atLeast"/>
        </w:trPr>
        <w:tc>
          <w:tcPr>
            <w:tcW w:w="2069" w:type="dxa"/>
            <w:vAlign w:val="top"/>
            <w:tcBorders>
              <w:bottom w:val="single" w:color="000000" w:sz="2" w:space="0"/>
              <w:top w:val="single" w:color="000000" w:sz="2" w:space="0"/>
            </w:tcBorders>
          </w:tcPr>
          <w:p>
            <w:pPr>
              <w:pStyle w:val="TableText"/>
              <w:ind w:left="95"/>
              <w:spacing w:before="113" w:line="220" w:lineRule="auto"/>
              <w:rPr>
                <w:sz w:val="18"/>
                <w:szCs w:val="18"/>
              </w:rPr>
            </w:pPr>
            <w:r>
              <w:rPr>
                <w:sz w:val="18"/>
                <w:szCs w:val="18"/>
                <w:spacing w:val="11"/>
              </w:rPr>
              <w:t>-中长期贷款</w:t>
            </w:r>
          </w:p>
        </w:tc>
        <w:tc>
          <w:tcPr>
            <w:shd w:val="clear" w:fill="DBE5F1"/>
            <w:tcW w:w="1265" w:type="dxa"/>
            <w:vAlign w:val="top"/>
            <w:tcBorders>
              <w:bottom w:val="single" w:color="000000" w:sz="2" w:space="0"/>
              <w:top w:val="single" w:color="000000" w:sz="2" w:space="0"/>
            </w:tcBorders>
          </w:tcPr>
          <w:p>
            <w:pPr>
              <w:ind w:left="496"/>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1,703,344</w:t>
            </w:r>
          </w:p>
        </w:tc>
        <w:tc>
          <w:tcPr>
            <w:shd w:val="clear" w:fill="DBE5F1"/>
            <w:tcW w:w="1265" w:type="dxa"/>
            <w:vAlign w:val="top"/>
            <w:tcBorders>
              <w:bottom w:val="single" w:color="000000" w:sz="2" w:space="0"/>
              <w:top w:val="single" w:color="000000" w:sz="2" w:space="0"/>
            </w:tcBorders>
          </w:tcPr>
          <w:p>
            <w:pPr>
              <w:ind w:left="717"/>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82,590</w:t>
            </w:r>
          </w:p>
        </w:tc>
        <w:tc>
          <w:tcPr>
            <w:shd w:val="clear" w:fill="DBE5F1"/>
            <w:tcW w:w="1263" w:type="dxa"/>
            <w:vAlign w:val="top"/>
            <w:tcBorders>
              <w:bottom w:val="single" w:color="000000" w:sz="2" w:space="0"/>
              <w:top w:val="single" w:color="000000" w:sz="2" w:space="0"/>
            </w:tcBorders>
          </w:tcPr>
          <w:p>
            <w:pPr>
              <w:ind w:left="898"/>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4.85</w:t>
            </w:r>
          </w:p>
        </w:tc>
        <w:tc>
          <w:tcPr>
            <w:tcW w:w="1480" w:type="dxa"/>
            <w:vAlign w:val="top"/>
            <w:tcBorders>
              <w:bottom w:val="single" w:color="000000" w:sz="2" w:space="0"/>
              <w:top w:val="single" w:color="000000" w:sz="2" w:space="0"/>
            </w:tcBorders>
          </w:tcPr>
          <w:p>
            <w:pPr>
              <w:ind w:left="506"/>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1,527,719</w:t>
            </w:r>
          </w:p>
        </w:tc>
        <w:tc>
          <w:tcPr>
            <w:tcW w:w="1174" w:type="dxa"/>
            <w:vAlign w:val="top"/>
            <w:tcBorders>
              <w:bottom w:val="single" w:color="000000" w:sz="2" w:space="0"/>
              <w:top w:val="single" w:color="000000" w:sz="2" w:space="0"/>
            </w:tcBorders>
          </w:tcPr>
          <w:p>
            <w:pPr>
              <w:ind w:left="502"/>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74,035</w:t>
            </w:r>
          </w:p>
        </w:tc>
        <w:tc>
          <w:tcPr>
            <w:tcW w:w="1138" w:type="dxa"/>
            <w:vAlign w:val="top"/>
            <w:tcBorders>
              <w:bottom w:val="single" w:color="000000" w:sz="2" w:space="0"/>
              <w:top w:val="single" w:color="000000" w:sz="2" w:space="0"/>
            </w:tcBorders>
          </w:tcPr>
          <w:p>
            <w:pPr>
              <w:ind w:left="772"/>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4.85</w:t>
            </w:r>
          </w:p>
        </w:tc>
      </w:tr>
      <w:tr>
        <w:trPr>
          <w:trHeight w:val="379" w:hRule="atLeast"/>
        </w:trPr>
        <w:tc>
          <w:tcPr>
            <w:tcW w:w="2069" w:type="dxa"/>
            <w:vAlign w:val="top"/>
            <w:tcBorders>
              <w:bottom w:val="single" w:color="000000" w:sz="2" w:space="0"/>
              <w:top w:val="single" w:color="000000" w:sz="2" w:space="0"/>
            </w:tcBorders>
          </w:tcPr>
          <w:p>
            <w:pPr>
              <w:pStyle w:val="TableText"/>
              <w:ind w:left="80"/>
              <w:spacing w:before="114" w:line="220" w:lineRule="auto"/>
              <w:rPr>
                <w:sz w:val="18"/>
                <w:szCs w:val="18"/>
              </w:rPr>
            </w:pPr>
            <w:r>
              <w:rPr>
                <w:sz w:val="18"/>
                <w:szCs w:val="18"/>
                <w:b/>
                <w:bCs/>
                <w:spacing w:val="-4"/>
              </w:rPr>
              <w:t>票据贴现</w:t>
            </w:r>
          </w:p>
        </w:tc>
        <w:tc>
          <w:tcPr>
            <w:shd w:val="clear" w:fill="DBE5F1"/>
            <w:tcW w:w="1265" w:type="dxa"/>
            <w:vAlign w:val="top"/>
            <w:tcBorders>
              <w:bottom w:val="single" w:color="000000" w:sz="2" w:space="0"/>
              <w:top w:val="single" w:color="000000" w:sz="2" w:space="0"/>
            </w:tcBorders>
          </w:tcPr>
          <w:p>
            <w:pPr>
              <w:ind w:left="626"/>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234,692</w:t>
            </w:r>
          </w:p>
        </w:tc>
        <w:tc>
          <w:tcPr>
            <w:shd w:val="clear" w:fill="DBE5F1"/>
            <w:tcW w:w="1265" w:type="dxa"/>
            <w:vAlign w:val="top"/>
            <w:tcBorders>
              <w:bottom w:val="single" w:color="000000" w:sz="2" w:space="0"/>
              <w:top w:val="single" w:color="000000" w:sz="2" w:space="0"/>
            </w:tcBorders>
          </w:tcPr>
          <w:p>
            <w:pPr>
              <w:ind w:left="806"/>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4,081</w:t>
            </w:r>
          </w:p>
        </w:tc>
        <w:tc>
          <w:tcPr>
            <w:shd w:val="clear" w:fill="DBE5F1"/>
            <w:tcW w:w="1263" w:type="dxa"/>
            <w:vAlign w:val="top"/>
            <w:tcBorders>
              <w:bottom w:val="single" w:color="000000" w:sz="2" w:space="0"/>
              <w:top w:val="single" w:color="000000" w:sz="2" w:space="0"/>
            </w:tcBorders>
          </w:tcPr>
          <w:p>
            <w:pPr>
              <w:ind w:left="903"/>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1.74</w:t>
            </w:r>
          </w:p>
        </w:tc>
        <w:tc>
          <w:tcPr>
            <w:tcW w:w="1480" w:type="dxa"/>
            <w:vAlign w:val="top"/>
            <w:tcBorders>
              <w:bottom w:val="single" w:color="000000" w:sz="2" w:space="0"/>
              <w:top w:val="single" w:color="000000" w:sz="2" w:space="0"/>
            </w:tcBorders>
          </w:tcPr>
          <w:p>
            <w:pPr>
              <w:ind w:left="642"/>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161,787</w:t>
            </w:r>
          </w:p>
        </w:tc>
        <w:tc>
          <w:tcPr>
            <w:tcW w:w="1174" w:type="dxa"/>
            <w:vAlign w:val="top"/>
            <w:tcBorders>
              <w:bottom w:val="single" w:color="000000" w:sz="2" w:space="0"/>
              <w:top w:val="single" w:color="000000" w:sz="2" w:space="0"/>
            </w:tcBorders>
          </w:tcPr>
          <w:p>
            <w:pPr>
              <w:ind w:left="590"/>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4,481</w:t>
            </w:r>
          </w:p>
        </w:tc>
        <w:tc>
          <w:tcPr>
            <w:tcW w:w="1138" w:type="dxa"/>
            <w:vAlign w:val="top"/>
            <w:tcBorders>
              <w:bottom w:val="single" w:color="000000" w:sz="2" w:space="0"/>
              <w:top w:val="single" w:color="000000" w:sz="2" w:space="0"/>
            </w:tcBorders>
          </w:tcPr>
          <w:p>
            <w:pPr>
              <w:ind w:left="772"/>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2.77</w:t>
            </w:r>
          </w:p>
        </w:tc>
      </w:tr>
      <w:tr>
        <w:trPr>
          <w:trHeight w:val="383" w:hRule="atLeast"/>
        </w:trPr>
        <w:tc>
          <w:tcPr>
            <w:tcW w:w="2069" w:type="dxa"/>
            <w:vAlign w:val="top"/>
            <w:tcBorders>
              <w:bottom w:val="single" w:color="000000" w:sz="2" w:space="0"/>
              <w:top w:val="single" w:color="000000" w:sz="2" w:space="0"/>
            </w:tcBorders>
          </w:tcPr>
          <w:p>
            <w:pPr>
              <w:pStyle w:val="TableText"/>
              <w:ind w:left="80"/>
              <w:spacing w:before="114" w:line="220" w:lineRule="auto"/>
              <w:rPr>
                <w:sz w:val="18"/>
                <w:szCs w:val="18"/>
              </w:rPr>
            </w:pPr>
            <w:r>
              <w:rPr>
                <w:sz w:val="18"/>
                <w:szCs w:val="18"/>
                <w:b/>
                <w:bCs/>
                <w:spacing w:val="-3"/>
              </w:rPr>
              <w:t>客户贷款总额</w:t>
            </w:r>
          </w:p>
        </w:tc>
        <w:tc>
          <w:tcPr>
            <w:shd w:val="clear" w:fill="DBE5F1"/>
            <w:tcW w:w="1265" w:type="dxa"/>
            <w:vAlign w:val="top"/>
            <w:tcBorders>
              <w:bottom w:val="single" w:color="000000" w:sz="2" w:space="0"/>
              <w:top w:val="single" w:color="000000" w:sz="2" w:space="0"/>
            </w:tcBorders>
          </w:tcPr>
          <w:p>
            <w:pPr>
              <w:ind w:left="491"/>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6,934,959</w:t>
            </w:r>
          </w:p>
        </w:tc>
        <w:tc>
          <w:tcPr>
            <w:shd w:val="clear" w:fill="DBE5F1"/>
            <w:tcW w:w="1265" w:type="dxa"/>
            <w:vAlign w:val="top"/>
            <w:tcBorders>
              <w:bottom w:val="single" w:color="000000" w:sz="2" w:space="0"/>
              <w:top w:val="single" w:color="000000" w:sz="2" w:space="0"/>
            </w:tcBorders>
          </w:tcPr>
          <w:p>
            <w:pPr>
              <w:ind w:left="626"/>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291,905</w:t>
            </w:r>
          </w:p>
        </w:tc>
        <w:tc>
          <w:tcPr>
            <w:shd w:val="clear" w:fill="DBE5F1"/>
            <w:tcW w:w="1263" w:type="dxa"/>
            <w:vAlign w:val="top"/>
            <w:tcBorders>
              <w:bottom w:val="single" w:color="000000" w:sz="2" w:space="0"/>
              <w:top w:val="single" w:color="000000" w:sz="2" w:space="0"/>
            </w:tcBorders>
          </w:tcPr>
          <w:p>
            <w:pPr>
              <w:ind w:left="895"/>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4.21</w:t>
            </w:r>
          </w:p>
        </w:tc>
        <w:tc>
          <w:tcPr>
            <w:tcW w:w="1480" w:type="dxa"/>
            <w:vAlign w:val="top"/>
            <w:tcBorders>
              <w:bottom w:val="single" w:color="000000" w:sz="2" w:space="0"/>
              <w:top w:val="single" w:color="000000" w:sz="2" w:space="0"/>
            </w:tcBorders>
          </w:tcPr>
          <w:p>
            <w:pPr>
              <w:ind w:left="492"/>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6,154,222</w:t>
            </w:r>
          </w:p>
        </w:tc>
        <w:tc>
          <w:tcPr>
            <w:tcW w:w="1174" w:type="dxa"/>
            <w:vAlign w:val="top"/>
            <w:tcBorders>
              <w:bottom w:val="single" w:color="000000" w:sz="2" w:space="0"/>
              <w:top w:val="single" w:color="000000" w:sz="2" w:space="0"/>
            </w:tcBorders>
          </w:tcPr>
          <w:p>
            <w:pPr>
              <w:ind w:left="410"/>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266,419</w:t>
            </w:r>
          </w:p>
        </w:tc>
        <w:tc>
          <w:tcPr>
            <w:tcW w:w="1138" w:type="dxa"/>
            <w:vAlign w:val="top"/>
            <w:tcBorders>
              <w:bottom w:val="single" w:color="000000" w:sz="2" w:space="0"/>
              <w:top w:val="single" w:color="000000" w:sz="2" w:space="0"/>
            </w:tcBorders>
          </w:tcPr>
          <w:p>
            <w:pPr>
              <w:ind w:left="772"/>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4.33</w:t>
            </w:r>
          </w:p>
        </w:tc>
      </w:tr>
    </w:tbl>
    <w:p>
      <w:pPr>
        <w:ind w:left="441"/>
        <w:spacing w:before="262"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B.</w:t>
      </w:r>
      <w:r>
        <w:rPr>
          <w:rFonts w:ascii="SimSun" w:hAnsi="SimSun" w:eastAsia="SimSun" w:cs="SimSun"/>
          <w:sz w:val="21"/>
          <w:szCs w:val="21"/>
          <w:b/>
          <w:bCs/>
          <w:spacing w:val="-2"/>
        </w:rPr>
        <w:t>证券投资利息收入</w:t>
      </w:r>
    </w:p>
    <w:p>
      <w:pPr>
        <w:ind w:left="23" w:right="83" w:firstLine="417"/>
        <w:spacing w:before="310" w:line="265" w:lineRule="auto"/>
        <w:rPr>
          <w:rFonts w:ascii="SimSun" w:hAnsi="SimSun" w:eastAsia="SimSun" w:cs="SimSun"/>
          <w:sz w:val="21"/>
          <w:szCs w:val="21"/>
        </w:rPr>
      </w:pPr>
      <w:r>
        <w:rPr>
          <w:rFonts w:ascii="SimSun" w:hAnsi="SimSun" w:eastAsia="SimSun" w:cs="SimSun"/>
          <w:sz w:val="21"/>
          <w:szCs w:val="21"/>
          <w:spacing w:val="-3"/>
        </w:rPr>
        <w:t>报告期内, 证券投资利息收入</w:t>
      </w:r>
      <w:r>
        <w:rPr>
          <w:rFonts w:ascii="SimSun" w:hAnsi="SimSun" w:eastAsia="SimSun" w:cs="SimSun"/>
          <w:sz w:val="21"/>
          <w:szCs w:val="21"/>
          <w:spacing w:val="-39"/>
        </w:rPr>
        <w:t xml:space="preserve"> </w:t>
      </w:r>
      <w:r>
        <w:rPr>
          <w:rFonts w:ascii="Times New Roman" w:hAnsi="Times New Roman" w:eastAsia="Times New Roman" w:cs="Times New Roman"/>
          <w:sz w:val="21"/>
          <w:szCs w:val="21"/>
          <w:spacing w:val="-3"/>
        </w:rPr>
        <w:t>973.11 </w:t>
      </w:r>
      <w:r>
        <w:rPr>
          <w:rFonts w:ascii="SimSun" w:hAnsi="SimSun" w:eastAsia="SimSun" w:cs="SimSun"/>
          <w:sz w:val="21"/>
          <w:szCs w:val="21"/>
          <w:spacing w:val="-3"/>
        </w:rPr>
        <w:t>亿元,</w:t>
      </w:r>
      <w:r>
        <w:rPr>
          <w:rFonts w:ascii="SimSun" w:hAnsi="SimSun" w:eastAsia="SimSun" w:cs="SimSun"/>
          <w:sz w:val="21"/>
          <w:szCs w:val="21"/>
          <w:spacing w:val="27"/>
        </w:rPr>
        <w:t xml:space="preserve"> </w:t>
      </w:r>
      <w:r>
        <w:rPr>
          <w:rFonts w:ascii="SimSun" w:hAnsi="SimSun" w:eastAsia="SimSun" w:cs="SimSun"/>
          <w:sz w:val="21"/>
          <w:szCs w:val="21"/>
          <w:spacing w:val="-3"/>
        </w:rPr>
        <w:t>同比增加</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3"/>
        </w:rPr>
        <w:t>90.49 </w:t>
      </w:r>
      <w:r>
        <w:rPr>
          <w:rFonts w:ascii="SimSun" w:hAnsi="SimSun" w:eastAsia="SimSun" w:cs="SimSun"/>
          <w:sz w:val="21"/>
          <w:szCs w:val="21"/>
          <w:spacing w:val="-3"/>
        </w:rPr>
        <w:t>亿元, 增幅</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3"/>
        </w:rPr>
        <w:t>10.25%</w:t>
      </w:r>
      <w:r>
        <w:rPr>
          <w:rFonts w:ascii="SimSun" w:hAnsi="SimSun" w:eastAsia="SimSun" w:cs="SimSun"/>
          <w:sz w:val="21"/>
          <w:szCs w:val="21"/>
          <w:spacing w:val="-3"/>
        </w:rPr>
        <w:t>, 主要由于证券投资平</w:t>
      </w:r>
      <w:r>
        <w:rPr>
          <w:rFonts w:ascii="SimSun" w:hAnsi="SimSun" w:eastAsia="SimSun" w:cs="SimSun"/>
          <w:sz w:val="21"/>
          <w:szCs w:val="21"/>
        </w:rPr>
        <w:t xml:space="preserve"> </w:t>
      </w:r>
      <w:r>
        <w:rPr>
          <w:rFonts w:ascii="SimSun" w:hAnsi="SimSun" w:eastAsia="SimSun" w:cs="SimSun"/>
          <w:sz w:val="21"/>
          <w:szCs w:val="21"/>
          <w:spacing w:val="-2"/>
        </w:rPr>
        <w:t>均余额同比增加</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2"/>
        </w:rPr>
        <w:t>2,385.73 </w:t>
      </w:r>
      <w:r>
        <w:rPr>
          <w:rFonts w:ascii="SimSun" w:hAnsi="SimSun" w:eastAsia="SimSun" w:cs="SimSun"/>
          <w:sz w:val="21"/>
          <w:szCs w:val="21"/>
          <w:spacing w:val="-2"/>
        </w:rPr>
        <w:t>亿元,</w:t>
      </w:r>
      <w:r>
        <w:rPr>
          <w:rFonts w:ascii="SimSun" w:hAnsi="SimSun" w:eastAsia="SimSun" w:cs="SimSun"/>
          <w:sz w:val="21"/>
          <w:szCs w:val="21"/>
          <w:spacing w:val="30"/>
        </w:rPr>
        <w:t xml:space="preserve"> </w:t>
      </w:r>
      <w:r>
        <w:rPr>
          <w:rFonts w:ascii="SimSun" w:hAnsi="SimSun" w:eastAsia="SimSun" w:cs="SimSun"/>
          <w:sz w:val="21"/>
          <w:szCs w:val="21"/>
          <w:spacing w:val="-2"/>
        </w:rPr>
        <w:t>增幅</w:t>
      </w:r>
      <w:r>
        <w:rPr>
          <w:rFonts w:ascii="SimSun" w:hAnsi="SimSun" w:eastAsia="SimSun" w:cs="SimSun"/>
          <w:sz w:val="21"/>
          <w:szCs w:val="21"/>
          <w:spacing w:val="-39"/>
        </w:rPr>
        <w:t xml:space="preserve"> </w:t>
      </w:r>
      <w:r>
        <w:rPr>
          <w:rFonts w:ascii="Times New Roman" w:hAnsi="Times New Roman" w:eastAsia="Times New Roman" w:cs="Times New Roman"/>
          <w:sz w:val="21"/>
          <w:szCs w:val="21"/>
          <w:spacing w:val="-2"/>
        </w:rPr>
        <w:t>8.78%</w:t>
      </w:r>
      <w:r>
        <w:rPr>
          <w:rFonts w:ascii="SimSun" w:hAnsi="SimSun" w:eastAsia="SimSun" w:cs="SimSun"/>
          <w:sz w:val="21"/>
          <w:szCs w:val="21"/>
          <w:spacing w:val="-2"/>
        </w:rPr>
        <w:t>。</w:t>
      </w:r>
    </w:p>
    <w:p>
      <w:pPr>
        <w:pStyle w:val="BodyText"/>
        <w:spacing w:line="247" w:lineRule="auto"/>
        <w:rPr/>
      </w:pPr>
      <w:r/>
    </w:p>
    <w:p>
      <w:pPr>
        <w:ind w:left="445"/>
        <w:spacing w:before="68"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C.</w:t>
      </w:r>
      <w:r>
        <w:rPr>
          <w:rFonts w:ascii="SimSun" w:hAnsi="SimSun" w:eastAsia="SimSun" w:cs="SimSun"/>
          <w:sz w:val="21"/>
          <w:szCs w:val="21"/>
          <w:b/>
          <w:bCs/>
          <w:spacing w:val="-2"/>
        </w:rPr>
        <w:t>存放中央银行款项利息收入</w:t>
      </w:r>
    </w:p>
    <w:p>
      <w:pPr>
        <w:ind w:left="21" w:right="80" w:firstLine="420"/>
        <w:spacing w:before="309" w:line="286" w:lineRule="auto"/>
        <w:jc w:val="both"/>
        <w:rPr>
          <w:rFonts w:ascii="SimSun" w:hAnsi="SimSun" w:eastAsia="SimSun" w:cs="SimSun"/>
          <w:sz w:val="21"/>
          <w:szCs w:val="21"/>
        </w:rPr>
      </w:pPr>
      <w:r>
        <w:rPr>
          <w:rFonts w:ascii="SimSun" w:hAnsi="SimSun" w:eastAsia="SimSun" w:cs="SimSun"/>
          <w:sz w:val="21"/>
          <w:szCs w:val="21"/>
        </w:rPr>
        <w:t>存放中央银行款项主要包括法定存款准备金和超</w:t>
      </w:r>
      <w:r>
        <w:rPr>
          <w:rFonts w:ascii="SimSun" w:hAnsi="SimSun" w:eastAsia="SimSun" w:cs="SimSun"/>
          <w:sz w:val="21"/>
          <w:szCs w:val="21"/>
          <w:spacing w:val="-1"/>
        </w:rPr>
        <w:t>额存款准备金。报告期内, 存放中央银行款项利息收</w:t>
      </w:r>
      <w:r>
        <w:rPr>
          <w:rFonts w:ascii="SimSun" w:hAnsi="SimSun" w:eastAsia="SimSun" w:cs="SimSun"/>
          <w:sz w:val="21"/>
          <w:szCs w:val="21"/>
        </w:rPr>
        <w:t xml:space="preserve"> </w:t>
      </w:r>
      <w:r>
        <w:rPr>
          <w:rFonts w:ascii="SimSun" w:hAnsi="SimSun" w:eastAsia="SimSun" w:cs="SimSun"/>
          <w:sz w:val="21"/>
          <w:szCs w:val="21"/>
          <w:spacing w:val="-2"/>
        </w:rPr>
        <w:t>入</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2"/>
        </w:rPr>
        <w:t>110.20 </w:t>
      </w:r>
      <w:r>
        <w:rPr>
          <w:rFonts w:ascii="SimSun" w:hAnsi="SimSun" w:eastAsia="SimSun" w:cs="SimSun"/>
          <w:sz w:val="21"/>
          <w:szCs w:val="21"/>
          <w:spacing w:val="-2"/>
        </w:rPr>
        <w:t>亿元, 同比增加</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2"/>
        </w:rPr>
        <w:t>3.21 </w:t>
      </w:r>
      <w:r>
        <w:rPr>
          <w:rFonts w:ascii="SimSun" w:hAnsi="SimSun" w:eastAsia="SimSun" w:cs="SimSun"/>
          <w:sz w:val="21"/>
          <w:szCs w:val="21"/>
          <w:spacing w:val="-2"/>
        </w:rPr>
        <w:t>亿元</w:t>
      </w:r>
      <w:r>
        <w:rPr>
          <w:rFonts w:ascii="SimSun" w:hAnsi="SimSun" w:eastAsia="SimSun" w:cs="SimSun"/>
          <w:sz w:val="21"/>
          <w:szCs w:val="21"/>
          <w:spacing w:val="-3"/>
        </w:rPr>
        <w:t>, 增幅</w:t>
      </w:r>
      <w:r>
        <w:rPr>
          <w:rFonts w:ascii="SimSun" w:hAnsi="SimSun" w:eastAsia="SimSun" w:cs="SimSun"/>
          <w:sz w:val="21"/>
          <w:szCs w:val="21"/>
          <w:spacing w:val="-45"/>
        </w:rPr>
        <w:t xml:space="preserve"> </w:t>
      </w:r>
      <w:r>
        <w:rPr>
          <w:rFonts w:ascii="Times New Roman" w:hAnsi="Times New Roman" w:eastAsia="Times New Roman" w:cs="Times New Roman"/>
          <w:sz w:val="21"/>
          <w:szCs w:val="21"/>
          <w:spacing w:val="-3"/>
        </w:rPr>
        <w:t>3.00%</w:t>
      </w:r>
      <w:r>
        <w:rPr>
          <w:rFonts w:ascii="SimSun" w:hAnsi="SimSun" w:eastAsia="SimSun" w:cs="SimSun"/>
          <w:sz w:val="21"/>
          <w:szCs w:val="21"/>
          <w:spacing w:val="-3"/>
        </w:rPr>
        <w:t>, 主要由于存放中央银行款项平均收益率同比上升</w:t>
      </w:r>
      <w:r>
        <w:rPr>
          <w:rFonts w:ascii="SimSun" w:hAnsi="SimSun" w:eastAsia="SimSun" w:cs="SimSun"/>
          <w:sz w:val="21"/>
          <w:szCs w:val="21"/>
          <w:spacing w:val="-45"/>
        </w:rPr>
        <w:t xml:space="preserve"> </w:t>
      </w:r>
      <w:r>
        <w:rPr>
          <w:rFonts w:ascii="Times New Roman" w:hAnsi="Times New Roman" w:eastAsia="Times New Roman" w:cs="Times New Roman"/>
          <w:sz w:val="21"/>
          <w:szCs w:val="21"/>
          <w:spacing w:val="-3"/>
        </w:rPr>
        <w:t>7</w:t>
      </w:r>
      <w:r>
        <w:rPr>
          <w:rFonts w:ascii="Times New Roman" w:hAnsi="Times New Roman" w:eastAsia="Times New Roman" w:cs="Times New Roman"/>
          <w:sz w:val="21"/>
          <w:szCs w:val="21"/>
          <w:spacing w:val="9"/>
        </w:rPr>
        <w:t xml:space="preserve"> </w:t>
      </w:r>
      <w:r>
        <w:rPr>
          <w:rFonts w:ascii="SimSun" w:hAnsi="SimSun" w:eastAsia="SimSun" w:cs="SimSun"/>
          <w:sz w:val="21"/>
          <w:szCs w:val="21"/>
          <w:spacing w:val="-3"/>
        </w:rPr>
        <w:t>个基</w:t>
      </w:r>
      <w:r>
        <w:rPr>
          <w:rFonts w:ascii="SimSun" w:hAnsi="SimSun" w:eastAsia="SimSun" w:cs="SimSun"/>
          <w:sz w:val="21"/>
          <w:szCs w:val="21"/>
        </w:rPr>
        <w:t xml:space="preserve"> </w:t>
      </w:r>
      <w:r>
        <w:rPr>
          <w:rFonts w:ascii="SimSun" w:hAnsi="SimSun" w:eastAsia="SimSun" w:cs="SimSun"/>
          <w:sz w:val="21"/>
          <w:szCs w:val="21"/>
          <w:spacing w:val="-9"/>
        </w:rPr>
        <w:t>点。</w:t>
      </w:r>
    </w:p>
    <w:p>
      <w:pPr>
        <w:ind w:left="440"/>
        <w:spacing w:before="305"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D.</w:t>
      </w:r>
      <w:r>
        <w:rPr>
          <w:rFonts w:ascii="SimSun" w:hAnsi="SimSun" w:eastAsia="SimSun" w:cs="SimSun"/>
          <w:sz w:val="21"/>
          <w:szCs w:val="21"/>
          <w:b/>
          <w:bCs/>
          <w:spacing w:val="-2"/>
        </w:rPr>
        <w:t>存放、拆放同业及其他金融机构款项利息收入</w:t>
      </w:r>
    </w:p>
    <w:p>
      <w:pPr>
        <w:ind w:left="23" w:firstLine="417"/>
        <w:spacing w:before="307" w:line="284" w:lineRule="auto"/>
        <w:jc w:val="both"/>
        <w:rPr>
          <w:rFonts w:ascii="SimSun" w:hAnsi="SimSun" w:eastAsia="SimSun" w:cs="SimSun"/>
          <w:sz w:val="21"/>
          <w:szCs w:val="21"/>
        </w:rPr>
      </w:pPr>
      <w:r>
        <w:rPr>
          <w:rFonts w:ascii="SimSun" w:hAnsi="SimSun" w:eastAsia="SimSun" w:cs="SimSun"/>
          <w:sz w:val="21"/>
          <w:szCs w:val="21"/>
          <w:spacing w:val="-2"/>
        </w:rPr>
        <w:t>报告期内,存放、拆放同业及其他金融机构款</w:t>
      </w:r>
      <w:r>
        <w:rPr>
          <w:rFonts w:ascii="SimSun" w:hAnsi="SimSun" w:eastAsia="SimSun" w:cs="SimSun"/>
          <w:sz w:val="21"/>
          <w:szCs w:val="21"/>
          <w:spacing w:val="-3"/>
        </w:rPr>
        <w:t>项利息收入</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3"/>
        </w:rPr>
        <w:t>178.86</w:t>
      </w:r>
      <w:r>
        <w:rPr>
          <w:rFonts w:ascii="Times New Roman" w:hAnsi="Times New Roman" w:eastAsia="Times New Roman" w:cs="Times New Roman"/>
          <w:sz w:val="21"/>
          <w:szCs w:val="21"/>
          <w:spacing w:val="-10"/>
        </w:rPr>
        <w:t xml:space="preserve"> </w:t>
      </w:r>
      <w:r>
        <w:rPr>
          <w:rFonts w:ascii="SimSun" w:hAnsi="SimSun" w:eastAsia="SimSun" w:cs="SimSun"/>
          <w:sz w:val="21"/>
          <w:szCs w:val="21"/>
          <w:spacing w:val="-3"/>
        </w:rPr>
        <w:t>亿元,同比增加</w:t>
      </w:r>
      <w:r>
        <w:rPr>
          <w:rFonts w:ascii="SimSun" w:hAnsi="SimSun" w:eastAsia="SimSun" w:cs="SimSun"/>
          <w:sz w:val="21"/>
          <w:szCs w:val="21"/>
          <w:spacing w:val="-61"/>
        </w:rPr>
        <w:t xml:space="preserve"> </w:t>
      </w:r>
      <w:r>
        <w:rPr>
          <w:rFonts w:ascii="Times New Roman" w:hAnsi="Times New Roman" w:eastAsia="Times New Roman" w:cs="Times New Roman"/>
          <w:sz w:val="21"/>
          <w:szCs w:val="21"/>
          <w:spacing w:val="-3"/>
        </w:rPr>
        <w:t>56.20</w:t>
      </w:r>
      <w:r>
        <w:rPr>
          <w:rFonts w:ascii="Times New Roman" w:hAnsi="Times New Roman" w:eastAsia="Times New Roman" w:cs="Times New Roman"/>
          <w:sz w:val="21"/>
          <w:szCs w:val="21"/>
          <w:spacing w:val="-12"/>
        </w:rPr>
        <w:t xml:space="preserve"> </w:t>
      </w:r>
      <w:r>
        <w:rPr>
          <w:rFonts w:ascii="SimSun" w:hAnsi="SimSun" w:eastAsia="SimSun" w:cs="SimSun"/>
          <w:sz w:val="21"/>
          <w:szCs w:val="21"/>
          <w:spacing w:val="-3"/>
        </w:rPr>
        <w:t>亿元,增幅</w:t>
      </w:r>
      <w:r>
        <w:rPr>
          <w:rFonts w:ascii="Times New Roman" w:hAnsi="Times New Roman" w:eastAsia="Times New Roman" w:cs="Times New Roman"/>
          <w:sz w:val="21"/>
          <w:szCs w:val="21"/>
          <w:spacing w:val="-3"/>
        </w:rPr>
        <w:t>45.82%</w:t>
      </w:r>
      <w:r>
        <w:rPr>
          <w:rFonts w:ascii="SimSun" w:hAnsi="SimSun" w:eastAsia="SimSun" w:cs="SimSun"/>
          <w:sz w:val="21"/>
          <w:szCs w:val="21"/>
          <w:spacing w:val="-3"/>
        </w:rPr>
        <w:t>,</w:t>
      </w:r>
      <w:r>
        <w:rPr>
          <w:rFonts w:ascii="SimSun" w:hAnsi="SimSun" w:eastAsia="SimSun" w:cs="SimSun"/>
          <w:sz w:val="21"/>
          <w:szCs w:val="21"/>
        </w:rPr>
        <w:t xml:space="preserve"> </w:t>
      </w:r>
      <w:r>
        <w:rPr>
          <w:rFonts w:ascii="SimSun" w:hAnsi="SimSun" w:eastAsia="SimSun" w:cs="SimSun"/>
          <w:sz w:val="21"/>
          <w:szCs w:val="21"/>
          <w:spacing w:val="-2"/>
        </w:rPr>
        <w:t>主要由于存放、拆放同业及其他金融机构款项平均收益率同比上升</w:t>
      </w:r>
      <w:r>
        <w:rPr>
          <w:rFonts w:ascii="Times New Roman" w:hAnsi="Times New Roman" w:eastAsia="Times New Roman" w:cs="Times New Roman"/>
          <w:sz w:val="21"/>
          <w:szCs w:val="21"/>
          <w:spacing w:val="-2"/>
        </w:rPr>
        <w:t>44</w:t>
      </w:r>
      <w:r>
        <w:rPr>
          <w:rFonts w:ascii="Times New Roman" w:hAnsi="Times New Roman" w:eastAsia="Times New Roman" w:cs="Times New Roman"/>
          <w:sz w:val="21"/>
          <w:szCs w:val="21"/>
          <w:spacing w:val="-18"/>
        </w:rPr>
        <w:t xml:space="preserve"> </w:t>
      </w:r>
      <w:r>
        <w:rPr>
          <w:rFonts w:ascii="SimSun" w:hAnsi="SimSun" w:eastAsia="SimSun" w:cs="SimSun"/>
          <w:sz w:val="21"/>
          <w:szCs w:val="21"/>
          <w:spacing w:val="-2"/>
        </w:rPr>
        <w:t>个基点,且平均余额同比增加</w:t>
      </w:r>
      <w:r>
        <w:rPr>
          <w:rFonts w:ascii="SimSun" w:hAnsi="SimSun" w:eastAsia="SimSun" w:cs="SimSun"/>
          <w:sz w:val="21"/>
          <w:szCs w:val="21"/>
          <w:spacing w:val="-51"/>
        </w:rPr>
        <w:t xml:space="preserve"> </w:t>
      </w:r>
      <w:r>
        <w:rPr>
          <w:rFonts w:ascii="Times New Roman" w:hAnsi="Times New Roman" w:eastAsia="Times New Roman" w:cs="Times New Roman"/>
          <w:sz w:val="21"/>
          <w:szCs w:val="21"/>
          <w:spacing w:val="-3"/>
        </w:rPr>
        <w:t>1,158.84  </w:t>
      </w:r>
      <w:r>
        <w:rPr>
          <w:rFonts w:ascii="SimSun" w:hAnsi="SimSun" w:eastAsia="SimSun" w:cs="SimSun"/>
          <w:sz w:val="21"/>
          <w:szCs w:val="21"/>
          <w:spacing w:val="-6"/>
        </w:rPr>
        <w:t>亿元,</w:t>
      </w:r>
      <w:r>
        <w:rPr>
          <w:rFonts w:ascii="SimSun" w:hAnsi="SimSun" w:eastAsia="SimSun" w:cs="SimSun"/>
          <w:sz w:val="21"/>
          <w:szCs w:val="21"/>
          <w:spacing w:val="39"/>
        </w:rPr>
        <w:t xml:space="preserve"> </w:t>
      </w:r>
      <w:r>
        <w:rPr>
          <w:rFonts w:ascii="SimSun" w:hAnsi="SimSun" w:eastAsia="SimSun" w:cs="SimSun"/>
          <w:sz w:val="21"/>
          <w:szCs w:val="21"/>
          <w:spacing w:val="-6"/>
        </w:rPr>
        <w:t>增幅</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6"/>
        </w:rPr>
        <w:t>15.71%</w:t>
      </w:r>
      <w:r>
        <w:rPr>
          <w:rFonts w:ascii="SimSun" w:hAnsi="SimSun" w:eastAsia="SimSun" w:cs="SimSun"/>
          <w:sz w:val="21"/>
          <w:szCs w:val="21"/>
          <w:spacing w:val="-6"/>
        </w:rPr>
        <w:t>。</w:t>
      </w:r>
    </w:p>
    <w:p>
      <w:pPr>
        <w:pStyle w:val="BodyText"/>
        <w:spacing w:line="241" w:lineRule="auto"/>
        <w:rPr/>
      </w:pPr>
      <w:r/>
    </w:p>
    <w:p>
      <w:pPr>
        <w:ind w:left="556"/>
        <w:spacing w:before="69" w:line="222" w:lineRule="auto"/>
        <w:rPr>
          <w:rFonts w:ascii="SimSun" w:hAnsi="SimSun" w:eastAsia="SimSun" w:cs="SimSun"/>
          <w:sz w:val="21"/>
          <w:szCs w:val="21"/>
        </w:rPr>
      </w:pPr>
      <w:r>
        <w:rPr>
          <w:rFonts w:ascii="SimSun" w:hAnsi="SimSun" w:eastAsia="SimSun" w:cs="SimSun"/>
          <w:sz w:val="21"/>
          <w:szCs w:val="21"/>
          <w:b/>
          <w:bCs/>
          <w:spacing w:val="12"/>
        </w:rPr>
        <w:t>(</w:t>
      </w:r>
      <w:r>
        <w:rPr>
          <w:rFonts w:ascii="Times New Roman" w:hAnsi="Times New Roman" w:eastAsia="Times New Roman" w:cs="Times New Roman"/>
          <w:sz w:val="21"/>
          <w:szCs w:val="21"/>
          <w:b/>
          <w:bCs/>
          <w:spacing w:val="12"/>
        </w:rPr>
        <w:t>2</w:t>
      </w:r>
      <w:r>
        <w:rPr>
          <w:rFonts w:ascii="SimSun" w:hAnsi="SimSun" w:eastAsia="SimSun" w:cs="SimSun"/>
          <w:sz w:val="21"/>
          <w:szCs w:val="21"/>
          <w:b/>
          <w:bCs/>
          <w:spacing w:val="12"/>
        </w:rPr>
        <w:t>)利息支出</w:t>
      </w:r>
    </w:p>
    <w:p>
      <w:pPr>
        <w:ind w:left="441"/>
        <w:spacing w:before="309" w:line="213" w:lineRule="auto"/>
        <w:rPr>
          <w:rFonts w:ascii="SimSun" w:hAnsi="SimSun" w:eastAsia="SimSun" w:cs="SimSun"/>
          <w:sz w:val="21"/>
          <w:szCs w:val="21"/>
        </w:rPr>
      </w:pPr>
      <w:r>
        <w:rPr>
          <w:rFonts w:ascii="SimSun" w:hAnsi="SimSun" w:eastAsia="SimSun" w:cs="SimSun"/>
          <w:sz w:val="21"/>
          <w:szCs w:val="21"/>
          <w:spacing w:val="3"/>
        </w:rPr>
        <w:t>报告期内,</w:t>
      </w:r>
      <w:r>
        <w:rPr>
          <w:rFonts w:ascii="SimSun" w:hAnsi="SimSun" w:eastAsia="SimSun" w:cs="SimSun"/>
          <w:sz w:val="21"/>
          <w:szCs w:val="21"/>
          <w:spacing w:val="29"/>
        </w:rPr>
        <w:t xml:space="preserve"> </w:t>
      </w:r>
      <w:r>
        <w:rPr>
          <w:rFonts w:ascii="SimSun" w:hAnsi="SimSun" w:eastAsia="SimSun" w:cs="SimSun"/>
          <w:sz w:val="21"/>
          <w:szCs w:val="21"/>
          <w:spacing w:val="3"/>
        </w:rPr>
        <w:t>本集团利息支出</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3"/>
        </w:rPr>
        <w:t>2,481.85 </w:t>
      </w:r>
      <w:r>
        <w:rPr>
          <w:rFonts w:ascii="SimSun" w:hAnsi="SimSun" w:eastAsia="SimSun" w:cs="SimSun"/>
          <w:sz w:val="21"/>
          <w:szCs w:val="21"/>
          <w:spacing w:val="3"/>
        </w:rPr>
        <w:t>亿元,同比增加</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3"/>
        </w:rPr>
        <w:t>322.32 </w:t>
      </w:r>
      <w:r>
        <w:rPr>
          <w:rFonts w:ascii="SimSun" w:hAnsi="SimSun" w:eastAsia="SimSun" w:cs="SimSun"/>
          <w:sz w:val="21"/>
          <w:szCs w:val="21"/>
          <w:spacing w:val="3"/>
        </w:rPr>
        <w:t>亿元,增幅</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3"/>
        </w:rPr>
        <w:t>14.9</w:t>
      </w:r>
      <w:r>
        <w:rPr>
          <w:rFonts w:ascii="Times New Roman" w:hAnsi="Times New Roman" w:eastAsia="Times New Roman" w:cs="Times New Roman"/>
          <w:sz w:val="21"/>
          <w:szCs w:val="21"/>
          <w:spacing w:val="2"/>
        </w:rPr>
        <w:t>3%</w:t>
      </w:r>
      <w:r>
        <w:rPr>
          <w:rFonts w:ascii="SimSun" w:hAnsi="SimSun" w:eastAsia="SimSun" w:cs="SimSun"/>
          <w:sz w:val="21"/>
          <w:szCs w:val="21"/>
          <w:spacing w:val="2"/>
        </w:rPr>
        <w:t>。</w:t>
      </w:r>
    </w:p>
    <w:p>
      <w:pPr>
        <w:spacing w:line="213" w:lineRule="auto"/>
        <w:sectPr>
          <w:footerReference w:type="default" r:id="rId24"/>
          <w:pgSz w:w="11907" w:h="16839"/>
          <w:pgMar w:top="1196" w:right="1047" w:bottom="1375" w:left="1118" w:header="0" w:footer="1211" w:gutter="0"/>
        </w:sectPr>
        <w:rPr>
          <w:rFonts w:ascii="SimSun" w:hAnsi="SimSun" w:eastAsia="SimSun" w:cs="SimSun"/>
          <w:sz w:val="21"/>
          <w:szCs w:val="21"/>
        </w:rPr>
      </w:pPr>
    </w:p>
    <w:p>
      <w:pPr>
        <w:ind w:left="438"/>
        <w:spacing w:before="42"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1"/>
        </w:rPr>
        <w:t>A.</w:t>
      </w:r>
      <w:r>
        <w:rPr>
          <w:rFonts w:ascii="SimSun" w:hAnsi="SimSun" w:eastAsia="SimSun" w:cs="SimSun"/>
          <w:sz w:val="21"/>
          <w:szCs w:val="21"/>
          <w:b/>
          <w:bCs/>
          <w:spacing w:val="-1"/>
        </w:rPr>
        <w:t>客户存款利息支出</w:t>
      </w:r>
    </w:p>
    <w:p>
      <w:pPr>
        <w:pStyle w:val="BodyText"/>
        <w:spacing w:line="241" w:lineRule="auto"/>
        <w:rPr/>
      </w:pPr>
      <w:r/>
    </w:p>
    <w:p>
      <w:pPr>
        <w:ind w:left="23" w:right="192" w:firstLine="421"/>
        <w:spacing w:before="68" w:line="267" w:lineRule="auto"/>
        <w:rPr>
          <w:rFonts w:ascii="SimSun" w:hAnsi="SimSun" w:eastAsia="SimSun" w:cs="SimSun"/>
          <w:sz w:val="21"/>
          <w:szCs w:val="21"/>
        </w:rPr>
      </w:pPr>
      <w:r>
        <w:rPr>
          <w:rFonts w:ascii="SimSun" w:hAnsi="SimSun" w:eastAsia="SimSun" w:cs="SimSun"/>
          <w:sz w:val="21"/>
          <w:szCs w:val="21"/>
          <w:spacing w:val="-3"/>
        </w:rPr>
        <w:t>客户存款是本集团主要资金来源。报告期内,客户存款利</w:t>
      </w:r>
      <w:r>
        <w:rPr>
          <w:rFonts w:ascii="SimSun" w:hAnsi="SimSun" w:eastAsia="SimSun" w:cs="SimSun"/>
          <w:sz w:val="21"/>
          <w:szCs w:val="21"/>
          <w:spacing w:val="-4"/>
        </w:rPr>
        <w:t>息支出</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4"/>
        </w:rPr>
        <w:t>1,634.57 </w:t>
      </w:r>
      <w:r>
        <w:rPr>
          <w:rFonts w:ascii="SimSun" w:hAnsi="SimSun" w:eastAsia="SimSun" w:cs="SimSun"/>
          <w:sz w:val="21"/>
          <w:szCs w:val="21"/>
          <w:spacing w:val="-4"/>
        </w:rPr>
        <w:t>亿元,</w:t>
      </w:r>
      <w:r>
        <w:rPr>
          <w:rFonts w:ascii="SimSun" w:hAnsi="SimSun" w:eastAsia="SimSun" w:cs="SimSun"/>
          <w:sz w:val="21"/>
          <w:szCs w:val="21"/>
          <w:spacing w:val="-47"/>
        </w:rPr>
        <w:t xml:space="preserve"> </w:t>
      </w:r>
      <w:r>
        <w:rPr>
          <w:rFonts w:ascii="SimSun" w:hAnsi="SimSun" w:eastAsia="SimSun" w:cs="SimSun"/>
          <w:sz w:val="21"/>
          <w:szCs w:val="21"/>
          <w:spacing w:val="-4"/>
        </w:rPr>
        <w:t>同比增加</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4"/>
        </w:rPr>
        <w:t>224.75 </w:t>
      </w:r>
      <w:r>
        <w:rPr>
          <w:rFonts w:ascii="SimSun" w:hAnsi="SimSun" w:eastAsia="SimSun" w:cs="SimSun"/>
          <w:sz w:val="21"/>
          <w:szCs w:val="21"/>
          <w:spacing w:val="-4"/>
        </w:rPr>
        <w:t>亿元,</w:t>
      </w:r>
      <w:r>
        <w:rPr>
          <w:rFonts w:ascii="SimSun" w:hAnsi="SimSun" w:eastAsia="SimSun" w:cs="SimSun"/>
          <w:sz w:val="21"/>
          <w:szCs w:val="21"/>
        </w:rPr>
        <w:t xml:space="preserve"> </w:t>
      </w:r>
      <w:r>
        <w:rPr>
          <w:rFonts w:ascii="SimSun" w:hAnsi="SimSun" w:eastAsia="SimSun" w:cs="SimSun"/>
          <w:sz w:val="21"/>
          <w:szCs w:val="21"/>
          <w:spacing w:val="2"/>
        </w:rPr>
        <w:t>增幅</w:t>
      </w:r>
      <w:r>
        <w:rPr>
          <w:rFonts w:ascii="SimSun" w:hAnsi="SimSun" w:eastAsia="SimSun" w:cs="SimSun"/>
          <w:sz w:val="21"/>
          <w:szCs w:val="21"/>
          <w:spacing w:val="-11"/>
        </w:rPr>
        <w:t xml:space="preserve"> </w:t>
      </w:r>
      <w:r>
        <w:rPr>
          <w:rFonts w:ascii="Times New Roman" w:hAnsi="Times New Roman" w:eastAsia="Times New Roman" w:cs="Times New Roman"/>
          <w:sz w:val="21"/>
          <w:szCs w:val="21"/>
          <w:spacing w:val="2"/>
        </w:rPr>
        <w:t>15.94%</w:t>
      </w:r>
      <w:r>
        <w:rPr>
          <w:rFonts w:ascii="SimSun" w:hAnsi="SimSun" w:eastAsia="SimSun" w:cs="SimSun"/>
          <w:sz w:val="21"/>
          <w:szCs w:val="21"/>
          <w:spacing w:val="2"/>
        </w:rPr>
        <w:t>,占全部利息支出的</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2"/>
        </w:rPr>
        <w:t>65.86%</w:t>
      </w:r>
      <w:r>
        <w:rPr>
          <w:rFonts w:ascii="SimSun" w:hAnsi="SimSun" w:eastAsia="SimSun" w:cs="SimSun"/>
          <w:sz w:val="21"/>
          <w:szCs w:val="21"/>
          <w:spacing w:val="2"/>
        </w:rPr>
        <w:t>。</w:t>
      </w:r>
    </w:p>
    <w:p>
      <w:pPr>
        <w:pStyle w:val="BodyText"/>
        <w:rPr/>
      </w:pPr>
      <w:r/>
    </w:p>
    <w:p>
      <w:pPr>
        <w:ind w:left="447"/>
        <w:spacing w:before="68" w:line="221" w:lineRule="auto"/>
        <w:rPr>
          <w:rFonts w:ascii="SimSun" w:hAnsi="SimSun" w:eastAsia="SimSun" w:cs="SimSun"/>
          <w:sz w:val="21"/>
          <w:szCs w:val="21"/>
        </w:rPr>
      </w:pPr>
      <w:r>
        <w:rPr>
          <w:rFonts w:ascii="SimSun" w:hAnsi="SimSun" w:eastAsia="SimSun" w:cs="SimSun"/>
          <w:sz w:val="21"/>
          <w:szCs w:val="21"/>
          <w:b/>
          <w:bCs/>
          <w:spacing w:val="-2"/>
        </w:rPr>
        <w:t>按产品类型划分的客户存款平均成本分析</w:t>
      </w:r>
    </w:p>
    <w:p>
      <w:pPr>
        <w:pStyle w:val="BodyText"/>
        <w:spacing w:line="248" w:lineRule="auto"/>
        <w:rPr/>
      </w:pPr>
      <w:r/>
    </w:p>
    <w:p>
      <w:pPr>
        <w:ind w:left="7201"/>
        <w:spacing w:before="59" w:line="250"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position w:val="2"/>
        </w:rPr>
        <w:t>(</w:t>
      </w:r>
      <w:r>
        <w:rPr>
          <w:rFonts w:ascii="SimSun" w:hAnsi="SimSun" w:eastAsia="SimSun" w:cs="SimSun"/>
          <w:sz w:val="18"/>
          <w:szCs w:val="18"/>
          <w:spacing w:val="5"/>
          <w:position w:val="2"/>
        </w:rPr>
        <w:t>除另有标明外,人民币百万元</w:t>
      </w:r>
      <w:r>
        <w:rPr>
          <w:rFonts w:ascii="Times New Roman" w:hAnsi="Times New Roman" w:eastAsia="Times New Roman" w:cs="Times New Roman"/>
          <w:sz w:val="18"/>
          <w:szCs w:val="18"/>
          <w:spacing w:val="5"/>
          <w:position w:val="2"/>
        </w:rPr>
        <w:t>)</w:t>
      </w:r>
    </w:p>
    <w:p>
      <w:pPr>
        <w:spacing w:line="36" w:lineRule="auto"/>
        <w:rPr>
          <w:rFonts w:ascii="Arial"/>
          <w:sz w:val="2"/>
        </w:rPr>
      </w:pPr>
      <w:r>
        <w:rPr>
          <w:rFonts w:ascii="Arial"/>
          <w:sz w:val="2"/>
        </w:rPr>
      </w:r>
    </w:p>
    <w:tbl>
      <w:tblPr>
        <w:tblStyle w:val="TableNormal"/>
        <w:tblW w:w="9654"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016"/>
        <w:gridCol w:w="1273"/>
        <w:gridCol w:w="1274"/>
        <w:gridCol w:w="1272"/>
        <w:gridCol w:w="1494"/>
        <w:gridCol w:w="1183"/>
        <w:gridCol w:w="1142"/>
      </w:tblGrid>
      <w:tr>
        <w:trPr>
          <w:trHeight w:val="386" w:hRule="atLeast"/>
        </w:trPr>
        <w:tc>
          <w:tcPr>
            <w:tcW w:w="2016" w:type="dxa"/>
            <w:vAlign w:val="top"/>
            <w:vMerge w:val="restart"/>
            <w:tcBorders>
              <w:bottom w:val="nil"/>
              <w:top w:val="single" w:color="000000" w:sz="2" w:space="0"/>
            </w:tcBorders>
          </w:tcPr>
          <w:p>
            <w:pPr>
              <w:rPr>
                <w:rFonts w:ascii="Arial"/>
                <w:sz w:val="21"/>
              </w:rPr>
            </w:pPr>
            <w:r/>
          </w:p>
        </w:tc>
        <w:tc>
          <w:tcPr>
            <w:shd w:val="clear" w:fill="DBE5F1"/>
            <w:tcW w:w="3819" w:type="dxa"/>
            <w:vAlign w:val="top"/>
            <w:gridSpan w:val="3"/>
            <w:tcBorders>
              <w:bottom w:val="single" w:color="000000" w:sz="2" w:space="0"/>
              <w:top w:val="single" w:color="000000" w:sz="2" w:space="0"/>
            </w:tcBorders>
          </w:tcPr>
          <w:p>
            <w:pPr>
              <w:pStyle w:val="TableText"/>
              <w:ind w:left="1123"/>
              <w:spacing w:before="116" w:line="220" w:lineRule="auto"/>
              <w:rPr>
                <w:sz w:val="18"/>
                <w:szCs w:val="18"/>
              </w:rPr>
            </w:pPr>
            <w:r>
              <w:rPr>
                <w:rFonts w:ascii="Times New Roman" w:hAnsi="Times New Roman" w:eastAsia="Times New Roman" w:cs="Times New Roman"/>
                <w:sz w:val="18"/>
                <w:szCs w:val="18"/>
                <w:b/>
                <w:bCs/>
                <w:spacing w:val="-4"/>
              </w:rPr>
              <w:t>2022 </w:t>
            </w:r>
            <w:r>
              <w:rPr>
                <w:sz w:val="18"/>
                <w:szCs w:val="18"/>
                <w:b/>
                <w:bCs/>
                <w:spacing w:val="-4"/>
              </w:rPr>
              <w:t>年</w:t>
            </w:r>
            <w:r>
              <w:rPr>
                <w:sz w:val="18"/>
                <w:szCs w:val="18"/>
                <w:spacing w:val="-31"/>
              </w:rPr>
              <w:t xml:space="preserve"> </w:t>
            </w:r>
            <w:r>
              <w:rPr>
                <w:rFonts w:ascii="Times New Roman" w:hAnsi="Times New Roman" w:eastAsia="Times New Roman" w:cs="Times New Roman"/>
                <w:sz w:val="18"/>
                <w:szCs w:val="18"/>
                <w:b/>
                <w:bCs/>
                <w:spacing w:val="-4"/>
              </w:rPr>
              <w:t>1</w:t>
            </w:r>
            <w:r>
              <w:rPr>
                <w:rFonts w:ascii="Times New Roman" w:hAnsi="Times New Roman" w:eastAsia="Times New Roman" w:cs="Times New Roman"/>
                <w:sz w:val="18"/>
                <w:szCs w:val="18"/>
                <w:b/>
                <w:bCs/>
                <w:spacing w:val="13"/>
              </w:rPr>
              <w:t xml:space="preserve"> </w:t>
            </w:r>
            <w:r>
              <w:rPr>
                <w:sz w:val="18"/>
                <w:szCs w:val="18"/>
                <w:b/>
                <w:bCs/>
                <w:spacing w:val="-4"/>
              </w:rPr>
              <w:t>月至</w:t>
            </w:r>
            <w:r>
              <w:rPr>
                <w:sz w:val="18"/>
                <w:szCs w:val="18"/>
                <w:spacing w:val="-33"/>
              </w:rPr>
              <w:t xml:space="preserve"> </w:t>
            </w:r>
            <w:r>
              <w:rPr>
                <w:rFonts w:ascii="Times New Roman" w:hAnsi="Times New Roman" w:eastAsia="Times New Roman" w:cs="Times New Roman"/>
                <w:sz w:val="18"/>
                <w:szCs w:val="18"/>
                <w:b/>
                <w:bCs/>
                <w:spacing w:val="-4"/>
              </w:rPr>
              <w:t>12</w:t>
            </w:r>
            <w:r>
              <w:rPr>
                <w:rFonts w:ascii="Times New Roman" w:hAnsi="Times New Roman" w:eastAsia="Times New Roman" w:cs="Times New Roman"/>
                <w:sz w:val="18"/>
                <w:szCs w:val="18"/>
                <w:b/>
                <w:bCs/>
                <w:spacing w:val="11"/>
                <w:w w:val="101"/>
              </w:rPr>
              <w:t xml:space="preserve"> </w:t>
            </w:r>
            <w:r>
              <w:rPr>
                <w:sz w:val="18"/>
                <w:szCs w:val="18"/>
                <w:b/>
                <w:bCs/>
                <w:spacing w:val="-4"/>
              </w:rPr>
              <w:t>月</w:t>
            </w:r>
          </w:p>
        </w:tc>
        <w:tc>
          <w:tcPr>
            <w:tcW w:w="3819" w:type="dxa"/>
            <w:vAlign w:val="top"/>
            <w:gridSpan w:val="3"/>
            <w:tcBorders>
              <w:bottom w:val="single" w:color="000000" w:sz="2" w:space="0"/>
              <w:top w:val="single" w:color="000000" w:sz="2" w:space="0"/>
            </w:tcBorders>
          </w:tcPr>
          <w:p>
            <w:pPr>
              <w:pStyle w:val="TableText"/>
              <w:ind w:left="1125"/>
              <w:spacing w:before="116" w:line="220" w:lineRule="auto"/>
              <w:rPr>
                <w:sz w:val="18"/>
                <w:szCs w:val="18"/>
              </w:rPr>
            </w:pPr>
            <w:r>
              <w:rPr>
                <w:rFonts w:ascii="Times New Roman" w:hAnsi="Times New Roman" w:eastAsia="Times New Roman" w:cs="Times New Roman"/>
                <w:sz w:val="18"/>
                <w:szCs w:val="18"/>
                <w:spacing w:val="-6"/>
              </w:rPr>
              <w:t>2021</w:t>
            </w:r>
            <w:r>
              <w:rPr>
                <w:rFonts w:ascii="Times New Roman" w:hAnsi="Times New Roman" w:eastAsia="Times New Roman" w:cs="Times New Roman"/>
                <w:sz w:val="18"/>
                <w:szCs w:val="18"/>
                <w:spacing w:val="9"/>
              </w:rPr>
              <w:t xml:space="preserve"> </w:t>
            </w:r>
            <w:r>
              <w:rPr>
                <w:sz w:val="18"/>
                <w:szCs w:val="18"/>
                <w:spacing w:val="-6"/>
              </w:rPr>
              <w:t>年</w:t>
            </w:r>
            <w:r>
              <w:rPr>
                <w:sz w:val="18"/>
                <w:szCs w:val="18"/>
                <w:spacing w:val="-26"/>
              </w:rPr>
              <w:t xml:space="preserve"> </w:t>
            </w:r>
            <w:r>
              <w:rPr>
                <w:rFonts w:ascii="Times New Roman" w:hAnsi="Times New Roman" w:eastAsia="Times New Roman" w:cs="Times New Roman"/>
                <w:sz w:val="18"/>
                <w:szCs w:val="18"/>
                <w:spacing w:val="-6"/>
              </w:rPr>
              <w:t>1</w:t>
            </w:r>
            <w:r>
              <w:rPr>
                <w:rFonts w:ascii="Times New Roman" w:hAnsi="Times New Roman" w:eastAsia="Times New Roman" w:cs="Times New Roman"/>
                <w:sz w:val="18"/>
                <w:szCs w:val="18"/>
                <w:spacing w:val="13"/>
                <w:w w:val="102"/>
              </w:rPr>
              <w:t xml:space="preserve"> </w:t>
            </w:r>
            <w:r>
              <w:rPr>
                <w:sz w:val="18"/>
                <w:szCs w:val="18"/>
                <w:spacing w:val="-6"/>
              </w:rPr>
              <w:t>月至</w:t>
            </w:r>
            <w:r>
              <w:rPr>
                <w:sz w:val="18"/>
                <w:szCs w:val="18"/>
                <w:spacing w:val="-26"/>
              </w:rPr>
              <w:t xml:space="preserve"> </w:t>
            </w:r>
            <w:r>
              <w:rPr>
                <w:rFonts w:ascii="Times New Roman" w:hAnsi="Times New Roman" w:eastAsia="Times New Roman" w:cs="Times New Roman"/>
                <w:sz w:val="18"/>
                <w:szCs w:val="18"/>
                <w:spacing w:val="-6"/>
              </w:rPr>
              <w:t>12</w:t>
            </w:r>
            <w:r>
              <w:rPr>
                <w:rFonts w:ascii="Times New Roman" w:hAnsi="Times New Roman" w:eastAsia="Times New Roman" w:cs="Times New Roman"/>
                <w:sz w:val="18"/>
                <w:szCs w:val="18"/>
                <w:spacing w:val="14"/>
              </w:rPr>
              <w:t xml:space="preserve"> </w:t>
            </w:r>
            <w:r>
              <w:rPr>
                <w:sz w:val="18"/>
                <w:szCs w:val="18"/>
                <w:spacing w:val="-6"/>
              </w:rPr>
              <w:t>月</w:t>
            </w:r>
          </w:p>
        </w:tc>
      </w:tr>
      <w:tr>
        <w:trPr>
          <w:trHeight w:val="637" w:hRule="atLeast"/>
        </w:trPr>
        <w:tc>
          <w:tcPr>
            <w:tcW w:w="2016" w:type="dxa"/>
            <w:vAlign w:val="top"/>
            <w:vMerge w:val="continue"/>
            <w:tcBorders>
              <w:bottom w:val="single" w:color="000000" w:sz="2" w:space="0"/>
              <w:top w:val="nil"/>
            </w:tcBorders>
          </w:tcPr>
          <w:p>
            <w:pPr>
              <w:rPr>
                <w:rFonts w:ascii="Arial"/>
                <w:sz w:val="21"/>
              </w:rPr>
            </w:pPr>
            <w:r/>
          </w:p>
        </w:tc>
        <w:tc>
          <w:tcPr>
            <w:shd w:val="clear" w:fill="DBE5F1"/>
            <w:tcW w:w="1273" w:type="dxa"/>
            <w:vAlign w:val="top"/>
            <w:tcBorders>
              <w:bottom w:val="single" w:color="000000" w:sz="2" w:space="0"/>
              <w:top w:val="single" w:color="000000" w:sz="2" w:space="0"/>
            </w:tcBorders>
          </w:tcPr>
          <w:p>
            <w:pPr>
              <w:pStyle w:val="TableText"/>
              <w:ind w:left="498"/>
              <w:spacing w:before="239" w:line="220" w:lineRule="auto"/>
              <w:rPr>
                <w:sz w:val="18"/>
                <w:szCs w:val="18"/>
              </w:rPr>
            </w:pPr>
            <w:r>
              <w:rPr>
                <w:sz w:val="18"/>
                <w:szCs w:val="18"/>
                <w:b/>
                <w:bCs/>
                <w:spacing w:val="-3"/>
              </w:rPr>
              <w:t>平均余额</w:t>
            </w:r>
          </w:p>
        </w:tc>
        <w:tc>
          <w:tcPr>
            <w:shd w:val="clear" w:fill="DBE5F1"/>
            <w:tcW w:w="1274" w:type="dxa"/>
            <w:vAlign w:val="top"/>
            <w:tcBorders>
              <w:bottom w:val="single" w:color="000000" w:sz="2" w:space="0"/>
              <w:top w:val="single" w:color="000000" w:sz="2" w:space="0"/>
            </w:tcBorders>
          </w:tcPr>
          <w:p>
            <w:pPr>
              <w:pStyle w:val="TableText"/>
              <w:ind w:left="499"/>
              <w:spacing w:before="238" w:line="221" w:lineRule="auto"/>
              <w:rPr>
                <w:sz w:val="18"/>
                <w:szCs w:val="18"/>
              </w:rPr>
            </w:pPr>
            <w:r>
              <w:rPr>
                <w:sz w:val="18"/>
                <w:szCs w:val="18"/>
                <w:b/>
                <w:bCs/>
                <w:spacing w:val="-4"/>
              </w:rPr>
              <w:t>利息支出</w:t>
            </w:r>
          </w:p>
        </w:tc>
        <w:tc>
          <w:tcPr>
            <w:shd w:val="clear" w:fill="DBE5F1"/>
            <w:tcW w:w="1272" w:type="dxa"/>
            <w:vAlign w:val="top"/>
            <w:tcBorders>
              <w:bottom w:val="single" w:color="000000" w:sz="2" w:space="0"/>
              <w:top w:val="single" w:color="000000" w:sz="2" w:space="0"/>
            </w:tcBorders>
          </w:tcPr>
          <w:p>
            <w:pPr>
              <w:pStyle w:val="TableText"/>
              <w:ind w:left="321" w:right="55"/>
              <w:spacing w:before="112" w:line="246" w:lineRule="auto"/>
              <w:jc w:val="right"/>
              <w:rPr>
                <w:rFonts w:ascii="Times New Roman" w:hAnsi="Times New Roman" w:eastAsia="Times New Roman" w:cs="Times New Roman"/>
                <w:sz w:val="18"/>
                <w:szCs w:val="18"/>
              </w:rPr>
            </w:pPr>
            <w:r>
              <w:rPr>
                <w:sz w:val="18"/>
                <w:szCs w:val="18"/>
                <w:b/>
                <w:bCs/>
                <w:spacing w:val="-3"/>
              </w:rPr>
              <w:t>平均成本率</w:t>
            </w:r>
            <w:r>
              <w:rPr>
                <w:sz w:val="18"/>
                <w:szCs w:val="18"/>
              </w:rPr>
              <w:t xml:space="preserve"> </w:t>
            </w:r>
            <w:r>
              <w:rPr>
                <w:rFonts w:ascii="Times New Roman" w:hAnsi="Times New Roman" w:eastAsia="Times New Roman" w:cs="Times New Roman"/>
                <w:sz w:val="18"/>
                <w:szCs w:val="18"/>
                <w:b/>
                <w:bCs/>
                <w:spacing w:val="-2"/>
              </w:rPr>
              <w:t>(%)</w:t>
            </w:r>
          </w:p>
        </w:tc>
        <w:tc>
          <w:tcPr>
            <w:tcW w:w="1494" w:type="dxa"/>
            <w:vAlign w:val="top"/>
            <w:tcBorders>
              <w:bottom w:val="single" w:color="000000" w:sz="2" w:space="0"/>
              <w:top w:val="single" w:color="000000" w:sz="2" w:space="0"/>
            </w:tcBorders>
          </w:tcPr>
          <w:p>
            <w:pPr>
              <w:pStyle w:val="TableText"/>
              <w:ind w:left="503"/>
              <w:spacing w:before="239" w:line="220" w:lineRule="auto"/>
              <w:rPr>
                <w:sz w:val="18"/>
                <w:szCs w:val="18"/>
              </w:rPr>
            </w:pPr>
            <w:r>
              <w:rPr>
                <w:sz w:val="18"/>
                <w:szCs w:val="18"/>
                <w:spacing w:val="-2"/>
              </w:rPr>
              <w:t>平均余额</w:t>
            </w:r>
          </w:p>
        </w:tc>
        <w:tc>
          <w:tcPr>
            <w:tcW w:w="1183" w:type="dxa"/>
            <w:vAlign w:val="top"/>
            <w:tcBorders>
              <w:bottom w:val="single" w:color="000000" w:sz="2" w:space="0"/>
              <w:top w:val="single" w:color="000000" w:sz="2" w:space="0"/>
            </w:tcBorders>
          </w:tcPr>
          <w:p>
            <w:pPr>
              <w:pStyle w:val="TableText"/>
              <w:ind w:left="285"/>
              <w:spacing w:before="238" w:line="221" w:lineRule="auto"/>
              <w:rPr>
                <w:sz w:val="18"/>
                <w:szCs w:val="18"/>
              </w:rPr>
            </w:pPr>
            <w:r>
              <w:rPr>
                <w:sz w:val="18"/>
                <w:szCs w:val="18"/>
                <w:spacing w:val="-2"/>
              </w:rPr>
              <w:t>利息支出</w:t>
            </w:r>
          </w:p>
        </w:tc>
        <w:tc>
          <w:tcPr>
            <w:tcW w:w="1142" w:type="dxa"/>
            <w:vAlign w:val="top"/>
            <w:tcBorders>
              <w:bottom w:val="single" w:color="000000" w:sz="2" w:space="0"/>
              <w:top w:val="single" w:color="000000" w:sz="2" w:space="0"/>
            </w:tcBorders>
          </w:tcPr>
          <w:p>
            <w:pPr>
              <w:pStyle w:val="TableText"/>
              <w:ind w:left="193" w:right="54"/>
              <w:spacing w:before="110" w:line="256" w:lineRule="auto"/>
              <w:jc w:val="right"/>
              <w:rPr>
                <w:rFonts w:ascii="Times New Roman" w:hAnsi="Times New Roman" w:eastAsia="Times New Roman" w:cs="Times New Roman"/>
                <w:sz w:val="18"/>
                <w:szCs w:val="18"/>
              </w:rPr>
            </w:pPr>
            <w:r>
              <w:rPr>
                <w:sz w:val="18"/>
                <w:szCs w:val="18"/>
                <w:spacing w:val="-2"/>
              </w:rPr>
              <w:t>平均成本率</w:t>
            </w:r>
            <w:r>
              <w:rPr>
                <w:sz w:val="18"/>
                <w:szCs w:val="18"/>
                <w:spacing w:val="2"/>
              </w:rPr>
              <w:t xml:space="preserve"> </w:t>
            </w:r>
            <w:r>
              <w:rPr>
                <w:rFonts w:ascii="Times New Roman" w:hAnsi="Times New Roman" w:eastAsia="Times New Roman" w:cs="Times New Roman"/>
                <w:sz w:val="18"/>
                <w:szCs w:val="18"/>
                <w:spacing w:val="-3"/>
              </w:rPr>
              <w:t>(%)</w:t>
            </w:r>
          </w:p>
        </w:tc>
      </w:tr>
      <w:tr>
        <w:trPr>
          <w:trHeight w:val="379" w:hRule="atLeast"/>
        </w:trPr>
        <w:tc>
          <w:tcPr>
            <w:tcW w:w="2016" w:type="dxa"/>
            <w:vAlign w:val="top"/>
            <w:tcBorders>
              <w:bottom w:val="single" w:color="000000" w:sz="2" w:space="0"/>
              <w:top w:val="single" w:color="000000" w:sz="2" w:space="0"/>
            </w:tcBorders>
          </w:tcPr>
          <w:p>
            <w:pPr>
              <w:pStyle w:val="TableText"/>
              <w:ind w:left="84"/>
              <w:spacing w:before="110" w:line="220" w:lineRule="auto"/>
              <w:rPr>
                <w:sz w:val="18"/>
                <w:szCs w:val="18"/>
              </w:rPr>
            </w:pPr>
            <w:r>
              <w:rPr>
                <w:sz w:val="18"/>
                <w:szCs w:val="18"/>
                <w:b/>
                <w:bCs/>
                <w:spacing w:val="-5"/>
              </w:rPr>
              <w:t>公司存款</w:t>
            </w:r>
          </w:p>
        </w:tc>
        <w:tc>
          <w:tcPr>
            <w:shd w:val="clear" w:fill="DBE5F1"/>
            <w:tcW w:w="1273" w:type="dxa"/>
            <w:vAlign w:val="top"/>
            <w:tcBorders>
              <w:bottom w:val="single" w:color="000000" w:sz="2" w:space="0"/>
              <w:top w:val="single" w:color="000000" w:sz="2" w:space="0"/>
            </w:tcBorders>
          </w:tcPr>
          <w:p>
            <w:pPr>
              <w:ind w:left="496"/>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4,800,242</w:t>
            </w:r>
          </w:p>
        </w:tc>
        <w:tc>
          <w:tcPr>
            <w:shd w:val="clear" w:fill="DBE5F1"/>
            <w:tcW w:w="1274" w:type="dxa"/>
            <w:vAlign w:val="top"/>
            <w:tcBorders>
              <w:bottom w:val="single" w:color="000000" w:sz="2" w:space="0"/>
              <w:top w:val="single" w:color="000000" w:sz="2" w:space="0"/>
            </w:tcBorders>
          </w:tcPr>
          <w:p>
            <w:pPr>
              <w:ind w:left="643"/>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102,342</w:t>
            </w:r>
          </w:p>
        </w:tc>
        <w:tc>
          <w:tcPr>
            <w:shd w:val="clear" w:fill="DBE5F1"/>
            <w:tcW w:w="1272" w:type="dxa"/>
            <w:vAlign w:val="top"/>
            <w:tcBorders>
              <w:bottom w:val="single" w:color="000000" w:sz="2" w:space="0"/>
              <w:top w:val="single" w:color="000000" w:sz="2" w:space="0"/>
            </w:tcBorders>
          </w:tcPr>
          <w:p>
            <w:pPr>
              <w:ind w:left="905"/>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2.13</w:t>
            </w:r>
          </w:p>
        </w:tc>
        <w:tc>
          <w:tcPr>
            <w:tcW w:w="1494" w:type="dxa"/>
            <w:vAlign w:val="top"/>
            <w:tcBorders>
              <w:bottom w:val="single" w:color="000000" w:sz="2" w:space="0"/>
              <w:top w:val="single" w:color="000000" w:sz="2" w:space="0"/>
            </w:tcBorders>
          </w:tcPr>
          <w:p>
            <w:pPr>
              <w:ind w:left="498"/>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4,395,310</w:t>
            </w:r>
          </w:p>
        </w:tc>
        <w:tc>
          <w:tcPr>
            <w:tcW w:w="1183" w:type="dxa"/>
            <w:vAlign w:val="top"/>
            <w:tcBorders>
              <w:bottom w:val="single" w:color="000000" w:sz="2" w:space="0"/>
              <w:top w:val="single" w:color="000000" w:sz="2" w:space="0"/>
            </w:tcBorders>
          </w:tcPr>
          <w:p>
            <w:pPr>
              <w:ind w:left="512"/>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88,165</w:t>
            </w:r>
          </w:p>
        </w:tc>
        <w:tc>
          <w:tcPr>
            <w:tcW w:w="1142" w:type="dxa"/>
            <w:vAlign w:val="top"/>
            <w:tcBorders>
              <w:bottom w:val="single" w:color="000000" w:sz="2" w:space="0"/>
              <w:top w:val="single" w:color="000000" w:sz="2" w:space="0"/>
            </w:tcBorders>
          </w:tcPr>
          <w:p>
            <w:pPr>
              <w:ind w:left="776"/>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2.01</w:t>
            </w:r>
          </w:p>
        </w:tc>
      </w:tr>
      <w:tr>
        <w:trPr>
          <w:trHeight w:val="378" w:hRule="atLeast"/>
        </w:trPr>
        <w:tc>
          <w:tcPr>
            <w:tcW w:w="2016" w:type="dxa"/>
            <w:vAlign w:val="top"/>
            <w:tcBorders>
              <w:bottom w:val="single" w:color="000000" w:sz="2" w:space="0"/>
              <w:top w:val="single" w:color="000000" w:sz="2" w:space="0"/>
            </w:tcBorders>
          </w:tcPr>
          <w:p>
            <w:pPr>
              <w:pStyle w:val="TableText"/>
              <w:ind w:left="95"/>
              <w:spacing w:before="111" w:line="221" w:lineRule="auto"/>
              <w:rPr>
                <w:sz w:val="18"/>
                <w:szCs w:val="18"/>
              </w:rPr>
            </w:pPr>
            <w:r>
              <w:rPr>
                <w:sz w:val="18"/>
                <w:szCs w:val="18"/>
                <w:spacing w:val="22"/>
              </w:rPr>
              <w:t>-活期</w:t>
            </w:r>
          </w:p>
        </w:tc>
        <w:tc>
          <w:tcPr>
            <w:shd w:val="clear" w:fill="DBE5F1"/>
            <w:tcW w:w="1273" w:type="dxa"/>
            <w:vAlign w:val="top"/>
            <w:tcBorders>
              <w:bottom w:val="single" w:color="000000" w:sz="2" w:space="0"/>
              <w:top w:val="single" w:color="000000" w:sz="2" w:space="0"/>
            </w:tcBorders>
          </w:tcPr>
          <w:p>
            <w:pPr>
              <w:ind w:left="513"/>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1,911,196</w:t>
            </w:r>
          </w:p>
        </w:tc>
        <w:tc>
          <w:tcPr>
            <w:shd w:val="clear" w:fill="DBE5F1"/>
            <w:tcW w:w="1274" w:type="dxa"/>
            <w:vAlign w:val="top"/>
            <w:tcBorders>
              <w:bottom w:val="single" w:color="000000" w:sz="2" w:space="0"/>
              <w:top w:val="single" w:color="000000" w:sz="2" w:space="0"/>
            </w:tcBorders>
          </w:tcPr>
          <w:p>
            <w:pPr>
              <w:ind w:left="731"/>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18,489</w:t>
            </w:r>
          </w:p>
        </w:tc>
        <w:tc>
          <w:tcPr>
            <w:shd w:val="clear" w:fill="DBE5F1"/>
            <w:tcW w:w="1272" w:type="dxa"/>
            <w:vAlign w:val="top"/>
            <w:tcBorders>
              <w:bottom w:val="single" w:color="000000" w:sz="2" w:space="0"/>
              <w:top w:val="single" w:color="000000" w:sz="2" w:space="0"/>
            </w:tcBorders>
          </w:tcPr>
          <w:p>
            <w:pPr>
              <w:ind w:left="907"/>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0.97</w:t>
            </w:r>
          </w:p>
        </w:tc>
        <w:tc>
          <w:tcPr>
            <w:tcW w:w="1494" w:type="dxa"/>
            <w:vAlign w:val="top"/>
            <w:tcBorders>
              <w:bottom w:val="single" w:color="000000" w:sz="2" w:space="0"/>
              <w:top w:val="single" w:color="000000" w:sz="2" w:space="0"/>
            </w:tcBorders>
          </w:tcPr>
          <w:p>
            <w:pPr>
              <w:ind w:left="516"/>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1,897,980</w:t>
            </w:r>
          </w:p>
        </w:tc>
        <w:tc>
          <w:tcPr>
            <w:tcW w:w="1183" w:type="dxa"/>
            <w:vAlign w:val="top"/>
            <w:tcBorders>
              <w:bottom w:val="single" w:color="000000" w:sz="2" w:space="0"/>
              <w:top w:val="single" w:color="000000" w:sz="2" w:space="0"/>
            </w:tcBorders>
          </w:tcPr>
          <w:p>
            <w:pPr>
              <w:ind w:left="522"/>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16,706</w:t>
            </w:r>
          </w:p>
        </w:tc>
        <w:tc>
          <w:tcPr>
            <w:tcW w:w="1142" w:type="dxa"/>
            <w:vAlign w:val="top"/>
            <w:tcBorders>
              <w:bottom w:val="single" w:color="000000" w:sz="2" w:space="0"/>
              <w:top w:val="single" w:color="000000" w:sz="2" w:space="0"/>
            </w:tcBorders>
          </w:tcPr>
          <w:p>
            <w:pPr>
              <w:ind w:left="779"/>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0.88</w:t>
            </w:r>
          </w:p>
        </w:tc>
      </w:tr>
      <w:tr>
        <w:trPr>
          <w:trHeight w:val="378" w:hRule="atLeast"/>
        </w:trPr>
        <w:tc>
          <w:tcPr>
            <w:tcW w:w="2016" w:type="dxa"/>
            <w:vAlign w:val="top"/>
            <w:tcBorders>
              <w:bottom w:val="single" w:color="000000" w:sz="2" w:space="0"/>
              <w:top w:val="single" w:color="000000" w:sz="2" w:space="0"/>
            </w:tcBorders>
          </w:tcPr>
          <w:p>
            <w:pPr>
              <w:pStyle w:val="TableText"/>
              <w:ind w:left="95"/>
              <w:spacing w:before="112" w:line="221" w:lineRule="auto"/>
              <w:rPr>
                <w:sz w:val="18"/>
                <w:szCs w:val="18"/>
              </w:rPr>
            </w:pPr>
            <w:r>
              <w:rPr>
                <w:sz w:val="18"/>
                <w:szCs w:val="18"/>
                <w:spacing w:val="22"/>
              </w:rPr>
              <w:t>-定期</w:t>
            </w:r>
          </w:p>
        </w:tc>
        <w:tc>
          <w:tcPr>
            <w:shd w:val="clear" w:fill="DBE5F1"/>
            <w:tcW w:w="1273" w:type="dxa"/>
            <w:vAlign w:val="top"/>
            <w:tcBorders>
              <w:bottom w:val="single" w:color="000000" w:sz="2" w:space="0"/>
              <w:top w:val="single" w:color="000000" w:sz="2" w:space="0"/>
            </w:tcBorders>
          </w:tcPr>
          <w:p>
            <w:pPr>
              <w:ind w:left="496"/>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2,889,046</w:t>
            </w:r>
          </w:p>
        </w:tc>
        <w:tc>
          <w:tcPr>
            <w:shd w:val="clear" w:fill="DBE5F1"/>
            <w:tcW w:w="1274" w:type="dxa"/>
            <w:vAlign w:val="top"/>
            <w:tcBorders>
              <w:bottom w:val="single" w:color="000000" w:sz="2" w:space="0"/>
              <w:top w:val="single" w:color="000000" w:sz="2" w:space="0"/>
            </w:tcBorders>
          </w:tcPr>
          <w:p>
            <w:pPr>
              <w:ind w:left="728"/>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83,853</w:t>
            </w:r>
          </w:p>
        </w:tc>
        <w:tc>
          <w:tcPr>
            <w:shd w:val="clear" w:fill="DBE5F1"/>
            <w:tcW w:w="1272" w:type="dxa"/>
            <w:vAlign w:val="top"/>
            <w:tcBorders>
              <w:bottom w:val="single" w:color="000000" w:sz="2" w:space="0"/>
              <w:top w:val="single" w:color="000000" w:sz="2" w:space="0"/>
            </w:tcBorders>
          </w:tcPr>
          <w:p>
            <w:pPr>
              <w:ind w:left="905"/>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2.90</w:t>
            </w:r>
          </w:p>
        </w:tc>
        <w:tc>
          <w:tcPr>
            <w:tcW w:w="1494" w:type="dxa"/>
            <w:vAlign w:val="top"/>
            <w:tcBorders>
              <w:bottom w:val="single" w:color="000000" w:sz="2" w:space="0"/>
              <w:top w:val="single" w:color="000000" w:sz="2" w:space="0"/>
            </w:tcBorders>
          </w:tcPr>
          <w:p>
            <w:pPr>
              <w:ind w:left="498"/>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2,497,330</w:t>
            </w:r>
          </w:p>
        </w:tc>
        <w:tc>
          <w:tcPr>
            <w:tcW w:w="1183" w:type="dxa"/>
            <w:vAlign w:val="top"/>
            <w:tcBorders>
              <w:bottom w:val="single" w:color="000000" w:sz="2" w:space="0"/>
              <w:top w:val="single" w:color="000000" w:sz="2" w:space="0"/>
            </w:tcBorders>
          </w:tcPr>
          <w:p>
            <w:pPr>
              <w:ind w:left="508"/>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71,459</w:t>
            </w:r>
          </w:p>
        </w:tc>
        <w:tc>
          <w:tcPr>
            <w:tcW w:w="1142" w:type="dxa"/>
            <w:vAlign w:val="top"/>
            <w:tcBorders>
              <w:bottom w:val="single" w:color="000000" w:sz="2" w:space="0"/>
              <w:top w:val="single" w:color="000000" w:sz="2" w:space="0"/>
            </w:tcBorders>
          </w:tcPr>
          <w:p>
            <w:pPr>
              <w:ind w:left="776"/>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2.86</w:t>
            </w:r>
          </w:p>
        </w:tc>
      </w:tr>
      <w:tr>
        <w:trPr>
          <w:trHeight w:val="378" w:hRule="atLeast"/>
        </w:trPr>
        <w:tc>
          <w:tcPr>
            <w:tcW w:w="2016" w:type="dxa"/>
            <w:vAlign w:val="top"/>
            <w:tcBorders>
              <w:bottom w:val="single" w:color="000000" w:sz="2" w:space="0"/>
              <w:top w:val="single" w:color="000000" w:sz="2" w:space="0"/>
            </w:tcBorders>
          </w:tcPr>
          <w:p>
            <w:pPr>
              <w:pStyle w:val="TableText"/>
              <w:ind w:left="79"/>
              <w:spacing w:before="113" w:line="220" w:lineRule="auto"/>
              <w:rPr>
                <w:sz w:val="18"/>
                <w:szCs w:val="18"/>
              </w:rPr>
            </w:pPr>
            <w:r>
              <w:rPr>
                <w:sz w:val="18"/>
                <w:szCs w:val="18"/>
                <w:b/>
                <w:bCs/>
                <w:spacing w:val="-4"/>
              </w:rPr>
              <w:t>个人存款</w:t>
            </w:r>
          </w:p>
        </w:tc>
        <w:tc>
          <w:tcPr>
            <w:shd w:val="clear" w:fill="DBE5F1"/>
            <w:tcW w:w="1273" w:type="dxa"/>
            <w:vAlign w:val="top"/>
            <w:tcBorders>
              <w:bottom w:val="single" w:color="000000" w:sz="2" w:space="0"/>
              <w:top w:val="single" w:color="000000" w:sz="2" w:space="0"/>
            </w:tcBorders>
          </w:tcPr>
          <w:p>
            <w:pPr>
              <w:ind w:left="496"/>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2,665,828</w:t>
            </w:r>
          </w:p>
        </w:tc>
        <w:tc>
          <w:tcPr>
            <w:shd w:val="clear" w:fill="DBE5F1"/>
            <w:tcW w:w="1274" w:type="dxa"/>
            <w:vAlign w:val="top"/>
            <w:tcBorders>
              <w:bottom w:val="single" w:color="000000" w:sz="2" w:space="0"/>
              <w:top w:val="single" w:color="000000" w:sz="2" w:space="0"/>
            </w:tcBorders>
          </w:tcPr>
          <w:p>
            <w:pPr>
              <w:ind w:left="736"/>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61,115</w:t>
            </w:r>
          </w:p>
        </w:tc>
        <w:tc>
          <w:tcPr>
            <w:shd w:val="clear" w:fill="DBE5F1"/>
            <w:tcW w:w="1272" w:type="dxa"/>
            <w:vAlign w:val="top"/>
            <w:tcBorders>
              <w:bottom w:val="single" w:color="000000" w:sz="2" w:space="0"/>
              <w:top w:val="single" w:color="000000" w:sz="2" w:space="0"/>
            </w:tcBorders>
          </w:tcPr>
          <w:p>
            <w:pPr>
              <w:ind w:left="905"/>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2.29</w:t>
            </w:r>
          </w:p>
        </w:tc>
        <w:tc>
          <w:tcPr>
            <w:tcW w:w="1494" w:type="dxa"/>
            <w:vAlign w:val="top"/>
            <w:tcBorders>
              <w:bottom w:val="single" w:color="000000" w:sz="2" w:space="0"/>
              <w:top w:val="single" w:color="000000" w:sz="2" w:space="0"/>
            </w:tcBorders>
          </w:tcPr>
          <w:p>
            <w:pPr>
              <w:ind w:left="498"/>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2,312,790</w:t>
            </w:r>
          </w:p>
        </w:tc>
        <w:tc>
          <w:tcPr>
            <w:tcW w:w="1183" w:type="dxa"/>
            <w:vAlign w:val="top"/>
            <w:tcBorders>
              <w:bottom w:val="single" w:color="000000" w:sz="2" w:space="0"/>
              <w:top w:val="single" w:color="000000" w:sz="2" w:space="0"/>
            </w:tcBorders>
          </w:tcPr>
          <w:p>
            <w:pPr>
              <w:ind w:left="510"/>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52,817</w:t>
            </w:r>
          </w:p>
        </w:tc>
        <w:tc>
          <w:tcPr>
            <w:tcW w:w="1142" w:type="dxa"/>
            <w:vAlign w:val="top"/>
            <w:tcBorders>
              <w:bottom w:val="single" w:color="000000" w:sz="2" w:space="0"/>
              <w:top w:val="single" w:color="000000" w:sz="2" w:space="0"/>
            </w:tcBorders>
          </w:tcPr>
          <w:p>
            <w:pPr>
              <w:ind w:left="776"/>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2.28</w:t>
            </w:r>
          </w:p>
        </w:tc>
      </w:tr>
      <w:tr>
        <w:trPr>
          <w:trHeight w:val="379" w:hRule="atLeast"/>
        </w:trPr>
        <w:tc>
          <w:tcPr>
            <w:tcW w:w="2016" w:type="dxa"/>
            <w:vAlign w:val="top"/>
            <w:tcBorders>
              <w:bottom w:val="single" w:color="000000" w:sz="2" w:space="0"/>
              <w:top w:val="single" w:color="000000" w:sz="2" w:space="0"/>
            </w:tcBorders>
          </w:tcPr>
          <w:p>
            <w:pPr>
              <w:pStyle w:val="TableText"/>
              <w:ind w:left="95"/>
              <w:spacing w:before="114" w:line="221" w:lineRule="auto"/>
              <w:rPr>
                <w:sz w:val="18"/>
                <w:szCs w:val="18"/>
              </w:rPr>
            </w:pPr>
            <w:r>
              <w:rPr>
                <w:sz w:val="18"/>
                <w:szCs w:val="18"/>
                <w:spacing w:val="22"/>
              </w:rPr>
              <w:t>-活期</w:t>
            </w:r>
          </w:p>
        </w:tc>
        <w:tc>
          <w:tcPr>
            <w:shd w:val="clear" w:fill="DBE5F1"/>
            <w:tcW w:w="1273" w:type="dxa"/>
            <w:vAlign w:val="top"/>
            <w:tcBorders>
              <w:bottom w:val="single" w:color="000000" w:sz="2" w:space="0"/>
              <w:top w:val="single" w:color="000000" w:sz="2" w:space="0"/>
            </w:tcBorders>
          </w:tcPr>
          <w:p>
            <w:pPr>
              <w:ind w:left="635"/>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789,468</w:t>
            </w:r>
          </w:p>
        </w:tc>
        <w:tc>
          <w:tcPr>
            <w:shd w:val="clear" w:fill="DBE5F1"/>
            <w:tcW w:w="1274" w:type="dxa"/>
            <w:vAlign w:val="top"/>
            <w:tcBorders>
              <w:bottom w:val="single" w:color="000000" w:sz="2" w:space="0"/>
              <w:top w:val="single" w:color="000000" w:sz="2" w:space="0"/>
            </w:tcBorders>
          </w:tcPr>
          <w:p>
            <w:pPr>
              <w:ind w:left="815"/>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2,394</w:t>
            </w:r>
          </w:p>
        </w:tc>
        <w:tc>
          <w:tcPr>
            <w:shd w:val="clear" w:fill="DBE5F1"/>
            <w:tcW w:w="1272" w:type="dxa"/>
            <w:vAlign w:val="top"/>
            <w:tcBorders>
              <w:bottom w:val="single" w:color="000000" w:sz="2" w:space="0"/>
              <w:top w:val="single" w:color="000000" w:sz="2" w:space="0"/>
            </w:tcBorders>
          </w:tcPr>
          <w:p>
            <w:pPr>
              <w:ind w:left="907"/>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0.30</w:t>
            </w:r>
          </w:p>
        </w:tc>
        <w:tc>
          <w:tcPr>
            <w:tcW w:w="1494" w:type="dxa"/>
            <w:vAlign w:val="top"/>
            <w:tcBorders>
              <w:bottom w:val="single" w:color="000000" w:sz="2" w:space="0"/>
              <w:top w:val="single" w:color="000000" w:sz="2" w:space="0"/>
            </w:tcBorders>
          </w:tcPr>
          <w:p>
            <w:pPr>
              <w:ind w:left="638"/>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774,599</w:t>
            </w:r>
          </w:p>
        </w:tc>
        <w:tc>
          <w:tcPr>
            <w:tcW w:w="1183" w:type="dxa"/>
            <w:vAlign w:val="top"/>
            <w:tcBorders>
              <w:bottom w:val="single" w:color="000000" w:sz="2" w:space="0"/>
              <w:top w:val="single" w:color="000000" w:sz="2" w:space="0"/>
            </w:tcBorders>
          </w:tcPr>
          <w:p>
            <w:pPr>
              <w:ind w:left="600"/>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3,689</w:t>
            </w:r>
          </w:p>
        </w:tc>
        <w:tc>
          <w:tcPr>
            <w:tcW w:w="1142" w:type="dxa"/>
            <w:vAlign w:val="top"/>
            <w:tcBorders>
              <w:bottom w:val="single" w:color="000000" w:sz="2" w:space="0"/>
              <w:top w:val="single" w:color="000000" w:sz="2" w:space="0"/>
            </w:tcBorders>
          </w:tcPr>
          <w:p>
            <w:pPr>
              <w:ind w:left="779"/>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0.48</w:t>
            </w:r>
          </w:p>
        </w:tc>
      </w:tr>
      <w:tr>
        <w:trPr>
          <w:trHeight w:val="379" w:hRule="atLeast"/>
        </w:trPr>
        <w:tc>
          <w:tcPr>
            <w:tcW w:w="2016" w:type="dxa"/>
            <w:vAlign w:val="top"/>
            <w:tcBorders>
              <w:bottom w:val="single" w:color="000000" w:sz="2" w:space="0"/>
              <w:top w:val="single" w:color="000000" w:sz="2" w:space="0"/>
            </w:tcBorders>
          </w:tcPr>
          <w:p>
            <w:pPr>
              <w:pStyle w:val="TableText"/>
              <w:ind w:left="95"/>
              <w:spacing w:before="114" w:line="221" w:lineRule="auto"/>
              <w:rPr>
                <w:sz w:val="18"/>
                <w:szCs w:val="18"/>
              </w:rPr>
            </w:pPr>
            <w:r>
              <w:rPr>
                <w:sz w:val="18"/>
                <w:szCs w:val="18"/>
                <w:spacing w:val="22"/>
              </w:rPr>
              <w:t>-定期</w:t>
            </w:r>
          </w:p>
        </w:tc>
        <w:tc>
          <w:tcPr>
            <w:shd w:val="clear" w:fill="DBE5F1"/>
            <w:tcW w:w="1273" w:type="dxa"/>
            <w:vAlign w:val="top"/>
            <w:tcBorders>
              <w:bottom w:val="single" w:color="000000" w:sz="2" w:space="0"/>
              <w:top w:val="single" w:color="000000" w:sz="2" w:space="0"/>
            </w:tcBorders>
          </w:tcPr>
          <w:p>
            <w:pPr>
              <w:ind w:left="506"/>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1,876,360</w:t>
            </w:r>
          </w:p>
        </w:tc>
        <w:tc>
          <w:tcPr>
            <w:shd w:val="clear" w:fill="DBE5F1"/>
            <w:tcW w:w="1274" w:type="dxa"/>
            <w:vAlign w:val="top"/>
            <w:tcBorders>
              <w:bottom w:val="single" w:color="000000" w:sz="2" w:space="0"/>
              <w:top w:val="single" w:color="000000" w:sz="2" w:space="0"/>
            </w:tcBorders>
          </w:tcPr>
          <w:p>
            <w:pPr>
              <w:ind w:left="726"/>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58,721</w:t>
            </w:r>
          </w:p>
        </w:tc>
        <w:tc>
          <w:tcPr>
            <w:shd w:val="clear" w:fill="DBE5F1"/>
            <w:tcW w:w="1272" w:type="dxa"/>
            <w:vAlign w:val="top"/>
            <w:tcBorders>
              <w:bottom w:val="single" w:color="000000" w:sz="2" w:space="0"/>
              <w:top w:val="single" w:color="000000" w:sz="2" w:space="0"/>
            </w:tcBorders>
          </w:tcPr>
          <w:p>
            <w:pPr>
              <w:ind w:left="903"/>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3.13</w:t>
            </w:r>
          </w:p>
        </w:tc>
        <w:tc>
          <w:tcPr>
            <w:tcW w:w="1494" w:type="dxa"/>
            <w:vAlign w:val="top"/>
            <w:tcBorders>
              <w:bottom w:val="single" w:color="000000" w:sz="2" w:space="0"/>
              <w:top w:val="single" w:color="000000" w:sz="2" w:space="0"/>
            </w:tcBorders>
          </w:tcPr>
          <w:p>
            <w:pPr>
              <w:ind w:left="516"/>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1,538,191</w:t>
            </w:r>
          </w:p>
        </w:tc>
        <w:tc>
          <w:tcPr>
            <w:tcW w:w="1183" w:type="dxa"/>
            <w:vAlign w:val="top"/>
            <w:tcBorders>
              <w:bottom w:val="single" w:color="000000" w:sz="2" w:space="0"/>
              <w:top w:val="single" w:color="000000" w:sz="2" w:space="0"/>
            </w:tcBorders>
          </w:tcPr>
          <w:p>
            <w:pPr>
              <w:ind w:left="504"/>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49,128</w:t>
            </w:r>
          </w:p>
        </w:tc>
        <w:tc>
          <w:tcPr>
            <w:tcW w:w="1142" w:type="dxa"/>
            <w:vAlign w:val="top"/>
            <w:tcBorders>
              <w:bottom w:val="single" w:color="000000" w:sz="2" w:space="0"/>
              <w:top w:val="single" w:color="000000" w:sz="2" w:space="0"/>
            </w:tcBorders>
          </w:tcPr>
          <w:p>
            <w:pPr>
              <w:ind w:left="780"/>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3.19</w:t>
            </w:r>
          </w:p>
        </w:tc>
      </w:tr>
      <w:tr>
        <w:trPr>
          <w:trHeight w:val="383" w:hRule="atLeast"/>
        </w:trPr>
        <w:tc>
          <w:tcPr>
            <w:tcW w:w="2016" w:type="dxa"/>
            <w:vAlign w:val="top"/>
            <w:tcBorders>
              <w:bottom w:val="single" w:color="000000" w:sz="2" w:space="0"/>
              <w:top w:val="single" w:color="000000" w:sz="2" w:space="0"/>
            </w:tcBorders>
          </w:tcPr>
          <w:p>
            <w:pPr>
              <w:pStyle w:val="TableText"/>
              <w:ind w:left="80"/>
              <w:spacing w:before="114" w:line="220" w:lineRule="auto"/>
              <w:rPr>
                <w:sz w:val="18"/>
                <w:szCs w:val="18"/>
              </w:rPr>
            </w:pPr>
            <w:r>
              <w:rPr>
                <w:sz w:val="18"/>
                <w:szCs w:val="18"/>
                <w:b/>
                <w:bCs/>
                <w:spacing w:val="-3"/>
              </w:rPr>
              <w:t>客户存款总额</w:t>
            </w:r>
          </w:p>
        </w:tc>
        <w:tc>
          <w:tcPr>
            <w:shd w:val="clear" w:fill="DBE5F1"/>
            <w:tcW w:w="1273" w:type="dxa"/>
            <w:vAlign w:val="top"/>
            <w:tcBorders>
              <w:bottom w:val="single" w:color="000000" w:sz="2" w:space="0"/>
              <w:top w:val="single" w:color="000000" w:sz="2" w:space="0"/>
            </w:tcBorders>
          </w:tcPr>
          <w:p>
            <w:pPr>
              <w:ind w:left="500"/>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7,466,070</w:t>
            </w:r>
          </w:p>
        </w:tc>
        <w:tc>
          <w:tcPr>
            <w:shd w:val="clear" w:fill="DBE5F1"/>
            <w:tcW w:w="1274" w:type="dxa"/>
            <w:vAlign w:val="top"/>
            <w:tcBorders>
              <w:bottom w:val="single" w:color="000000" w:sz="2" w:space="0"/>
              <w:top w:val="single" w:color="000000" w:sz="2" w:space="0"/>
            </w:tcBorders>
          </w:tcPr>
          <w:p>
            <w:pPr>
              <w:ind w:left="643"/>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163,457</w:t>
            </w:r>
          </w:p>
        </w:tc>
        <w:tc>
          <w:tcPr>
            <w:shd w:val="clear" w:fill="DBE5F1"/>
            <w:tcW w:w="1272" w:type="dxa"/>
            <w:vAlign w:val="top"/>
            <w:tcBorders>
              <w:bottom w:val="single" w:color="000000" w:sz="2" w:space="0"/>
              <w:top w:val="single" w:color="000000" w:sz="2" w:space="0"/>
            </w:tcBorders>
          </w:tcPr>
          <w:p>
            <w:pPr>
              <w:ind w:left="905"/>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2.19</w:t>
            </w:r>
          </w:p>
        </w:tc>
        <w:tc>
          <w:tcPr>
            <w:tcW w:w="1494" w:type="dxa"/>
            <w:vAlign w:val="top"/>
            <w:tcBorders>
              <w:bottom w:val="single" w:color="000000" w:sz="2" w:space="0"/>
              <w:top w:val="single" w:color="000000" w:sz="2" w:space="0"/>
            </w:tcBorders>
          </w:tcPr>
          <w:p>
            <w:pPr>
              <w:ind w:left="502"/>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6,708,100</w:t>
            </w:r>
          </w:p>
        </w:tc>
        <w:tc>
          <w:tcPr>
            <w:tcW w:w="1183" w:type="dxa"/>
            <w:vAlign w:val="top"/>
            <w:tcBorders>
              <w:bottom w:val="single" w:color="000000" w:sz="2" w:space="0"/>
              <w:top w:val="single" w:color="000000" w:sz="2" w:space="0"/>
            </w:tcBorders>
          </w:tcPr>
          <w:p>
            <w:pPr>
              <w:ind w:left="433"/>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140,982</w:t>
            </w:r>
          </w:p>
        </w:tc>
        <w:tc>
          <w:tcPr>
            <w:tcW w:w="1142" w:type="dxa"/>
            <w:vAlign w:val="top"/>
            <w:tcBorders>
              <w:bottom w:val="single" w:color="000000" w:sz="2" w:space="0"/>
              <w:top w:val="single" w:color="000000" w:sz="2" w:space="0"/>
            </w:tcBorders>
          </w:tcPr>
          <w:p>
            <w:pPr>
              <w:ind w:left="776"/>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2.10</w:t>
            </w:r>
          </w:p>
        </w:tc>
      </w:tr>
    </w:tbl>
    <w:p>
      <w:pPr>
        <w:ind w:left="441"/>
        <w:spacing w:before="262"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3"/>
        </w:rPr>
        <w:t>B.</w:t>
      </w:r>
      <w:r>
        <w:rPr>
          <w:rFonts w:ascii="Times New Roman" w:hAnsi="Times New Roman" w:eastAsia="Times New Roman" w:cs="Times New Roman"/>
          <w:sz w:val="21"/>
          <w:szCs w:val="21"/>
          <w:b/>
          <w:bCs/>
          <w:spacing w:val="-17"/>
        </w:rPr>
        <w:t xml:space="preserve"> </w:t>
      </w:r>
      <w:r>
        <w:rPr>
          <w:rFonts w:ascii="SimSun" w:hAnsi="SimSun" w:eastAsia="SimSun" w:cs="SimSun"/>
          <w:sz w:val="21"/>
          <w:szCs w:val="21"/>
          <w:b/>
          <w:bCs/>
          <w:spacing w:val="-3"/>
        </w:rPr>
        <w:t>同业及其他金融机构存放和拆入款项利息支出</w:t>
      </w:r>
    </w:p>
    <w:p>
      <w:pPr>
        <w:ind w:left="23" w:right="64" w:firstLine="417"/>
        <w:spacing w:before="309" w:line="282" w:lineRule="auto"/>
        <w:jc w:val="both"/>
        <w:rPr>
          <w:rFonts w:ascii="SimSun" w:hAnsi="SimSun" w:eastAsia="SimSun" w:cs="SimSun"/>
          <w:sz w:val="21"/>
          <w:szCs w:val="21"/>
        </w:rPr>
      </w:pPr>
      <w:r>
        <w:rPr>
          <w:rFonts w:ascii="SimSun" w:hAnsi="SimSun" w:eastAsia="SimSun" w:cs="SimSun"/>
          <w:sz w:val="21"/>
          <w:szCs w:val="21"/>
          <w:spacing w:val="-3"/>
        </w:rPr>
        <w:t>报告期内,</w:t>
      </w:r>
      <w:r>
        <w:rPr>
          <w:rFonts w:ascii="SimSun" w:hAnsi="SimSun" w:eastAsia="SimSun" w:cs="SimSun"/>
          <w:sz w:val="21"/>
          <w:szCs w:val="21"/>
          <w:spacing w:val="59"/>
        </w:rPr>
        <w:t xml:space="preserve"> </w:t>
      </w:r>
      <w:r>
        <w:rPr>
          <w:rFonts w:ascii="SimSun" w:hAnsi="SimSun" w:eastAsia="SimSun" w:cs="SimSun"/>
          <w:sz w:val="21"/>
          <w:szCs w:val="21"/>
          <w:spacing w:val="-3"/>
        </w:rPr>
        <w:t>同业及其他金融机构存放和拆入款项利息支出 </w:t>
      </w:r>
      <w:r>
        <w:rPr>
          <w:rFonts w:ascii="Times New Roman" w:hAnsi="Times New Roman" w:eastAsia="Times New Roman" w:cs="Times New Roman"/>
          <w:sz w:val="21"/>
          <w:szCs w:val="21"/>
          <w:spacing w:val="-3"/>
        </w:rPr>
        <w:t>446.96  </w:t>
      </w:r>
      <w:r>
        <w:rPr>
          <w:rFonts w:ascii="SimSun" w:hAnsi="SimSun" w:eastAsia="SimSun" w:cs="SimSun"/>
          <w:sz w:val="21"/>
          <w:szCs w:val="21"/>
          <w:spacing w:val="-3"/>
        </w:rPr>
        <w:t>亿元,</w:t>
      </w:r>
      <w:r>
        <w:rPr>
          <w:rFonts w:ascii="SimSun" w:hAnsi="SimSun" w:eastAsia="SimSun" w:cs="SimSun"/>
          <w:sz w:val="21"/>
          <w:szCs w:val="21"/>
          <w:spacing w:val="50"/>
        </w:rPr>
        <w:t xml:space="preserve"> </w:t>
      </w:r>
      <w:r>
        <w:rPr>
          <w:rFonts w:ascii="SimSun" w:hAnsi="SimSun" w:eastAsia="SimSun" w:cs="SimSun"/>
          <w:sz w:val="21"/>
          <w:szCs w:val="21"/>
          <w:spacing w:val="-3"/>
        </w:rPr>
        <w:t>同比增加 </w:t>
      </w:r>
      <w:r>
        <w:rPr>
          <w:rFonts w:ascii="Times New Roman" w:hAnsi="Times New Roman" w:eastAsia="Times New Roman" w:cs="Times New Roman"/>
          <w:sz w:val="21"/>
          <w:szCs w:val="21"/>
          <w:spacing w:val="-3"/>
        </w:rPr>
        <w:t>61.15  </w:t>
      </w:r>
      <w:r>
        <w:rPr>
          <w:rFonts w:ascii="SimSun" w:hAnsi="SimSun" w:eastAsia="SimSun" w:cs="SimSun"/>
          <w:sz w:val="21"/>
          <w:szCs w:val="21"/>
          <w:spacing w:val="-3"/>
        </w:rPr>
        <w:t>亿元,</w:t>
      </w:r>
      <w:r>
        <w:rPr>
          <w:rFonts w:ascii="SimSun" w:hAnsi="SimSun" w:eastAsia="SimSun" w:cs="SimSun"/>
          <w:sz w:val="21"/>
          <w:szCs w:val="21"/>
          <w:spacing w:val="30"/>
        </w:rPr>
        <w:t xml:space="preserve"> </w:t>
      </w:r>
      <w:r>
        <w:rPr>
          <w:rFonts w:ascii="SimSun" w:hAnsi="SimSun" w:eastAsia="SimSun" w:cs="SimSun"/>
          <w:sz w:val="21"/>
          <w:szCs w:val="21"/>
          <w:spacing w:val="-3"/>
        </w:rPr>
        <w:t>增幅</w:t>
      </w:r>
      <w:r>
        <w:rPr>
          <w:rFonts w:ascii="SimSun" w:hAnsi="SimSun" w:eastAsia="SimSun" w:cs="SimSun"/>
          <w:sz w:val="21"/>
          <w:szCs w:val="21"/>
        </w:rPr>
        <w:t xml:space="preserve"> </w:t>
      </w:r>
      <w:r>
        <w:rPr>
          <w:rFonts w:ascii="Times New Roman" w:hAnsi="Times New Roman" w:eastAsia="Times New Roman" w:cs="Times New Roman"/>
          <w:sz w:val="21"/>
          <w:szCs w:val="21"/>
          <w:spacing w:val="4"/>
        </w:rPr>
        <w:t>15.85%</w:t>
      </w:r>
      <w:r>
        <w:rPr>
          <w:rFonts w:ascii="SimSun" w:hAnsi="SimSun" w:eastAsia="SimSun" w:cs="SimSun"/>
          <w:sz w:val="21"/>
          <w:szCs w:val="21"/>
          <w:spacing w:val="4"/>
        </w:rPr>
        <w:t>,主要由于同业及其他金融机构存放和拆入</w:t>
      </w:r>
      <w:r>
        <w:rPr>
          <w:rFonts w:ascii="SimSun" w:hAnsi="SimSun" w:eastAsia="SimSun" w:cs="SimSun"/>
          <w:sz w:val="21"/>
          <w:szCs w:val="21"/>
          <w:spacing w:val="3"/>
        </w:rPr>
        <w:t>款项平均成本率同比上升 </w:t>
      </w:r>
      <w:r>
        <w:rPr>
          <w:rFonts w:ascii="Times New Roman" w:hAnsi="Times New Roman" w:eastAsia="Times New Roman" w:cs="Times New Roman"/>
          <w:sz w:val="21"/>
          <w:szCs w:val="21"/>
          <w:spacing w:val="3"/>
        </w:rPr>
        <w:t>16</w:t>
      </w:r>
      <w:r>
        <w:rPr>
          <w:rFonts w:ascii="Times New Roman" w:hAnsi="Times New Roman" w:eastAsia="Times New Roman" w:cs="Times New Roman"/>
          <w:sz w:val="21"/>
          <w:szCs w:val="21"/>
          <w:spacing w:val="42"/>
          <w:w w:val="101"/>
        </w:rPr>
        <w:t xml:space="preserve"> </w:t>
      </w:r>
      <w:r>
        <w:rPr>
          <w:rFonts w:ascii="SimSun" w:hAnsi="SimSun" w:eastAsia="SimSun" w:cs="SimSun"/>
          <w:sz w:val="21"/>
          <w:szCs w:val="21"/>
          <w:spacing w:val="3"/>
        </w:rPr>
        <w:t>个基点,且平均余额同比</w:t>
      </w:r>
      <w:r>
        <w:rPr>
          <w:rFonts w:ascii="SimSun" w:hAnsi="SimSun" w:eastAsia="SimSun" w:cs="SimSun"/>
          <w:sz w:val="21"/>
          <w:szCs w:val="21"/>
        </w:rPr>
        <w:t xml:space="preserve"> </w:t>
      </w:r>
      <w:r>
        <w:rPr>
          <w:rFonts w:ascii="SimSun" w:hAnsi="SimSun" w:eastAsia="SimSun" w:cs="SimSun"/>
          <w:sz w:val="21"/>
          <w:szCs w:val="21"/>
          <w:spacing w:val="-4"/>
        </w:rPr>
        <w:t>增加</w:t>
      </w:r>
      <w:r>
        <w:rPr>
          <w:rFonts w:ascii="SimSun" w:hAnsi="SimSun" w:eastAsia="SimSun" w:cs="SimSun"/>
          <w:sz w:val="21"/>
          <w:szCs w:val="21"/>
          <w:spacing w:val="-9"/>
        </w:rPr>
        <w:t xml:space="preserve"> </w:t>
      </w:r>
      <w:r>
        <w:rPr>
          <w:rFonts w:ascii="Times New Roman" w:hAnsi="Times New Roman" w:eastAsia="Times New Roman" w:cs="Times New Roman"/>
          <w:sz w:val="21"/>
          <w:szCs w:val="21"/>
          <w:spacing w:val="-4"/>
        </w:rPr>
        <w:t>1,319.04 </w:t>
      </w:r>
      <w:r>
        <w:rPr>
          <w:rFonts w:ascii="SimSun" w:hAnsi="SimSun" w:eastAsia="SimSun" w:cs="SimSun"/>
          <w:sz w:val="21"/>
          <w:szCs w:val="21"/>
          <w:spacing w:val="-4"/>
        </w:rPr>
        <w:t>亿元,</w:t>
      </w:r>
      <w:r>
        <w:rPr>
          <w:rFonts w:ascii="SimSun" w:hAnsi="SimSun" w:eastAsia="SimSun" w:cs="SimSun"/>
          <w:sz w:val="21"/>
          <w:szCs w:val="21"/>
          <w:spacing w:val="30"/>
        </w:rPr>
        <w:t xml:space="preserve"> </w:t>
      </w:r>
      <w:r>
        <w:rPr>
          <w:rFonts w:ascii="SimSun" w:hAnsi="SimSun" w:eastAsia="SimSun" w:cs="SimSun"/>
          <w:sz w:val="21"/>
          <w:szCs w:val="21"/>
          <w:spacing w:val="-4"/>
        </w:rPr>
        <w:t>增幅</w:t>
      </w:r>
      <w:r>
        <w:rPr>
          <w:rFonts w:ascii="SimSun" w:hAnsi="SimSun" w:eastAsia="SimSun" w:cs="SimSun"/>
          <w:sz w:val="21"/>
          <w:szCs w:val="21"/>
          <w:spacing w:val="-46"/>
        </w:rPr>
        <w:t xml:space="preserve"> </w:t>
      </w:r>
      <w:r>
        <w:rPr>
          <w:rFonts w:ascii="Times New Roman" w:hAnsi="Times New Roman" w:eastAsia="Times New Roman" w:cs="Times New Roman"/>
          <w:sz w:val="21"/>
          <w:szCs w:val="21"/>
          <w:spacing w:val="-4"/>
        </w:rPr>
        <w:t>6.65%</w:t>
      </w:r>
      <w:r>
        <w:rPr>
          <w:rFonts w:ascii="SimSun" w:hAnsi="SimSun" w:eastAsia="SimSun" w:cs="SimSun"/>
          <w:sz w:val="21"/>
          <w:szCs w:val="21"/>
          <w:spacing w:val="-4"/>
        </w:rPr>
        <w:t>。</w:t>
      </w:r>
    </w:p>
    <w:p>
      <w:pPr>
        <w:pStyle w:val="BodyText"/>
        <w:spacing w:line="249" w:lineRule="auto"/>
        <w:rPr/>
      </w:pPr>
      <w:r/>
    </w:p>
    <w:p>
      <w:pPr>
        <w:ind w:left="445"/>
        <w:spacing w:before="68"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C.</w:t>
      </w:r>
      <w:r>
        <w:rPr>
          <w:rFonts w:ascii="SimSun" w:hAnsi="SimSun" w:eastAsia="SimSun" w:cs="SimSun"/>
          <w:sz w:val="21"/>
          <w:szCs w:val="21"/>
          <w:b/>
          <w:bCs/>
          <w:spacing w:val="-2"/>
        </w:rPr>
        <w:t>应付债券及其他利息支出</w:t>
      </w:r>
    </w:p>
    <w:p>
      <w:pPr>
        <w:ind w:left="23" w:right="66" w:firstLine="417"/>
        <w:spacing w:before="308" w:line="265" w:lineRule="auto"/>
        <w:rPr>
          <w:rFonts w:ascii="SimSun" w:hAnsi="SimSun" w:eastAsia="SimSun" w:cs="SimSun"/>
          <w:sz w:val="21"/>
          <w:szCs w:val="21"/>
        </w:rPr>
      </w:pPr>
      <w:r>
        <w:rPr>
          <w:rFonts w:ascii="SimSun" w:hAnsi="SimSun" w:eastAsia="SimSun" w:cs="SimSun"/>
          <w:sz w:val="21"/>
          <w:szCs w:val="21"/>
          <w:spacing w:val="-3"/>
        </w:rPr>
        <w:t>报告期内, 应付债券及其他利息支出</w:t>
      </w:r>
      <w:r>
        <w:rPr>
          <w:rFonts w:ascii="SimSun" w:hAnsi="SimSun" w:eastAsia="SimSun" w:cs="SimSun"/>
          <w:sz w:val="21"/>
          <w:szCs w:val="21"/>
          <w:spacing w:val="-37"/>
        </w:rPr>
        <w:t xml:space="preserve"> </w:t>
      </w:r>
      <w:r>
        <w:rPr>
          <w:rFonts w:ascii="Times New Roman" w:hAnsi="Times New Roman" w:eastAsia="Times New Roman" w:cs="Times New Roman"/>
          <w:sz w:val="21"/>
          <w:szCs w:val="21"/>
          <w:spacing w:val="-3"/>
        </w:rPr>
        <w:t>400.32 </w:t>
      </w:r>
      <w:r>
        <w:rPr>
          <w:rFonts w:ascii="SimSun" w:hAnsi="SimSun" w:eastAsia="SimSun" w:cs="SimSun"/>
          <w:sz w:val="21"/>
          <w:szCs w:val="21"/>
          <w:spacing w:val="-3"/>
        </w:rPr>
        <w:t>亿元,</w:t>
      </w:r>
      <w:r>
        <w:rPr>
          <w:rFonts w:ascii="SimSun" w:hAnsi="SimSun" w:eastAsia="SimSun" w:cs="SimSun"/>
          <w:sz w:val="21"/>
          <w:szCs w:val="21"/>
          <w:spacing w:val="26"/>
        </w:rPr>
        <w:t xml:space="preserve"> </w:t>
      </w:r>
      <w:r>
        <w:rPr>
          <w:rFonts w:ascii="SimSun" w:hAnsi="SimSun" w:eastAsia="SimSun" w:cs="SimSun"/>
          <w:sz w:val="21"/>
          <w:szCs w:val="21"/>
          <w:spacing w:val="-3"/>
        </w:rPr>
        <w:t>同比增加</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3"/>
        </w:rPr>
        <w:t>36.42 </w:t>
      </w:r>
      <w:r>
        <w:rPr>
          <w:rFonts w:ascii="SimSun" w:hAnsi="SimSun" w:eastAsia="SimSun" w:cs="SimSun"/>
          <w:sz w:val="21"/>
          <w:szCs w:val="21"/>
          <w:spacing w:val="-3"/>
        </w:rPr>
        <w:t>亿元, 增幅</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3"/>
        </w:rPr>
        <w:t>10.01%</w:t>
      </w:r>
      <w:r>
        <w:rPr>
          <w:rFonts w:ascii="SimSun" w:hAnsi="SimSun" w:eastAsia="SimSun" w:cs="SimSun"/>
          <w:sz w:val="21"/>
          <w:szCs w:val="21"/>
          <w:spacing w:val="-3"/>
        </w:rPr>
        <w:t>, 主要由于应付</w:t>
      </w:r>
      <w:r>
        <w:rPr>
          <w:rFonts w:ascii="SimSun" w:hAnsi="SimSun" w:eastAsia="SimSun" w:cs="SimSun"/>
          <w:sz w:val="21"/>
          <w:szCs w:val="21"/>
        </w:rPr>
        <w:t xml:space="preserve"> </w:t>
      </w:r>
      <w:r>
        <w:rPr>
          <w:rFonts w:ascii="SimSun" w:hAnsi="SimSun" w:eastAsia="SimSun" w:cs="SimSun"/>
          <w:sz w:val="21"/>
          <w:szCs w:val="21"/>
          <w:spacing w:val="-3"/>
        </w:rPr>
        <w:t>债券及其他平均余额同比增加</w:t>
      </w:r>
      <w:r>
        <w:rPr>
          <w:rFonts w:ascii="SimSun" w:hAnsi="SimSun" w:eastAsia="SimSun" w:cs="SimSun"/>
          <w:sz w:val="21"/>
          <w:szCs w:val="21"/>
          <w:spacing w:val="-15"/>
        </w:rPr>
        <w:t xml:space="preserve"> </w:t>
      </w:r>
      <w:r>
        <w:rPr>
          <w:rFonts w:ascii="Times New Roman" w:hAnsi="Times New Roman" w:eastAsia="Times New Roman" w:cs="Times New Roman"/>
          <w:sz w:val="21"/>
          <w:szCs w:val="21"/>
          <w:spacing w:val="-3"/>
        </w:rPr>
        <w:t>1,451.56 </w:t>
      </w:r>
      <w:r>
        <w:rPr>
          <w:rFonts w:ascii="SimSun" w:hAnsi="SimSun" w:eastAsia="SimSun" w:cs="SimSun"/>
          <w:sz w:val="21"/>
          <w:szCs w:val="21"/>
          <w:spacing w:val="-3"/>
        </w:rPr>
        <w:t>亿元,</w:t>
      </w:r>
      <w:r>
        <w:rPr>
          <w:rFonts w:ascii="SimSun" w:hAnsi="SimSun" w:eastAsia="SimSun" w:cs="SimSun"/>
          <w:sz w:val="21"/>
          <w:szCs w:val="21"/>
          <w:spacing w:val="29"/>
        </w:rPr>
        <w:t xml:space="preserve"> </w:t>
      </w:r>
      <w:r>
        <w:rPr>
          <w:rFonts w:ascii="SimSun" w:hAnsi="SimSun" w:eastAsia="SimSun" w:cs="SimSun"/>
          <w:sz w:val="21"/>
          <w:szCs w:val="21"/>
          <w:spacing w:val="-3"/>
        </w:rPr>
        <w:t>增幅</w:t>
      </w:r>
      <w:r>
        <w:rPr>
          <w:rFonts w:ascii="SimSun" w:hAnsi="SimSun" w:eastAsia="SimSun" w:cs="SimSun"/>
          <w:sz w:val="21"/>
          <w:szCs w:val="21"/>
          <w:spacing w:val="-30"/>
        </w:rPr>
        <w:t xml:space="preserve"> </w:t>
      </w:r>
      <w:r>
        <w:rPr>
          <w:rFonts w:ascii="Times New Roman" w:hAnsi="Times New Roman" w:eastAsia="Times New Roman" w:cs="Times New Roman"/>
          <w:sz w:val="21"/>
          <w:szCs w:val="21"/>
          <w:spacing w:val="-3"/>
        </w:rPr>
        <w:t>11.42%</w:t>
      </w:r>
      <w:r>
        <w:rPr>
          <w:rFonts w:ascii="SimSun" w:hAnsi="SimSun" w:eastAsia="SimSun" w:cs="SimSun"/>
          <w:sz w:val="21"/>
          <w:szCs w:val="21"/>
          <w:spacing w:val="-3"/>
        </w:rPr>
        <w:t>。</w:t>
      </w:r>
    </w:p>
    <w:p>
      <w:pPr>
        <w:pStyle w:val="BodyText"/>
        <w:spacing w:line="247" w:lineRule="auto"/>
        <w:rPr/>
      </w:pPr>
      <w:r/>
    </w:p>
    <w:p>
      <w:pPr>
        <w:ind w:left="440"/>
        <w:spacing w:before="68"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3.</w:t>
      </w:r>
      <w:r>
        <w:rPr>
          <w:rFonts w:ascii="SimSun" w:hAnsi="SimSun" w:eastAsia="SimSun" w:cs="SimSun"/>
          <w:sz w:val="21"/>
          <w:szCs w:val="21"/>
          <w:b/>
          <w:bCs/>
          <w:spacing w:val="-2"/>
        </w:rPr>
        <w:t>手续费及佣金净收入</w:t>
      </w:r>
    </w:p>
    <w:p>
      <w:pPr>
        <w:pStyle w:val="BodyText"/>
        <w:rPr/>
      </w:pPr>
      <w:r/>
    </w:p>
    <w:p>
      <w:pPr>
        <w:ind w:left="22" w:firstLine="418"/>
        <w:spacing w:before="68" w:line="297" w:lineRule="auto"/>
        <w:rPr>
          <w:rFonts w:ascii="SimSun" w:hAnsi="SimSun" w:eastAsia="SimSun" w:cs="SimSun"/>
          <w:sz w:val="21"/>
          <w:szCs w:val="21"/>
        </w:rPr>
      </w:pPr>
      <w:r>
        <w:rPr>
          <w:rFonts w:ascii="SimSun" w:hAnsi="SimSun" w:eastAsia="SimSun" w:cs="SimSun"/>
          <w:sz w:val="21"/>
          <w:szCs w:val="21"/>
          <w:spacing w:val="8"/>
        </w:rPr>
        <w:t>报告期内,本集团发挥牌照齐全优势,以打造财富管理品牌特色为切入点,聚焦财富管理、银行卡、</w:t>
      </w:r>
      <w:r>
        <w:rPr>
          <w:rFonts w:ascii="SimSun" w:hAnsi="SimSun" w:eastAsia="SimSun" w:cs="SimSun"/>
          <w:sz w:val="21"/>
          <w:szCs w:val="21"/>
          <w:spacing w:val="4"/>
        </w:rPr>
        <w:t xml:space="preserve"> </w:t>
      </w:r>
      <w:r>
        <w:rPr>
          <w:rFonts w:ascii="SimSun" w:hAnsi="SimSun" w:eastAsia="SimSun" w:cs="SimSun"/>
          <w:sz w:val="21"/>
          <w:szCs w:val="21"/>
          <w:spacing w:val="6"/>
        </w:rPr>
        <w:t>托管等重点业务,努力打造利润持续增长的"第二曲线"。但受资本市场持续震荡、理财产品净值化转型</w:t>
      </w:r>
      <w:r>
        <w:rPr>
          <w:rFonts w:ascii="SimSun" w:hAnsi="SimSun" w:eastAsia="SimSun" w:cs="SimSun"/>
          <w:sz w:val="21"/>
          <w:szCs w:val="21"/>
          <w:spacing w:val="11"/>
        </w:rPr>
        <w:t xml:space="preserve"> </w:t>
      </w:r>
      <w:r>
        <w:rPr>
          <w:rFonts w:ascii="SimSun" w:hAnsi="SimSun" w:eastAsia="SimSun" w:cs="SimSun"/>
          <w:sz w:val="21"/>
          <w:szCs w:val="21"/>
          <w:spacing w:val="-2"/>
        </w:rPr>
        <w:t>以及减费让利等各因素影响, 集团全年实现手续费及佣金净收</w:t>
      </w:r>
      <w:r>
        <w:rPr>
          <w:rFonts w:ascii="SimSun" w:hAnsi="SimSun" w:eastAsia="SimSun" w:cs="SimSun"/>
          <w:sz w:val="21"/>
          <w:szCs w:val="21"/>
          <w:spacing w:val="-3"/>
        </w:rPr>
        <w:t>入</w:t>
      </w:r>
      <w:r>
        <w:rPr>
          <w:rFonts w:ascii="SimSun" w:hAnsi="SimSun" w:eastAsia="SimSun" w:cs="SimSun"/>
          <w:sz w:val="21"/>
          <w:szCs w:val="21"/>
          <w:spacing w:val="-49"/>
        </w:rPr>
        <w:t xml:space="preserve"> </w:t>
      </w:r>
      <w:r>
        <w:rPr>
          <w:rFonts w:ascii="Times New Roman" w:hAnsi="Times New Roman" w:eastAsia="Times New Roman" w:cs="Times New Roman"/>
          <w:sz w:val="21"/>
          <w:szCs w:val="21"/>
          <w:spacing w:val="-3"/>
        </w:rPr>
        <w:t>446.39 </w:t>
      </w:r>
      <w:r>
        <w:rPr>
          <w:rFonts w:ascii="SimSun" w:hAnsi="SimSun" w:eastAsia="SimSun" w:cs="SimSun"/>
          <w:sz w:val="21"/>
          <w:szCs w:val="21"/>
          <w:spacing w:val="-3"/>
        </w:rPr>
        <w:t>亿元,</w:t>
      </w:r>
      <w:r>
        <w:rPr>
          <w:rFonts w:ascii="SimSun" w:hAnsi="SimSun" w:eastAsia="SimSun" w:cs="SimSun"/>
          <w:sz w:val="21"/>
          <w:szCs w:val="21"/>
          <w:spacing w:val="45"/>
        </w:rPr>
        <w:t xml:space="preserve"> </w:t>
      </w:r>
      <w:r>
        <w:rPr>
          <w:rFonts w:ascii="SimSun" w:hAnsi="SimSun" w:eastAsia="SimSun" w:cs="SimSun"/>
          <w:sz w:val="21"/>
          <w:szCs w:val="21"/>
          <w:spacing w:val="-3"/>
        </w:rPr>
        <w:t>同比减少</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3"/>
        </w:rPr>
        <w:t>29.34 </w:t>
      </w:r>
      <w:r>
        <w:rPr>
          <w:rFonts w:ascii="SimSun" w:hAnsi="SimSun" w:eastAsia="SimSun" w:cs="SimSun"/>
          <w:sz w:val="21"/>
          <w:szCs w:val="21"/>
          <w:spacing w:val="-3"/>
        </w:rPr>
        <w:t>亿元,</w:t>
      </w:r>
      <w:r>
        <w:rPr>
          <w:rFonts w:ascii="SimSun" w:hAnsi="SimSun" w:eastAsia="SimSun" w:cs="SimSun"/>
          <w:sz w:val="21"/>
          <w:szCs w:val="21"/>
          <w:spacing w:val="38"/>
        </w:rPr>
        <w:t xml:space="preserve"> </w:t>
      </w:r>
      <w:r>
        <w:rPr>
          <w:rFonts w:ascii="SimSun" w:hAnsi="SimSun" w:eastAsia="SimSun" w:cs="SimSun"/>
          <w:sz w:val="21"/>
          <w:szCs w:val="21"/>
          <w:spacing w:val="-3"/>
        </w:rPr>
        <w:t>降幅 </w:t>
      </w:r>
      <w:r>
        <w:rPr>
          <w:rFonts w:ascii="Times New Roman" w:hAnsi="Times New Roman" w:eastAsia="Times New Roman" w:cs="Times New Roman"/>
          <w:sz w:val="21"/>
          <w:szCs w:val="21"/>
          <w:spacing w:val="-4"/>
        </w:rPr>
        <w:t>6.17%</w:t>
      </w:r>
      <w:r>
        <w:rPr>
          <w:rFonts w:ascii="SimSun" w:hAnsi="SimSun" w:eastAsia="SimSun" w:cs="SimSun"/>
          <w:sz w:val="21"/>
          <w:szCs w:val="21"/>
          <w:spacing w:val="-4"/>
        </w:rPr>
        <w:t>。其中理财业务同比减少</w:t>
      </w:r>
      <w:r>
        <w:rPr>
          <w:rFonts w:ascii="SimSun" w:hAnsi="SimSun" w:eastAsia="SimSun" w:cs="SimSun"/>
          <w:sz w:val="21"/>
          <w:szCs w:val="21"/>
          <w:spacing w:val="-32"/>
        </w:rPr>
        <w:t xml:space="preserve"> </w:t>
      </w:r>
      <w:r>
        <w:rPr>
          <w:rFonts w:ascii="Times New Roman" w:hAnsi="Times New Roman" w:eastAsia="Times New Roman" w:cs="Times New Roman"/>
          <w:sz w:val="21"/>
          <w:szCs w:val="21"/>
          <w:spacing w:val="-4"/>
        </w:rPr>
        <w:t>16.21 </w:t>
      </w:r>
      <w:r>
        <w:rPr>
          <w:rFonts w:ascii="SimSun" w:hAnsi="SimSun" w:eastAsia="SimSun" w:cs="SimSun"/>
          <w:sz w:val="21"/>
          <w:szCs w:val="21"/>
          <w:spacing w:val="-4"/>
        </w:rPr>
        <w:t>亿元,降幅</w:t>
      </w:r>
      <w:r>
        <w:rPr>
          <w:rFonts w:ascii="SimSun" w:hAnsi="SimSun" w:eastAsia="SimSun" w:cs="SimSun"/>
          <w:sz w:val="21"/>
          <w:szCs w:val="21"/>
          <w:spacing w:val="-40"/>
        </w:rPr>
        <w:t xml:space="preserve"> </w:t>
      </w:r>
      <w:r>
        <w:rPr>
          <w:rFonts w:ascii="Times New Roman" w:hAnsi="Times New Roman" w:eastAsia="Times New Roman" w:cs="Times New Roman"/>
          <w:sz w:val="21"/>
          <w:szCs w:val="21"/>
          <w:spacing w:val="-4"/>
        </w:rPr>
        <w:t>13.77%</w:t>
      </w:r>
      <w:r>
        <w:rPr>
          <w:rFonts w:ascii="SimSun" w:hAnsi="SimSun" w:eastAsia="SimSun" w:cs="SimSun"/>
          <w:sz w:val="21"/>
          <w:szCs w:val="21"/>
          <w:spacing w:val="-4"/>
        </w:rPr>
        <w:t>;代理类业务收入同比减少</w:t>
      </w:r>
      <w:r>
        <w:rPr>
          <w:rFonts w:ascii="SimSun" w:hAnsi="SimSun" w:eastAsia="SimSun" w:cs="SimSun"/>
          <w:sz w:val="21"/>
          <w:szCs w:val="21"/>
          <w:spacing w:val="-55"/>
        </w:rPr>
        <w:t xml:space="preserve"> </w:t>
      </w:r>
      <w:r>
        <w:rPr>
          <w:rFonts w:ascii="Times New Roman" w:hAnsi="Times New Roman" w:eastAsia="Times New Roman" w:cs="Times New Roman"/>
          <w:sz w:val="21"/>
          <w:szCs w:val="21"/>
          <w:spacing w:val="-4"/>
        </w:rPr>
        <w:t>6.84 </w:t>
      </w:r>
      <w:r>
        <w:rPr>
          <w:rFonts w:ascii="SimSun" w:hAnsi="SimSun" w:eastAsia="SimSun" w:cs="SimSun"/>
          <w:sz w:val="21"/>
          <w:szCs w:val="21"/>
          <w:spacing w:val="-4"/>
        </w:rPr>
        <w:t>亿元,降幅</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4"/>
        </w:rPr>
        <w:t>12.08%</w:t>
      </w:r>
      <w:r>
        <w:rPr>
          <w:rFonts w:ascii="SimSun" w:hAnsi="SimSun" w:eastAsia="SimSun" w:cs="SimSun"/>
          <w:sz w:val="21"/>
          <w:szCs w:val="21"/>
          <w:spacing w:val="-4"/>
        </w:rPr>
        <w:t>;</w:t>
      </w:r>
      <w:r>
        <w:rPr>
          <w:rFonts w:ascii="SimSun" w:hAnsi="SimSun" w:eastAsia="SimSun" w:cs="SimSun"/>
          <w:sz w:val="21"/>
          <w:szCs w:val="21"/>
        </w:rPr>
        <w:t xml:space="preserve">   </w:t>
      </w:r>
      <w:r>
        <w:rPr>
          <w:rFonts w:ascii="SimSun" w:hAnsi="SimSun" w:eastAsia="SimSun" w:cs="SimSun"/>
          <w:sz w:val="21"/>
          <w:szCs w:val="21"/>
          <w:spacing w:val="3"/>
        </w:rPr>
        <w:t>银行卡业务收入同比减少</w:t>
      </w:r>
      <w:r>
        <w:rPr>
          <w:rFonts w:ascii="SimSun" w:hAnsi="SimSun" w:eastAsia="SimSun" w:cs="SimSun"/>
          <w:sz w:val="21"/>
          <w:szCs w:val="21"/>
          <w:spacing w:val="-40"/>
        </w:rPr>
        <w:t xml:space="preserve"> </w:t>
      </w:r>
      <w:r>
        <w:rPr>
          <w:rFonts w:ascii="Times New Roman" w:hAnsi="Times New Roman" w:eastAsia="Times New Roman" w:cs="Times New Roman"/>
          <w:sz w:val="21"/>
          <w:szCs w:val="21"/>
          <w:spacing w:val="3"/>
        </w:rPr>
        <w:t>9.95 </w:t>
      </w:r>
      <w:r>
        <w:rPr>
          <w:rFonts w:ascii="SimSun" w:hAnsi="SimSun" w:eastAsia="SimSun" w:cs="SimSun"/>
          <w:sz w:val="21"/>
          <w:szCs w:val="21"/>
          <w:spacing w:val="3"/>
        </w:rPr>
        <w:t>亿元,降幅</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4.94%</w:t>
      </w:r>
      <w:r>
        <w:rPr>
          <w:rFonts w:ascii="SimSun" w:hAnsi="SimSun" w:eastAsia="SimSun" w:cs="SimSun"/>
          <w:sz w:val="21"/>
          <w:szCs w:val="21"/>
          <w:spacing w:val="3"/>
        </w:rPr>
        <w:t>。</w:t>
      </w:r>
    </w:p>
    <w:p>
      <w:pPr>
        <w:pStyle w:val="BodyText"/>
        <w:rPr/>
      </w:pPr>
      <w:r/>
    </w:p>
    <w:p>
      <w:pPr>
        <w:ind w:left="443"/>
        <w:spacing w:before="69" w:line="221" w:lineRule="auto"/>
        <w:rPr>
          <w:rFonts w:ascii="SimSun" w:hAnsi="SimSun" w:eastAsia="SimSun" w:cs="SimSun"/>
          <w:sz w:val="21"/>
          <w:szCs w:val="21"/>
        </w:rPr>
      </w:pPr>
      <w:r>
        <w:rPr>
          <w:rFonts w:ascii="SimSun" w:hAnsi="SimSun" w:eastAsia="SimSun" w:cs="SimSun"/>
          <w:sz w:val="21"/>
          <w:szCs w:val="21"/>
        </w:rPr>
        <w:t>本集团在所示期间的手续费及佣金净收入的组成结</w:t>
      </w:r>
      <w:r>
        <w:rPr>
          <w:rFonts w:ascii="SimSun" w:hAnsi="SimSun" w:eastAsia="SimSun" w:cs="SimSun"/>
          <w:sz w:val="21"/>
          <w:szCs w:val="21"/>
          <w:spacing w:val="-1"/>
        </w:rPr>
        <w:t>构如下:</w:t>
      </w:r>
    </w:p>
    <w:p>
      <w:pPr>
        <w:pStyle w:val="BodyText"/>
        <w:spacing w:line="248" w:lineRule="auto"/>
        <w:rPr/>
      </w:pPr>
      <w:r/>
    </w:p>
    <w:p>
      <w:pPr>
        <w:ind w:left="7201"/>
        <w:spacing w:before="59" w:line="250"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position w:val="2"/>
        </w:rPr>
        <w:t>(</w:t>
      </w:r>
      <w:r>
        <w:rPr>
          <w:rFonts w:ascii="SimSun" w:hAnsi="SimSun" w:eastAsia="SimSun" w:cs="SimSun"/>
          <w:sz w:val="18"/>
          <w:szCs w:val="18"/>
          <w:spacing w:val="5"/>
          <w:position w:val="2"/>
        </w:rPr>
        <w:t>除另有标明外,人民币百万元</w:t>
      </w:r>
      <w:r>
        <w:rPr>
          <w:rFonts w:ascii="Times New Roman" w:hAnsi="Times New Roman" w:eastAsia="Times New Roman" w:cs="Times New Roman"/>
          <w:sz w:val="18"/>
          <w:szCs w:val="18"/>
          <w:spacing w:val="5"/>
          <w:position w:val="2"/>
        </w:rPr>
        <w:t>)</w:t>
      </w:r>
    </w:p>
    <w:p>
      <w:pPr>
        <w:spacing w:line="39" w:lineRule="auto"/>
        <w:rPr>
          <w:rFonts w:ascii="Arial"/>
          <w:sz w:val="2"/>
        </w:rPr>
      </w:pPr>
      <w:r>
        <w:rPr>
          <w:rFonts w:ascii="Arial"/>
          <w:sz w:val="2"/>
        </w:rPr>
      </w:r>
    </w:p>
    <w:tbl>
      <w:tblPr>
        <w:tblStyle w:val="TableNormal"/>
        <w:tblW w:w="9654"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226"/>
        <w:gridCol w:w="2144"/>
        <w:gridCol w:w="2843"/>
        <w:gridCol w:w="1441"/>
      </w:tblGrid>
      <w:tr>
        <w:trPr>
          <w:trHeight w:val="382" w:hRule="atLeast"/>
        </w:trPr>
        <w:tc>
          <w:tcPr>
            <w:tcW w:w="3226" w:type="dxa"/>
            <w:vAlign w:val="top"/>
            <w:tcBorders>
              <w:bottom w:val="single" w:color="000000" w:sz="2" w:space="0"/>
              <w:top w:val="single" w:color="000000" w:sz="2" w:space="0"/>
            </w:tcBorders>
          </w:tcPr>
          <w:p>
            <w:pPr>
              <w:rPr>
                <w:rFonts w:ascii="Arial"/>
                <w:sz w:val="21"/>
              </w:rPr>
            </w:pPr>
            <w:r/>
          </w:p>
        </w:tc>
        <w:tc>
          <w:tcPr>
            <w:shd w:val="clear" w:fill="DBE5F1"/>
            <w:tcW w:w="2144" w:type="dxa"/>
            <w:vAlign w:val="top"/>
            <w:tcBorders>
              <w:bottom w:val="single" w:color="000000" w:sz="2" w:space="0"/>
              <w:top w:val="single" w:color="000000" w:sz="2" w:space="0"/>
            </w:tcBorders>
          </w:tcPr>
          <w:p>
            <w:pPr>
              <w:pStyle w:val="TableText"/>
              <w:ind w:left="1548"/>
              <w:spacing w:before="116" w:line="220" w:lineRule="auto"/>
              <w:rPr>
                <w:sz w:val="18"/>
                <w:szCs w:val="18"/>
              </w:rPr>
            </w:pPr>
            <w:r>
              <w:rPr>
                <w:rFonts w:ascii="Times New Roman" w:hAnsi="Times New Roman" w:eastAsia="Times New Roman" w:cs="Times New Roman"/>
                <w:sz w:val="18"/>
                <w:szCs w:val="18"/>
                <w:b/>
                <w:bCs/>
                <w:spacing w:val="-2"/>
              </w:rPr>
              <w:t>2022</w:t>
            </w:r>
            <w:r>
              <w:rPr>
                <w:sz w:val="18"/>
                <w:szCs w:val="18"/>
                <w:b/>
                <w:bCs/>
                <w:spacing w:val="-2"/>
              </w:rPr>
              <w:t>年</w:t>
            </w:r>
          </w:p>
        </w:tc>
        <w:tc>
          <w:tcPr>
            <w:tcW w:w="2843" w:type="dxa"/>
            <w:vAlign w:val="top"/>
            <w:tcBorders>
              <w:bottom w:val="single" w:color="000000" w:sz="2" w:space="0"/>
              <w:top w:val="single" w:color="000000" w:sz="2" w:space="0"/>
            </w:tcBorders>
          </w:tcPr>
          <w:p>
            <w:pPr>
              <w:pStyle w:val="TableText"/>
              <w:ind w:left="1549"/>
              <w:spacing w:before="116" w:line="220" w:lineRule="auto"/>
              <w:rPr>
                <w:sz w:val="18"/>
                <w:szCs w:val="18"/>
              </w:rPr>
            </w:pPr>
            <w:r>
              <w:rPr>
                <w:rFonts w:ascii="Times New Roman" w:hAnsi="Times New Roman" w:eastAsia="Times New Roman" w:cs="Times New Roman"/>
                <w:sz w:val="18"/>
                <w:szCs w:val="18"/>
                <w:spacing w:val="-1"/>
              </w:rPr>
              <w:t>2021</w:t>
            </w:r>
            <w:r>
              <w:rPr>
                <w:sz w:val="18"/>
                <w:szCs w:val="18"/>
                <w:spacing w:val="-1"/>
              </w:rPr>
              <w:t>年</w:t>
            </w:r>
          </w:p>
        </w:tc>
        <w:tc>
          <w:tcPr>
            <w:tcW w:w="1441" w:type="dxa"/>
            <w:vAlign w:val="top"/>
            <w:tcBorders>
              <w:bottom w:val="single" w:color="000000" w:sz="2" w:space="0"/>
              <w:top w:val="single" w:color="000000" w:sz="2" w:space="0"/>
            </w:tcBorders>
          </w:tcPr>
          <w:p>
            <w:pPr>
              <w:pStyle w:val="TableText"/>
              <w:ind w:left="763"/>
              <w:spacing w:before="89" w:line="251" w:lineRule="exact"/>
              <w:rPr>
                <w:rFonts w:ascii="Times New Roman" w:hAnsi="Times New Roman" w:eastAsia="Times New Roman" w:cs="Times New Roman"/>
                <w:sz w:val="18"/>
                <w:szCs w:val="18"/>
              </w:rPr>
            </w:pPr>
            <w:r>
              <w:rPr>
                <w:sz w:val="18"/>
                <w:szCs w:val="18"/>
                <w:spacing w:val="-2"/>
                <w:position w:val="2"/>
              </w:rPr>
              <w:t>增减</w:t>
            </w:r>
            <w:r>
              <w:rPr>
                <w:rFonts w:ascii="Times New Roman" w:hAnsi="Times New Roman" w:eastAsia="Times New Roman" w:cs="Times New Roman"/>
                <w:sz w:val="18"/>
                <w:szCs w:val="18"/>
                <w:spacing w:val="-2"/>
                <w:position w:val="2"/>
              </w:rPr>
              <w:t>(%)</w:t>
            </w:r>
          </w:p>
        </w:tc>
      </w:tr>
      <w:tr>
        <w:trPr>
          <w:trHeight w:val="378" w:hRule="atLeast"/>
        </w:trPr>
        <w:tc>
          <w:tcPr>
            <w:tcW w:w="3226" w:type="dxa"/>
            <w:vAlign w:val="top"/>
            <w:tcBorders>
              <w:bottom w:val="single" w:color="000000" w:sz="2" w:space="0"/>
              <w:top w:val="single" w:color="000000" w:sz="2" w:space="0"/>
            </w:tcBorders>
          </w:tcPr>
          <w:p>
            <w:pPr>
              <w:pStyle w:val="TableText"/>
              <w:ind w:left="79"/>
              <w:spacing w:before="113" w:line="221" w:lineRule="auto"/>
              <w:rPr>
                <w:sz w:val="18"/>
                <w:szCs w:val="18"/>
              </w:rPr>
            </w:pPr>
            <w:r>
              <w:rPr>
                <w:sz w:val="18"/>
                <w:szCs w:val="18"/>
                <w:spacing w:val="-2"/>
              </w:rPr>
              <w:t>银行卡</w:t>
            </w:r>
          </w:p>
        </w:tc>
        <w:tc>
          <w:tcPr>
            <w:shd w:val="clear" w:fill="DBE5F1"/>
            <w:tcW w:w="2144" w:type="dxa"/>
            <w:vAlign w:val="top"/>
            <w:tcBorders>
              <w:bottom w:val="single" w:color="000000" w:sz="2" w:space="0"/>
              <w:top w:val="single" w:color="000000" w:sz="2" w:space="0"/>
            </w:tcBorders>
          </w:tcPr>
          <w:p>
            <w:pPr>
              <w:ind w:left="1601"/>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19,141</w:t>
            </w:r>
          </w:p>
        </w:tc>
        <w:tc>
          <w:tcPr>
            <w:tcW w:w="2843" w:type="dxa"/>
            <w:vAlign w:val="top"/>
            <w:tcBorders>
              <w:bottom w:val="single" w:color="000000" w:sz="2" w:space="0"/>
              <w:top w:val="single" w:color="000000" w:sz="2" w:space="0"/>
            </w:tcBorders>
          </w:tcPr>
          <w:p>
            <w:pPr>
              <w:ind w:left="1595"/>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20,136</w:t>
            </w:r>
          </w:p>
        </w:tc>
        <w:tc>
          <w:tcPr>
            <w:tcW w:w="1441" w:type="dxa"/>
            <w:vAlign w:val="top"/>
            <w:tcBorders>
              <w:bottom w:val="single" w:color="000000" w:sz="2" w:space="0"/>
              <w:top w:val="single" w:color="000000" w:sz="2" w:space="0"/>
            </w:tcBorders>
          </w:tcPr>
          <w:p>
            <w:pPr>
              <w:ind w:left="954"/>
              <w:spacing w:before="143"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(4.94)</w:t>
            </w:r>
          </w:p>
        </w:tc>
      </w:tr>
      <w:tr>
        <w:trPr>
          <w:trHeight w:val="384" w:hRule="atLeast"/>
        </w:trPr>
        <w:tc>
          <w:tcPr>
            <w:tcW w:w="3226" w:type="dxa"/>
            <w:vAlign w:val="top"/>
            <w:tcBorders>
              <w:bottom w:val="single" w:color="000000" w:sz="2" w:space="0"/>
              <w:top w:val="single" w:color="000000" w:sz="2" w:space="0"/>
            </w:tcBorders>
          </w:tcPr>
          <w:p>
            <w:pPr>
              <w:pStyle w:val="TableText"/>
              <w:ind w:left="81"/>
              <w:spacing w:before="115" w:line="220" w:lineRule="auto"/>
              <w:rPr>
                <w:sz w:val="18"/>
                <w:szCs w:val="18"/>
              </w:rPr>
            </w:pPr>
            <w:r>
              <w:rPr>
                <w:sz w:val="18"/>
                <w:szCs w:val="18"/>
                <w:spacing w:val="-2"/>
              </w:rPr>
              <w:t>理财业务</w:t>
            </w:r>
          </w:p>
        </w:tc>
        <w:tc>
          <w:tcPr>
            <w:shd w:val="clear" w:fill="DBE5F1"/>
            <w:tcW w:w="2144" w:type="dxa"/>
            <w:vAlign w:val="top"/>
            <w:tcBorders>
              <w:bottom w:val="single" w:color="000000" w:sz="2" w:space="0"/>
              <w:top w:val="single" w:color="000000" w:sz="2" w:space="0"/>
            </w:tcBorders>
          </w:tcPr>
          <w:p>
            <w:pPr>
              <w:ind w:left="1601"/>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10,154</w:t>
            </w:r>
          </w:p>
        </w:tc>
        <w:tc>
          <w:tcPr>
            <w:tcW w:w="2843" w:type="dxa"/>
            <w:vAlign w:val="top"/>
            <w:tcBorders>
              <w:bottom w:val="single" w:color="000000" w:sz="2" w:space="0"/>
              <w:top w:val="single" w:color="000000" w:sz="2" w:space="0"/>
            </w:tcBorders>
          </w:tcPr>
          <w:p>
            <w:pPr>
              <w:ind w:left="1619"/>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11,775</w:t>
            </w:r>
          </w:p>
        </w:tc>
        <w:tc>
          <w:tcPr>
            <w:tcW w:w="1441" w:type="dxa"/>
            <w:vAlign w:val="top"/>
            <w:tcBorders>
              <w:bottom w:val="single" w:color="000000" w:sz="2" w:space="0"/>
              <w:top w:val="single" w:color="000000" w:sz="2" w:space="0"/>
            </w:tcBorders>
          </w:tcPr>
          <w:p>
            <w:pPr>
              <w:ind w:left="865"/>
              <w:spacing w:before="144"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(13.77)</w:t>
            </w:r>
          </w:p>
        </w:tc>
      </w:tr>
    </w:tbl>
    <w:p>
      <w:pPr>
        <w:pStyle w:val="BodyText"/>
        <w:spacing w:line="71" w:lineRule="exact"/>
        <w:rPr>
          <w:sz w:val="6"/>
        </w:rPr>
      </w:pPr>
      <w:r/>
    </w:p>
    <w:p>
      <w:pPr>
        <w:spacing w:line="71" w:lineRule="exact"/>
        <w:sectPr>
          <w:footerReference w:type="default" r:id="rId25"/>
          <w:pgSz w:w="11907" w:h="16839"/>
          <w:pgMar w:top="1196" w:right="1064" w:bottom="1375" w:left="1118" w:header="0" w:footer="1211" w:gutter="0"/>
        </w:sectPr>
        <w:rPr>
          <w:sz w:val="6"/>
          <w:szCs w:val="6"/>
        </w:rPr>
      </w:pPr>
    </w:p>
    <w:tbl>
      <w:tblPr>
        <w:tblStyle w:val="TableNormal"/>
        <w:tblW w:w="9654"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226"/>
        <w:gridCol w:w="2144"/>
        <w:gridCol w:w="2894"/>
        <w:gridCol w:w="1390"/>
      </w:tblGrid>
      <w:tr>
        <w:trPr>
          <w:trHeight w:val="386" w:hRule="atLeast"/>
        </w:trPr>
        <w:tc>
          <w:tcPr>
            <w:tcW w:w="3226" w:type="dxa"/>
            <w:vAlign w:val="top"/>
            <w:tcBorders>
              <w:bottom w:val="single" w:color="000000" w:sz="2" w:space="0"/>
              <w:top w:val="single" w:color="000000" w:sz="2" w:space="0"/>
            </w:tcBorders>
          </w:tcPr>
          <w:p>
            <w:pPr>
              <w:pStyle w:val="TableText"/>
              <w:ind w:left="79"/>
              <w:spacing w:before="116" w:line="220" w:lineRule="auto"/>
              <w:rPr>
                <w:sz w:val="18"/>
                <w:szCs w:val="18"/>
              </w:rPr>
            </w:pPr>
            <w:r>
              <w:rPr>
                <w:sz w:val="18"/>
                <w:szCs w:val="18"/>
                <w:spacing w:val="-1"/>
              </w:rPr>
              <w:t>托管及其他受托业务</w:t>
            </w:r>
          </w:p>
        </w:tc>
        <w:tc>
          <w:tcPr>
            <w:shd w:val="clear" w:fill="DBE5F1"/>
            <w:tcW w:w="2144" w:type="dxa"/>
            <w:vAlign w:val="top"/>
            <w:tcBorders>
              <w:bottom w:val="single" w:color="000000" w:sz="2" w:space="0"/>
              <w:top w:val="single" w:color="000000" w:sz="2" w:space="0"/>
            </w:tcBorders>
          </w:tcPr>
          <w:p>
            <w:pPr>
              <w:ind w:left="1684"/>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7,496</w:t>
            </w:r>
          </w:p>
        </w:tc>
        <w:tc>
          <w:tcPr>
            <w:tcW w:w="2894" w:type="dxa"/>
            <w:vAlign w:val="top"/>
            <w:tcBorders>
              <w:bottom w:val="single" w:color="000000" w:sz="2" w:space="0"/>
              <w:top w:val="single" w:color="000000" w:sz="2" w:space="0"/>
            </w:tcBorders>
          </w:tcPr>
          <w:p>
            <w:pPr>
              <w:ind w:left="1686"/>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7,484</w:t>
            </w:r>
          </w:p>
        </w:tc>
        <w:tc>
          <w:tcPr>
            <w:tcW w:w="1390" w:type="dxa"/>
            <w:vAlign w:val="top"/>
            <w:tcBorders>
              <w:bottom w:val="single" w:color="000000" w:sz="2" w:space="0"/>
              <w:top w:val="single" w:color="000000" w:sz="2" w:space="0"/>
            </w:tcBorders>
          </w:tcPr>
          <w:p>
            <w:pPr>
              <w:ind w:left="1022"/>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0.16</w:t>
            </w:r>
          </w:p>
        </w:tc>
      </w:tr>
      <w:tr>
        <w:trPr>
          <w:trHeight w:val="379" w:hRule="atLeast"/>
        </w:trPr>
        <w:tc>
          <w:tcPr>
            <w:tcW w:w="3226" w:type="dxa"/>
            <w:vAlign w:val="top"/>
            <w:tcBorders>
              <w:bottom w:val="single" w:color="000000" w:sz="2" w:space="0"/>
              <w:top w:val="single" w:color="000000" w:sz="2" w:space="0"/>
            </w:tcBorders>
          </w:tcPr>
          <w:p>
            <w:pPr>
              <w:pStyle w:val="TableText"/>
              <w:ind w:left="78"/>
              <w:spacing w:before="110" w:line="220" w:lineRule="auto"/>
              <w:rPr>
                <w:sz w:val="18"/>
                <w:szCs w:val="18"/>
              </w:rPr>
            </w:pPr>
            <w:r>
              <w:rPr>
                <w:sz w:val="18"/>
                <w:szCs w:val="18"/>
                <w:spacing w:val="-2"/>
              </w:rPr>
              <w:t>代理类</w:t>
            </w:r>
          </w:p>
        </w:tc>
        <w:tc>
          <w:tcPr>
            <w:shd w:val="clear" w:fill="DBE5F1"/>
            <w:tcW w:w="2144" w:type="dxa"/>
            <w:vAlign w:val="top"/>
            <w:tcBorders>
              <w:bottom w:val="single" w:color="000000" w:sz="2" w:space="0"/>
              <w:top w:val="single" w:color="000000" w:sz="2" w:space="0"/>
            </w:tcBorders>
          </w:tcPr>
          <w:p>
            <w:pPr>
              <w:ind w:left="1682"/>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4,980</w:t>
            </w:r>
          </w:p>
        </w:tc>
        <w:tc>
          <w:tcPr>
            <w:tcW w:w="2894" w:type="dxa"/>
            <w:vAlign w:val="top"/>
            <w:tcBorders>
              <w:bottom w:val="single" w:color="000000" w:sz="2" w:space="0"/>
              <w:top w:val="single" w:color="000000" w:sz="2" w:space="0"/>
            </w:tcBorders>
          </w:tcPr>
          <w:p>
            <w:pPr>
              <w:ind w:left="1688"/>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5,664</w:t>
            </w:r>
          </w:p>
        </w:tc>
        <w:tc>
          <w:tcPr>
            <w:tcW w:w="1390" w:type="dxa"/>
            <w:vAlign w:val="top"/>
            <w:tcBorders>
              <w:bottom w:val="single" w:color="000000" w:sz="2" w:space="0"/>
              <w:top w:val="single" w:color="000000" w:sz="2" w:space="0"/>
            </w:tcBorders>
          </w:tcPr>
          <w:p>
            <w:pPr>
              <w:ind w:left="814"/>
              <w:spacing w:before="139"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(12.08)</w:t>
            </w:r>
          </w:p>
        </w:tc>
      </w:tr>
      <w:tr>
        <w:trPr>
          <w:trHeight w:val="378" w:hRule="atLeast"/>
        </w:trPr>
        <w:tc>
          <w:tcPr>
            <w:tcW w:w="3226" w:type="dxa"/>
            <w:vAlign w:val="top"/>
            <w:tcBorders>
              <w:bottom w:val="single" w:color="000000" w:sz="2" w:space="0"/>
              <w:top w:val="single" w:color="000000" w:sz="2" w:space="0"/>
            </w:tcBorders>
          </w:tcPr>
          <w:p>
            <w:pPr>
              <w:pStyle w:val="TableText"/>
              <w:ind w:left="81"/>
              <w:spacing w:before="109" w:line="221" w:lineRule="auto"/>
              <w:rPr>
                <w:sz w:val="18"/>
                <w:szCs w:val="18"/>
              </w:rPr>
            </w:pPr>
            <w:r>
              <w:rPr>
                <w:sz w:val="18"/>
                <w:szCs w:val="18"/>
                <w:spacing w:val="-2"/>
              </w:rPr>
              <w:t>投资银行</w:t>
            </w:r>
          </w:p>
        </w:tc>
        <w:tc>
          <w:tcPr>
            <w:shd w:val="clear" w:fill="DBE5F1"/>
            <w:tcW w:w="2144" w:type="dxa"/>
            <w:vAlign w:val="top"/>
            <w:tcBorders>
              <w:bottom w:val="single" w:color="000000" w:sz="2" w:space="0"/>
              <w:top w:val="single" w:color="000000" w:sz="2" w:space="0"/>
            </w:tcBorders>
          </w:tcPr>
          <w:p>
            <w:pPr>
              <w:ind w:left="1681"/>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3,093</w:t>
            </w:r>
          </w:p>
        </w:tc>
        <w:tc>
          <w:tcPr>
            <w:tcW w:w="2894" w:type="dxa"/>
            <w:vAlign w:val="top"/>
            <w:tcBorders>
              <w:bottom w:val="single" w:color="000000" w:sz="2" w:space="0"/>
              <w:top w:val="single" w:color="000000" w:sz="2" w:space="0"/>
            </w:tcBorders>
          </w:tcPr>
          <w:p>
            <w:pPr>
              <w:ind w:left="1687"/>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3,120</w:t>
            </w:r>
          </w:p>
        </w:tc>
        <w:tc>
          <w:tcPr>
            <w:tcW w:w="1390" w:type="dxa"/>
            <w:vAlign w:val="top"/>
            <w:tcBorders>
              <w:bottom w:val="single" w:color="000000" w:sz="2" w:space="0"/>
              <w:top w:val="single" w:color="000000" w:sz="2" w:space="0"/>
            </w:tcBorders>
          </w:tcPr>
          <w:p>
            <w:pPr>
              <w:ind w:left="903"/>
              <w:spacing w:before="139"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(0.87)</w:t>
            </w:r>
          </w:p>
        </w:tc>
      </w:tr>
      <w:tr>
        <w:trPr>
          <w:trHeight w:val="378" w:hRule="atLeast"/>
        </w:trPr>
        <w:tc>
          <w:tcPr>
            <w:tcW w:w="3226" w:type="dxa"/>
            <w:vAlign w:val="top"/>
            <w:tcBorders>
              <w:bottom w:val="single" w:color="000000" w:sz="2" w:space="0"/>
              <w:top w:val="single" w:color="000000" w:sz="2" w:space="0"/>
            </w:tcBorders>
          </w:tcPr>
          <w:p>
            <w:pPr>
              <w:pStyle w:val="TableText"/>
              <w:ind w:left="79"/>
              <w:spacing w:before="111" w:line="220" w:lineRule="auto"/>
              <w:rPr>
                <w:sz w:val="18"/>
                <w:szCs w:val="18"/>
              </w:rPr>
            </w:pPr>
            <w:r>
              <w:rPr>
                <w:sz w:val="18"/>
                <w:szCs w:val="18"/>
                <w:spacing w:val="-2"/>
              </w:rPr>
              <w:t>担保承诺</w:t>
            </w:r>
          </w:p>
        </w:tc>
        <w:tc>
          <w:tcPr>
            <w:shd w:val="clear" w:fill="DBE5F1"/>
            <w:tcW w:w="2144" w:type="dxa"/>
            <w:vAlign w:val="top"/>
            <w:tcBorders>
              <w:bottom w:val="single" w:color="000000" w:sz="2" w:space="0"/>
              <w:top w:val="single" w:color="000000" w:sz="2" w:space="0"/>
            </w:tcBorders>
          </w:tcPr>
          <w:p>
            <w:pPr>
              <w:ind w:left="1682"/>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2,884</w:t>
            </w:r>
          </w:p>
        </w:tc>
        <w:tc>
          <w:tcPr>
            <w:tcW w:w="2894" w:type="dxa"/>
            <w:vAlign w:val="top"/>
            <w:tcBorders>
              <w:bottom w:val="single" w:color="000000" w:sz="2" w:space="0"/>
              <w:top w:val="single" w:color="000000" w:sz="2" w:space="0"/>
            </w:tcBorders>
          </w:tcPr>
          <w:p>
            <w:pPr>
              <w:ind w:left="1683"/>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2,527</w:t>
            </w:r>
          </w:p>
        </w:tc>
        <w:tc>
          <w:tcPr>
            <w:tcW w:w="1390" w:type="dxa"/>
            <w:vAlign w:val="top"/>
            <w:tcBorders>
              <w:bottom w:val="single" w:color="000000" w:sz="2" w:space="0"/>
              <w:top w:val="single" w:color="000000" w:sz="2" w:space="0"/>
            </w:tcBorders>
          </w:tcPr>
          <w:p>
            <w:pPr>
              <w:ind w:left="948"/>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14.13</w:t>
            </w:r>
          </w:p>
        </w:tc>
      </w:tr>
      <w:tr>
        <w:trPr>
          <w:trHeight w:val="378" w:hRule="atLeast"/>
        </w:trPr>
        <w:tc>
          <w:tcPr>
            <w:tcW w:w="3226" w:type="dxa"/>
            <w:vAlign w:val="top"/>
            <w:tcBorders>
              <w:bottom w:val="single" w:color="000000" w:sz="2" w:space="0"/>
              <w:top w:val="single" w:color="000000" w:sz="2" w:space="0"/>
            </w:tcBorders>
          </w:tcPr>
          <w:p>
            <w:pPr>
              <w:pStyle w:val="TableText"/>
              <w:ind w:left="79"/>
              <w:spacing w:before="112" w:line="220" w:lineRule="auto"/>
              <w:rPr>
                <w:sz w:val="18"/>
                <w:szCs w:val="18"/>
              </w:rPr>
            </w:pPr>
            <w:r>
              <w:rPr>
                <w:sz w:val="18"/>
                <w:szCs w:val="18"/>
                <w:spacing w:val="-2"/>
              </w:rPr>
              <w:t>支付结算</w:t>
            </w:r>
          </w:p>
        </w:tc>
        <w:tc>
          <w:tcPr>
            <w:shd w:val="clear" w:fill="DBE5F1"/>
            <w:tcW w:w="2144" w:type="dxa"/>
            <w:vAlign w:val="top"/>
            <w:tcBorders>
              <w:bottom w:val="single" w:color="000000" w:sz="2" w:space="0"/>
              <w:top w:val="single" w:color="000000" w:sz="2" w:space="0"/>
            </w:tcBorders>
          </w:tcPr>
          <w:p>
            <w:pPr>
              <w:ind w:left="1690"/>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1,364</w:t>
            </w:r>
          </w:p>
        </w:tc>
        <w:tc>
          <w:tcPr>
            <w:tcW w:w="2894" w:type="dxa"/>
            <w:vAlign w:val="top"/>
            <w:tcBorders>
              <w:bottom w:val="single" w:color="000000" w:sz="2" w:space="0"/>
              <w:top w:val="single" w:color="000000" w:sz="2" w:space="0"/>
            </w:tcBorders>
          </w:tcPr>
          <w:p>
            <w:pPr>
              <w:ind w:left="1701"/>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1,296</w:t>
            </w:r>
          </w:p>
        </w:tc>
        <w:tc>
          <w:tcPr>
            <w:tcW w:w="1390" w:type="dxa"/>
            <w:vAlign w:val="top"/>
            <w:tcBorders>
              <w:bottom w:val="single" w:color="000000" w:sz="2" w:space="0"/>
              <w:top w:val="single" w:color="000000" w:sz="2" w:space="0"/>
            </w:tcBorders>
          </w:tcPr>
          <w:p>
            <w:pPr>
              <w:ind w:left="1025"/>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5.25</w:t>
            </w:r>
          </w:p>
        </w:tc>
      </w:tr>
      <w:tr>
        <w:trPr>
          <w:trHeight w:val="378" w:hRule="atLeast"/>
        </w:trPr>
        <w:tc>
          <w:tcPr>
            <w:tcW w:w="3226" w:type="dxa"/>
            <w:vAlign w:val="top"/>
            <w:tcBorders>
              <w:bottom w:val="single" w:color="000000" w:sz="2" w:space="0"/>
              <w:top w:val="single" w:color="000000" w:sz="2" w:space="0"/>
            </w:tcBorders>
          </w:tcPr>
          <w:p>
            <w:pPr>
              <w:pStyle w:val="TableText"/>
              <w:ind w:left="79"/>
              <w:spacing w:before="112" w:line="221" w:lineRule="auto"/>
              <w:rPr>
                <w:sz w:val="18"/>
                <w:szCs w:val="18"/>
              </w:rPr>
            </w:pPr>
            <w:r>
              <w:rPr>
                <w:sz w:val="18"/>
                <w:szCs w:val="18"/>
                <w:spacing w:val="-2"/>
              </w:rPr>
              <w:t>其他</w:t>
            </w:r>
          </w:p>
        </w:tc>
        <w:tc>
          <w:tcPr>
            <w:shd w:val="clear" w:fill="DBE5F1"/>
            <w:tcW w:w="2144" w:type="dxa"/>
            <w:vAlign w:val="top"/>
            <w:tcBorders>
              <w:bottom w:val="single" w:color="000000" w:sz="2" w:space="0"/>
              <w:top w:val="single" w:color="000000" w:sz="2" w:space="0"/>
            </w:tcBorders>
          </w:tcPr>
          <w:p>
            <w:pPr>
              <w:ind w:left="1816"/>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227</w:t>
            </w:r>
          </w:p>
        </w:tc>
        <w:tc>
          <w:tcPr>
            <w:tcW w:w="2894" w:type="dxa"/>
            <w:vAlign w:val="top"/>
            <w:tcBorders>
              <w:bottom w:val="single" w:color="000000" w:sz="2" w:space="0"/>
              <w:top w:val="single" w:color="000000" w:sz="2" w:space="0"/>
            </w:tcBorders>
          </w:tcPr>
          <w:p>
            <w:pPr>
              <w:ind w:left="1818"/>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283</w:t>
            </w:r>
          </w:p>
        </w:tc>
        <w:tc>
          <w:tcPr>
            <w:tcW w:w="1390" w:type="dxa"/>
            <w:vAlign w:val="top"/>
            <w:tcBorders>
              <w:bottom w:val="single" w:color="000000" w:sz="2" w:space="0"/>
              <w:top w:val="single" w:color="000000" w:sz="2" w:space="0"/>
            </w:tcBorders>
          </w:tcPr>
          <w:p>
            <w:pPr>
              <w:ind w:left="814"/>
              <w:spacing w:before="142"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(19.79)</w:t>
            </w:r>
          </w:p>
        </w:tc>
      </w:tr>
      <w:tr>
        <w:trPr>
          <w:trHeight w:val="379" w:hRule="atLeast"/>
        </w:trPr>
        <w:tc>
          <w:tcPr>
            <w:tcW w:w="3226" w:type="dxa"/>
            <w:vAlign w:val="top"/>
            <w:tcBorders>
              <w:bottom w:val="single" w:color="000000" w:sz="2" w:space="0"/>
              <w:top w:val="single" w:color="000000" w:sz="2" w:space="0"/>
            </w:tcBorders>
          </w:tcPr>
          <w:p>
            <w:pPr>
              <w:pStyle w:val="TableText"/>
              <w:ind w:left="79"/>
              <w:spacing w:before="114" w:line="220" w:lineRule="auto"/>
              <w:rPr>
                <w:sz w:val="18"/>
                <w:szCs w:val="18"/>
              </w:rPr>
            </w:pPr>
            <w:r>
              <w:rPr>
                <w:sz w:val="18"/>
                <w:szCs w:val="18"/>
                <w:b/>
                <w:bCs/>
                <w:spacing w:val="-2"/>
              </w:rPr>
              <w:t>手续费及佣金收入合计</w:t>
            </w:r>
          </w:p>
        </w:tc>
        <w:tc>
          <w:tcPr>
            <w:shd w:val="clear" w:fill="DBE5F1"/>
            <w:tcW w:w="2144" w:type="dxa"/>
            <w:vAlign w:val="top"/>
            <w:tcBorders>
              <w:bottom w:val="single" w:color="000000" w:sz="2" w:space="0"/>
              <w:top w:val="single" w:color="000000" w:sz="2" w:space="0"/>
            </w:tcBorders>
          </w:tcPr>
          <w:p>
            <w:pPr>
              <w:ind w:left="1593"/>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49,339</w:t>
            </w:r>
          </w:p>
        </w:tc>
        <w:tc>
          <w:tcPr>
            <w:tcW w:w="2894" w:type="dxa"/>
            <w:vAlign w:val="top"/>
            <w:tcBorders>
              <w:bottom w:val="single" w:color="000000" w:sz="2" w:space="0"/>
              <w:top w:val="single" w:color="000000" w:sz="2" w:space="0"/>
            </w:tcBorders>
          </w:tcPr>
          <w:p>
            <w:pPr>
              <w:ind w:left="1600"/>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52,285</w:t>
            </w:r>
          </w:p>
        </w:tc>
        <w:tc>
          <w:tcPr>
            <w:tcW w:w="1390" w:type="dxa"/>
            <w:vAlign w:val="top"/>
            <w:tcBorders>
              <w:bottom w:val="single" w:color="000000" w:sz="2" w:space="0"/>
              <w:top w:val="single" w:color="000000" w:sz="2" w:space="0"/>
            </w:tcBorders>
          </w:tcPr>
          <w:p>
            <w:pPr>
              <w:ind w:left="903"/>
              <w:spacing w:before="143"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(5.63)</w:t>
            </w:r>
          </w:p>
        </w:tc>
      </w:tr>
      <w:tr>
        <w:trPr>
          <w:trHeight w:val="379" w:hRule="atLeast"/>
        </w:trPr>
        <w:tc>
          <w:tcPr>
            <w:tcW w:w="3226" w:type="dxa"/>
            <w:vAlign w:val="top"/>
            <w:tcBorders>
              <w:bottom w:val="single" w:color="000000" w:sz="2" w:space="0"/>
              <w:top w:val="single" w:color="000000" w:sz="2" w:space="0"/>
            </w:tcBorders>
          </w:tcPr>
          <w:p>
            <w:pPr>
              <w:pStyle w:val="TableText"/>
              <w:ind w:left="79"/>
              <w:spacing w:before="114" w:line="220" w:lineRule="auto"/>
              <w:rPr>
                <w:sz w:val="18"/>
                <w:szCs w:val="18"/>
              </w:rPr>
            </w:pPr>
            <w:r>
              <w:rPr>
                <w:sz w:val="18"/>
                <w:szCs w:val="18"/>
                <w:b/>
                <w:bCs/>
                <w:spacing w:val="7"/>
              </w:rPr>
              <w:t>减:手续费及佣金支出</w:t>
            </w:r>
          </w:p>
        </w:tc>
        <w:tc>
          <w:tcPr>
            <w:shd w:val="clear" w:fill="DBE5F1"/>
            <w:tcW w:w="2144" w:type="dxa"/>
            <w:vAlign w:val="top"/>
            <w:tcBorders>
              <w:bottom w:val="single" w:color="000000" w:sz="2" w:space="0"/>
              <w:top w:val="single" w:color="000000" w:sz="2" w:space="0"/>
            </w:tcBorders>
          </w:tcPr>
          <w:p>
            <w:pPr>
              <w:ind w:left="1565"/>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(4,700)</w:t>
            </w:r>
          </w:p>
        </w:tc>
        <w:tc>
          <w:tcPr>
            <w:tcW w:w="2894" w:type="dxa"/>
            <w:vAlign w:val="top"/>
            <w:tcBorders>
              <w:bottom w:val="single" w:color="000000" w:sz="2" w:space="0"/>
              <w:top w:val="single" w:color="000000" w:sz="2" w:space="0"/>
            </w:tcBorders>
          </w:tcPr>
          <w:p>
            <w:pPr>
              <w:ind w:left="1567"/>
              <w:spacing w:before="143"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(4,712)</w:t>
            </w:r>
          </w:p>
        </w:tc>
        <w:tc>
          <w:tcPr>
            <w:tcW w:w="1390" w:type="dxa"/>
            <w:vAlign w:val="top"/>
            <w:tcBorders>
              <w:bottom w:val="single" w:color="000000" w:sz="2" w:space="0"/>
              <w:top w:val="single" w:color="000000" w:sz="2" w:space="0"/>
            </w:tcBorders>
          </w:tcPr>
          <w:p>
            <w:pPr>
              <w:ind w:left="903"/>
              <w:spacing w:before="143"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(0.25)</w:t>
            </w:r>
          </w:p>
        </w:tc>
      </w:tr>
      <w:tr>
        <w:trPr>
          <w:trHeight w:val="383" w:hRule="atLeast"/>
        </w:trPr>
        <w:tc>
          <w:tcPr>
            <w:tcW w:w="3226" w:type="dxa"/>
            <w:vAlign w:val="top"/>
            <w:tcBorders>
              <w:bottom w:val="single" w:color="000000" w:sz="2" w:space="0"/>
              <w:top w:val="single" w:color="000000" w:sz="2" w:space="0"/>
            </w:tcBorders>
          </w:tcPr>
          <w:p>
            <w:pPr>
              <w:pStyle w:val="TableText"/>
              <w:ind w:left="79"/>
              <w:spacing w:before="114" w:line="220" w:lineRule="auto"/>
              <w:rPr>
                <w:sz w:val="18"/>
                <w:szCs w:val="18"/>
              </w:rPr>
            </w:pPr>
            <w:r>
              <w:rPr>
                <w:sz w:val="18"/>
                <w:szCs w:val="18"/>
                <w:b/>
                <w:bCs/>
                <w:spacing w:val="-2"/>
              </w:rPr>
              <w:t>手续费及佣金净收入</w:t>
            </w:r>
          </w:p>
        </w:tc>
        <w:tc>
          <w:tcPr>
            <w:shd w:val="clear" w:fill="DBE5F1"/>
            <w:tcW w:w="2144" w:type="dxa"/>
            <w:vAlign w:val="top"/>
            <w:tcBorders>
              <w:bottom w:val="single" w:color="000000" w:sz="2" w:space="0"/>
              <w:top w:val="single" w:color="000000" w:sz="2" w:space="0"/>
            </w:tcBorders>
          </w:tcPr>
          <w:p>
            <w:pPr>
              <w:ind w:left="1593"/>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44,639</w:t>
            </w:r>
          </w:p>
        </w:tc>
        <w:tc>
          <w:tcPr>
            <w:tcW w:w="2894" w:type="dxa"/>
            <w:vAlign w:val="top"/>
            <w:tcBorders>
              <w:bottom w:val="single" w:color="000000" w:sz="2" w:space="0"/>
              <w:top w:val="single" w:color="000000" w:sz="2" w:space="0"/>
            </w:tcBorders>
          </w:tcPr>
          <w:p>
            <w:pPr>
              <w:ind w:left="1594"/>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47,573</w:t>
            </w:r>
          </w:p>
        </w:tc>
        <w:tc>
          <w:tcPr>
            <w:tcW w:w="1390" w:type="dxa"/>
            <w:vAlign w:val="top"/>
            <w:tcBorders>
              <w:bottom w:val="single" w:color="000000" w:sz="2" w:space="0"/>
              <w:top w:val="single" w:color="000000" w:sz="2" w:space="0"/>
            </w:tcBorders>
          </w:tcPr>
          <w:p>
            <w:pPr>
              <w:ind w:left="903"/>
              <w:spacing w:before="143"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(6.17)</w:t>
            </w:r>
          </w:p>
        </w:tc>
      </w:tr>
    </w:tbl>
    <w:p>
      <w:pPr>
        <w:ind w:left="442"/>
        <w:spacing w:before="263"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4.</w:t>
      </w:r>
      <w:r>
        <w:rPr>
          <w:rFonts w:ascii="SimSun" w:hAnsi="SimSun" w:eastAsia="SimSun" w:cs="SimSun"/>
          <w:sz w:val="21"/>
          <w:szCs w:val="21"/>
          <w:b/>
          <w:bCs/>
          <w:spacing w:val="-2"/>
        </w:rPr>
        <w:t>业务及管理费</w:t>
      </w:r>
    </w:p>
    <w:p>
      <w:pPr>
        <w:ind w:left="18" w:firstLine="422"/>
        <w:spacing w:before="308" w:line="267" w:lineRule="auto"/>
        <w:rPr>
          <w:rFonts w:ascii="SimSun" w:hAnsi="SimSun" w:eastAsia="SimSun" w:cs="SimSun"/>
          <w:sz w:val="21"/>
          <w:szCs w:val="21"/>
        </w:rPr>
      </w:pPr>
      <w:r>
        <w:rPr>
          <w:rFonts w:ascii="SimSun" w:hAnsi="SimSun" w:eastAsia="SimSun" w:cs="SimSun"/>
          <w:sz w:val="21"/>
          <w:szCs w:val="21"/>
        </w:rPr>
        <w:t>报告期内,</w:t>
      </w:r>
      <w:r>
        <w:rPr>
          <w:rFonts w:ascii="SimSun" w:hAnsi="SimSun" w:eastAsia="SimSun" w:cs="SimSun"/>
          <w:sz w:val="21"/>
          <w:szCs w:val="21"/>
          <w:spacing w:val="30"/>
        </w:rPr>
        <w:t xml:space="preserve"> </w:t>
      </w:r>
      <w:r>
        <w:rPr>
          <w:rFonts w:ascii="SimSun" w:hAnsi="SimSun" w:eastAsia="SimSun" w:cs="SimSun"/>
          <w:sz w:val="21"/>
          <w:szCs w:val="21"/>
        </w:rPr>
        <w:t>本集团业务及管理费</w:t>
      </w:r>
      <w:r>
        <w:rPr>
          <w:rFonts w:ascii="SimSun" w:hAnsi="SimSun" w:eastAsia="SimSun" w:cs="SimSun"/>
          <w:sz w:val="21"/>
          <w:szCs w:val="21"/>
          <w:spacing w:val="-42"/>
        </w:rPr>
        <w:t xml:space="preserve"> </w:t>
      </w:r>
      <w:r>
        <w:rPr>
          <w:rFonts w:ascii="Times New Roman" w:hAnsi="Times New Roman" w:eastAsia="Times New Roman" w:cs="Times New Roman"/>
          <w:sz w:val="21"/>
          <w:szCs w:val="21"/>
        </w:rPr>
        <w:t>768.25 </w:t>
      </w:r>
      <w:r>
        <w:rPr>
          <w:rFonts w:ascii="SimSun" w:hAnsi="SimSun" w:eastAsia="SimSun" w:cs="SimSun"/>
          <w:sz w:val="21"/>
          <w:szCs w:val="21"/>
        </w:rPr>
        <w:t>亿元,</w:t>
      </w:r>
      <w:r>
        <w:rPr>
          <w:rFonts w:ascii="SimSun" w:hAnsi="SimSun" w:eastAsia="SimSun" w:cs="SimSun"/>
          <w:sz w:val="21"/>
          <w:szCs w:val="21"/>
          <w:spacing w:val="50"/>
        </w:rPr>
        <w:t xml:space="preserve"> </w:t>
      </w:r>
      <w:r>
        <w:rPr>
          <w:rFonts w:ascii="SimSun" w:hAnsi="SimSun" w:eastAsia="SimSun" w:cs="SimSun"/>
          <w:sz w:val="21"/>
          <w:szCs w:val="21"/>
        </w:rPr>
        <w:t>同比增加</w:t>
      </w:r>
      <w:r>
        <w:rPr>
          <w:rFonts w:ascii="SimSun" w:hAnsi="SimSun" w:eastAsia="SimSun" w:cs="SimSun"/>
          <w:sz w:val="21"/>
          <w:szCs w:val="21"/>
          <w:spacing w:val="-45"/>
        </w:rPr>
        <w:t xml:space="preserve"> </w:t>
      </w:r>
      <w:r>
        <w:rPr>
          <w:rFonts w:ascii="Times New Roman" w:hAnsi="Times New Roman" w:eastAsia="Times New Roman" w:cs="Times New Roman"/>
          <w:sz w:val="21"/>
          <w:szCs w:val="21"/>
        </w:rPr>
        <w:t>2</w:t>
      </w:r>
      <w:r>
        <w:rPr>
          <w:rFonts w:ascii="Times New Roman" w:hAnsi="Times New Roman" w:eastAsia="Times New Roman" w:cs="Times New Roman"/>
          <w:sz w:val="21"/>
          <w:szCs w:val="21"/>
          <w:spacing w:val="-1"/>
        </w:rPr>
        <w:t>2.80 </w:t>
      </w:r>
      <w:r>
        <w:rPr>
          <w:rFonts w:ascii="SimSun" w:hAnsi="SimSun" w:eastAsia="SimSun" w:cs="SimSun"/>
          <w:sz w:val="21"/>
          <w:szCs w:val="21"/>
          <w:spacing w:val="-1"/>
        </w:rPr>
        <w:t>亿元,</w:t>
      </w:r>
      <w:r>
        <w:rPr>
          <w:rFonts w:ascii="SimSun" w:hAnsi="SimSun" w:eastAsia="SimSun" w:cs="SimSun"/>
          <w:sz w:val="21"/>
          <w:szCs w:val="21"/>
          <w:spacing w:val="32"/>
        </w:rPr>
        <w:t xml:space="preserve"> </w:t>
      </w:r>
      <w:r>
        <w:rPr>
          <w:rFonts w:ascii="SimSun" w:hAnsi="SimSun" w:eastAsia="SimSun" w:cs="SimSun"/>
          <w:sz w:val="21"/>
          <w:szCs w:val="21"/>
          <w:spacing w:val="-1"/>
        </w:rPr>
        <w:t>增幅</w:t>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1"/>
        </w:rPr>
        <w:t>3.06%</w:t>
      </w:r>
      <w:r>
        <w:rPr>
          <w:rFonts w:ascii="SimSun" w:hAnsi="SimSun" w:eastAsia="SimSun" w:cs="SimSun"/>
          <w:sz w:val="21"/>
          <w:szCs w:val="21"/>
          <w:spacing w:val="-1"/>
        </w:rPr>
        <w:t>;本集团成本收入比</w:t>
      </w:r>
      <w:r>
        <w:rPr>
          <w:rFonts w:ascii="SimSun" w:hAnsi="SimSun" w:eastAsia="SimSun" w:cs="SimSun"/>
          <w:sz w:val="21"/>
          <w:szCs w:val="21"/>
        </w:rPr>
        <w:t xml:space="preserve"> </w:t>
      </w:r>
      <w:r>
        <w:rPr>
          <w:rFonts w:ascii="Times New Roman" w:hAnsi="Times New Roman" w:eastAsia="Times New Roman" w:cs="Times New Roman"/>
          <w:sz w:val="21"/>
          <w:szCs w:val="21"/>
          <w:spacing w:val="1"/>
        </w:rPr>
        <w:t>28.14%</w:t>
      </w:r>
      <w:r>
        <w:rPr>
          <w:rFonts w:ascii="SimSun" w:hAnsi="SimSun" w:eastAsia="SimSun" w:cs="SimSun"/>
          <w:sz w:val="21"/>
          <w:szCs w:val="21"/>
          <w:spacing w:val="1"/>
        </w:rPr>
        <w:t>,同比上升</w:t>
      </w:r>
      <w:r>
        <w:rPr>
          <w:rFonts w:ascii="SimSun" w:hAnsi="SimSun" w:eastAsia="SimSun" w:cs="SimSun"/>
          <w:sz w:val="21"/>
          <w:szCs w:val="21"/>
          <w:spacing w:val="-30"/>
        </w:rPr>
        <w:t xml:space="preserve"> </w:t>
      </w:r>
      <w:r>
        <w:rPr>
          <w:rFonts w:ascii="Times New Roman" w:hAnsi="Times New Roman" w:eastAsia="Times New Roman" w:cs="Times New Roman"/>
          <w:sz w:val="21"/>
          <w:szCs w:val="21"/>
          <w:spacing w:val="1"/>
        </w:rPr>
        <w:t>0.47 </w:t>
      </w:r>
      <w:r>
        <w:rPr>
          <w:rFonts w:ascii="SimSun" w:hAnsi="SimSun" w:eastAsia="SimSun" w:cs="SimSun"/>
          <w:sz w:val="21"/>
          <w:szCs w:val="21"/>
          <w:spacing w:val="1"/>
        </w:rPr>
        <w:t>个百分点。如对债券利息等收入免税影响进行还原,</w:t>
      </w:r>
      <w:r>
        <w:rPr>
          <w:rFonts w:ascii="SimSun" w:hAnsi="SimSun" w:eastAsia="SimSun" w:cs="SimSun"/>
          <w:sz w:val="21"/>
          <w:szCs w:val="21"/>
          <w:spacing w:val="30"/>
        </w:rPr>
        <w:t xml:space="preserve"> </w:t>
      </w:r>
      <w:r>
        <w:rPr>
          <w:rFonts w:ascii="SimSun" w:hAnsi="SimSun" w:eastAsia="SimSun" w:cs="SimSun"/>
          <w:sz w:val="21"/>
          <w:szCs w:val="21"/>
          <w:spacing w:val="1"/>
        </w:rPr>
        <w:t>成本收入比约为</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1"/>
        </w:rPr>
        <w:t>26%</w:t>
      </w:r>
      <w:r>
        <w:rPr>
          <w:rFonts w:ascii="SimSun" w:hAnsi="SimSun" w:eastAsia="SimSun" w:cs="SimSun"/>
          <w:sz w:val="21"/>
          <w:szCs w:val="21"/>
          <w:spacing w:val="1"/>
        </w:rPr>
        <w:t>。</w:t>
      </w:r>
    </w:p>
    <w:p>
      <w:pPr>
        <w:pStyle w:val="BodyText"/>
        <w:rPr/>
      </w:pPr>
      <w:r/>
    </w:p>
    <w:p>
      <w:pPr>
        <w:ind w:left="443"/>
        <w:spacing w:before="68" w:line="221" w:lineRule="auto"/>
        <w:rPr>
          <w:rFonts w:ascii="SimSun" w:hAnsi="SimSun" w:eastAsia="SimSun" w:cs="SimSun"/>
          <w:sz w:val="21"/>
          <w:szCs w:val="21"/>
        </w:rPr>
      </w:pPr>
      <w:r>
        <w:rPr>
          <w:rFonts w:ascii="SimSun" w:hAnsi="SimSun" w:eastAsia="SimSun" w:cs="SimSun"/>
          <w:sz w:val="21"/>
          <w:szCs w:val="21"/>
          <w:spacing w:val="-1"/>
        </w:rPr>
        <w:t>本集团在所示期间的业务及管理费的组成结构如下:</w:t>
      </w:r>
    </w:p>
    <w:p>
      <w:pPr>
        <w:pStyle w:val="BodyText"/>
        <w:spacing w:line="250" w:lineRule="auto"/>
        <w:rPr/>
      </w:pPr>
      <w:r/>
    </w:p>
    <w:p>
      <w:pPr>
        <w:ind w:right="5"/>
        <w:spacing w:before="59" w:line="250" w:lineRule="exact"/>
        <w:jc w:val="right"/>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position w:val="2"/>
        </w:rPr>
        <w:t>(</w:t>
      </w:r>
      <w:r>
        <w:rPr>
          <w:rFonts w:ascii="SimSun" w:hAnsi="SimSun" w:eastAsia="SimSun" w:cs="SimSun"/>
          <w:sz w:val="18"/>
          <w:szCs w:val="18"/>
          <w:spacing w:val="5"/>
          <w:position w:val="2"/>
        </w:rPr>
        <w:t>除另有标明外,人民币百万元</w:t>
      </w:r>
      <w:r>
        <w:rPr>
          <w:rFonts w:ascii="Times New Roman" w:hAnsi="Times New Roman" w:eastAsia="Times New Roman" w:cs="Times New Roman"/>
          <w:sz w:val="18"/>
          <w:szCs w:val="18"/>
          <w:spacing w:val="5"/>
          <w:position w:val="2"/>
        </w:rPr>
        <w:t>)</w:t>
      </w:r>
    </w:p>
    <w:p>
      <w:pPr>
        <w:spacing w:line="35" w:lineRule="auto"/>
        <w:rPr>
          <w:rFonts w:ascii="Arial"/>
          <w:sz w:val="2"/>
        </w:rPr>
      </w:pPr>
      <w:r>
        <w:rPr>
          <w:rFonts w:ascii="Arial"/>
          <w:sz w:val="2"/>
        </w:rPr>
      </w:r>
    </w:p>
    <w:tbl>
      <w:tblPr>
        <w:tblStyle w:val="TableNormal"/>
        <w:tblW w:w="9654"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591"/>
        <w:gridCol w:w="2021"/>
        <w:gridCol w:w="2662"/>
        <w:gridCol w:w="1380"/>
      </w:tblGrid>
      <w:tr>
        <w:trPr>
          <w:trHeight w:val="383" w:hRule="atLeast"/>
        </w:trPr>
        <w:tc>
          <w:tcPr>
            <w:tcW w:w="3591" w:type="dxa"/>
            <w:vAlign w:val="top"/>
            <w:tcBorders>
              <w:bottom w:val="single" w:color="000000" w:sz="2" w:space="0"/>
              <w:top w:val="single" w:color="000000" w:sz="2" w:space="0"/>
            </w:tcBorders>
          </w:tcPr>
          <w:p>
            <w:pPr>
              <w:rPr>
                <w:rFonts w:ascii="Arial"/>
                <w:sz w:val="21"/>
              </w:rPr>
            </w:pPr>
            <w:r/>
          </w:p>
        </w:tc>
        <w:tc>
          <w:tcPr>
            <w:shd w:val="clear" w:fill="DBE5F1"/>
            <w:tcW w:w="2021" w:type="dxa"/>
            <w:vAlign w:val="top"/>
            <w:tcBorders>
              <w:bottom w:val="single" w:color="000000" w:sz="2" w:space="0"/>
              <w:top w:val="single" w:color="000000" w:sz="2" w:space="0"/>
            </w:tcBorders>
          </w:tcPr>
          <w:p>
            <w:pPr>
              <w:pStyle w:val="TableText"/>
              <w:ind w:left="1382"/>
              <w:spacing w:before="114" w:line="220" w:lineRule="auto"/>
              <w:rPr>
                <w:sz w:val="18"/>
                <w:szCs w:val="18"/>
              </w:rPr>
            </w:pPr>
            <w:r>
              <w:rPr>
                <w:rFonts w:ascii="Times New Roman" w:hAnsi="Times New Roman" w:eastAsia="Times New Roman" w:cs="Times New Roman"/>
                <w:sz w:val="18"/>
                <w:szCs w:val="18"/>
                <w:b/>
                <w:bCs/>
                <w:spacing w:val="-2"/>
              </w:rPr>
              <w:t>2022</w:t>
            </w:r>
            <w:r>
              <w:rPr>
                <w:rFonts w:ascii="Times New Roman" w:hAnsi="Times New Roman" w:eastAsia="Times New Roman" w:cs="Times New Roman"/>
                <w:sz w:val="18"/>
                <w:szCs w:val="18"/>
                <w:b/>
                <w:bCs/>
                <w:spacing w:val="11"/>
                <w:w w:val="101"/>
              </w:rPr>
              <w:t xml:space="preserve"> </w:t>
            </w:r>
            <w:r>
              <w:rPr>
                <w:sz w:val="18"/>
                <w:szCs w:val="18"/>
                <w:b/>
                <w:bCs/>
                <w:spacing w:val="-2"/>
              </w:rPr>
              <w:t>年</w:t>
            </w:r>
          </w:p>
        </w:tc>
        <w:tc>
          <w:tcPr>
            <w:tcW w:w="2662" w:type="dxa"/>
            <w:vAlign w:val="top"/>
            <w:tcBorders>
              <w:bottom w:val="single" w:color="000000" w:sz="2" w:space="0"/>
              <w:top w:val="single" w:color="000000" w:sz="2" w:space="0"/>
            </w:tcBorders>
          </w:tcPr>
          <w:p>
            <w:pPr>
              <w:pStyle w:val="TableText"/>
              <w:ind w:left="1381"/>
              <w:spacing w:before="114" w:line="220" w:lineRule="auto"/>
              <w:rPr>
                <w:sz w:val="18"/>
                <w:szCs w:val="18"/>
              </w:rPr>
            </w:pPr>
            <w:r>
              <w:rPr>
                <w:rFonts w:ascii="Times New Roman" w:hAnsi="Times New Roman" w:eastAsia="Times New Roman" w:cs="Times New Roman"/>
                <w:sz w:val="18"/>
                <w:szCs w:val="18"/>
                <w:spacing w:val="-1"/>
              </w:rPr>
              <w:t>2021</w:t>
            </w:r>
            <w:r>
              <w:rPr>
                <w:rFonts w:ascii="Times New Roman" w:hAnsi="Times New Roman" w:eastAsia="Times New Roman" w:cs="Times New Roman"/>
                <w:sz w:val="18"/>
                <w:szCs w:val="18"/>
                <w:spacing w:val="10"/>
              </w:rPr>
              <w:t xml:space="preserve"> </w:t>
            </w:r>
            <w:r>
              <w:rPr>
                <w:sz w:val="18"/>
                <w:szCs w:val="18"/>
                <w:spacing w:val="-1"/>
              </w:rPr>
              <w:t>年</w:t>
            </w:r>
          </w:p>
        </w:tc>
        <w:tc>
          <w:tcPr>
            <w:tcW w:w="1380" w:type="dxa"/>
            <w:vAlign w:val="top"/>
            <w:tcBorders>
              <w:bottom w:val="single" w:color="000000" w:sz="2" w:space="0"/>
              <w:top w:val="single" w:color="000000" w:sz="2" w:space="0"/>
            </w:tcBorders>
          </w:tcPr>
          <w:p>
            <w:pPr>
              <w:pStyle w:val="TableText"/>
              <w:ind w:left="704"/>
              <w:spacing w:before="87" w:line="250" w:lineRule="exact"/>
              <w:rPr>
                <w:rFonts w:ascii="Times New Roman" w:hAnsi="Times New Roman" w:eastAsia="Times New Roman" w:cs="Times New Roman"/>
                <w:sz w:val="18"/>
                <w:szCs w:val="18"/>
              </w:rPr>
            </w:pPr>
            <w:r>
              <w:rPr>
                <w:sz w:val="18"/>
                <w:szCs w:val="18"/>
                <w:spacing w:val="-2"/>
                <w:position w:val="2"/>
              </w:rPr>
              <w:t>增减</w:t>
            </w:r>
            <w:r>
              <w:rPr>
                <w:rFonts w:ascii="Times New Roman" w:hAnsi="Times New Roman" w:eastAsia="Times New Roman" w:cs="Times New Roman"/>
                <w:sz w:val="18"/>
                <w:szCs w:val="18"/>
                <w:spacing w:val="-2"/>
                <w:position w:val="2"/>
              </w:rPr>
              <w:t>(%)</w:t>
            </w:r>
          </w:p>
        </w:tc>
      </w:tr>
      <w:tr>
        <w:trPr>
          <w:trHeight w:val="378" w:hRule="atLeast"/>
        </w:trPr>
        <w:tc>
          <w:tcPr>
            <w:tcW w:w="3591" w:type="dxa"/>
            <w:vAlign w:val="top"/>
            <w:tcBorders>
              <w:bottom w:val="single" w:color="000000" w:sz="2" w:space="0"/>
              <w:top w:val="single" w:color="000000" w:sz="2" w:space="0"/>
            </w:tcBorders>
          </w:tcPr>
          <w:p>
            <w:pPr>
              <w:pStyle w:val="TableText"/>
              <w:ind w:left="86"/>
              <w:spacing w:before="110" w:line="220" w:lineRule="auto"/>
              <w:rPr>
                <w:sz w:val="18"/>
                <w:szCs w:val="18"/>
              </w:rPr>
            </w:pPr>
            <w:r>
              <w:rPr>
                <w:sz w:val="18"/>
                <w:szCs w:val="18"/>
                <w:spacing w:val="-1"/>
              </w:rPr>
              <w:t>员工工资、奖金、津贴和补贴</w:t>
            </w:r>
          </w:p>
        </w:tc>
        <w:tc>
          <w:tcPr>
            <w:shd w:val="clear" w:fill="DBE5F1"/>
            <w:tcW w:w="2021" w:type="dxa"/>
            <w:vAlign w:val="top"/>
            <w:tcBorders>
              <w:bottom w:val="single" w:color="000000" w:sz="2" w:space="0"/>
              <w:top w:val="single" w:color="000000" w:sz="2" w:space="0"/>
            </w:tcBorders>
          </w:tcPr>
          <w:p>
            <w:pPr>
              <w:ind w:left="1473"/>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26,918</w:t>
            </w:r>
          </w:p>
        </w:tc>
        <w:tc>
          <w:tcPr>
            <w:tcW w:w="2662" w:type="dxa"/>
            <w:vAlign w:val="top"/>
            <w:tcBorders>
              <w:bottom w:val="single" w:color="000000" w:sz="2" w:space="0"/>
              <w:top w:val="single" w:color="000000" w:sz="2" w:space="0"/>
            </w:tcBorders>
          </w:tcPr>
          <w:p>
            <w:pPr>
              <w:ind w:left="1473"/>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25,383</w:t>
            </w:r>
          </w:p>
        </w:tc>
        <w:tc>
          <w:tcPr>
            <w:tcW w:w="1380" w:type="dxa"/>
            <w:vAlign w:val="top"/>
            <w:tcBorders>
              <w:bottom w:val="single" w:color="000000" w:sz="2" w:space="0"/>
              <w:top w:val="single" w:color="000000" w:sz="2" w:space="0"/>
            </w:tcBorders>
          </w:tcPr>
          <w:p>
            <w:pPr>
              <w:ind w:left="1016"/>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6.05</w:t>
            </w:r>
          </w:p>
        </w:tc>
      </w:tr>
      <w:tr>
        <w:trPr>
          <w:trHeight w:val="379" w:hRule="atLeast"/>
        </w:trPr>
        <w:tc>
          <w:tcPr>
            <w:tcW w:w="3591" w:type="dxa"/>
            <w:vAlign w:val="top"/>
            <w:tcBorders>
              <w:bottom w:val="single" w:color="000000" w:sz="2" w:space="0"/>
              <w:top w:val="single" w:color="000000" w:sz="2" w:space="0"/>
            </w:tcBorders>
          </w:tcPr>
          <w:p>
            <w:pPr>
              <w:pStyle w:val="TableText"/>
              <w:ind w:left="79"/>
              <w:spacing w:before="110" w:line="220" w:lineRule="auto"/>
              <w:rPr>
                <w:sz w:val="18"/>
                <w:szCs w:val="18"/>
              </w:rPr>
            </w:pPr>
            <w:r>
              <w:rPr>
                <w:sz w:val="18"/>
                <w:szCs w:val="18"/>
                <w:spacing w:val="-2"/>
              </w:rPr>
              <w:t>其他员工成本</w:t>
            </w:r>
          </w:p>
        </w:tc>
        <w:tc>
          <w:tcPr>
            <w:shd w:val="clear" w:fill="DBE5F1"/>
            <w:tcW w:w="2021" w:type="dxa"/>
            <w:vAlign w:val="top"/>
            <w:tcBorders>
              <w:bottom w:val="single" w:color="000000" w:sz="2" w:space="0"/>
              <w:top w:val="single" w:color="000000" w:sz="2" w:space="0"/>
            </w:tcBorders>
          </w:tcPr>
          <w:p>
            <w:pPr>
              <w:ind w:left="1481"/>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12,396</w:t>
            </w:r>
          </w:p>
        </w:tc>
        <w:tc>
          <w:tcPr>
            <w:tcW w:w="2662" w:type="dxa"/>
            <w:vAlign w:val="top"/>
            <w:tcBorders>
              <w:bottom w:val="single" w:color="000000" w:sz="2" w:space="0"/>
              <w:top w:val="single" w:color="000000" w:sz="2" w:space="0"/>
            </w:tcBorders>
          </w:tcPr>
          <w:p>
            <w:pPr>
              <w:ind w:left="1497"/>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11,442</w:t>
            </w:r>
          </w:p>
        </w:tc>
        <w:tc>
          <w:tcPr>
            <w:tcW w:w="1380" w:type="dxa"/>
            <w:vAlign w:val="top"/>
            <w:tcBorders>
              <w:bottom w:val="single" w:color="000000" w:sz="2" w:space="0"/>
              <w:top w:val="single" w:color="000000" w:sz="2" w:space="0"/>
            </w:tcBorders>
          </w:tcPr>
          <w:p>
            <w:pPr>
              <w:ind w:left="1019"/>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8.34</w:t>
            </w:r>
          </w:p>
        </w:tc>
      </w:tr>
      <w:tr>
        <w:trPr>
          <w:trHeight w:val="378" w:hRule="atLeast"/>
        </w:trPr>
        <w:tc>
          <w:tcPr>
            <w:tcW w:w="3591" w:type="dxa"/>
            <w:vAlign w:val="top"/>
            <w:tcBorders>
              <w:bottom w:val="single" w:color="000000" w:sz="2" w:space="0"/>
              <w:top w:val="single" w:color="000000" w:sz="2" w:space="0"/>
            </w:tcBorders>
          </w:tcPr>
          <w:p>
            <w:pPr>
              <w:pStyle w:val="TableText"/>
              <w:ind w:left="78"/>
              <w:spacing w:before="111" w:line="220" w:lineRule="auto"/>
              <w:rPr>
                <w:sz w:val="18"/>
                <w:szCs w:val="18"/>
              </w:rPr>
            </w:pPr>
            <w:r>
              <w:rPr>
                <w:sz w:val="18"/>
                <w:szCs w:val="18"/>
                <w:spacing w:val="-2"/>
              </w:rPr>
              <w:t>业务费用</w:t>
            </w:r>
          </w:p>
        </w:tc>
        <w:tc>
          <w:tcPr>
            <w:shd w:val="clear" w:fill="DBE5F1"/>
            <w:tcW w:w="2021" w:type="dxa"/>
            <w:vAlign w:val="top"/>
            <w:tcBorders>
              <w:bottom w:val="single" w:color="000000" w:sz="2" w:space="0"/>
              <w:top w:val="single" w:color="000000" w:sz="2" w:space="0"/>
            </w:tcBorders>
          </w:tcPr>
          <w:p>
            <w:pPr>
              <w:ind w:left="1473"/>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28,861</w:t>
            </w:r>
          </w:p>
        </w:tc>
        <w:tc>
          <w:tcPr>
            <w:tcW w:w="2662" w:type="dxa"/>
            <w:vAlign w:val="top"/>
            <w:tcBorders>
              <w:bottom w:val="single" w:color="000000" w:sz="2" w:space="0"/>
              <w:top w:val="single" w:color="000000" w:sz="2" w:space="0"/>
            </w:tcBorders>
          </w:tcPr>
          <w:p>
            <w:pPr>
              <w:ind w:left="1473"/>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29,621</w:t>
            </w:r>
          </w:p>
        </w:tc>
        <w:tc>
          <w:tcPr>
            <w:tcW w:w="1380" w:type="dxa"/>
            <w:vAlign w:val="top"/>
            <w:tcBorders>
              <w:bottom w:val="single" w:color="000000" w:sz="2" w:space="0"/>
              <w:top w:val="single" w:color="000000" w:sz="2" w:space="0"/>
            </w:tcBorders>
          </w:tcPr>
          <w:p>
            <w:pPr>
              <w:ind w:left="898"/>
              <w:spacing w:before="84" w:line="237"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position w:val="3"/>
              </w:rPr>
              <w:t>(2.57)</w:t>
            </w:r>
          </w:p>
        </w:tc>
      </w:tr>
      <w:tr>
        <w:trPr>
          <w:trHeight w:val="378" w:hRule="atLeast"/>
        </w:trPr>
        <w:tc>
          <w:tcPr>
            <w:tcW w:w="3591" w:type="dxa"/>
            <w:vAlign w:val="top"/>
            <w:tcBorders>
              <w:bottom w:val="single" w:color="000000" w:sz="2" w:space="0"/>
              <w:top w:val="single" w:color="000000" w:sz="2" w:space="0"/>
            </w:tcBorders>
          </w:tcPr>
          <w:p>
            <w:pPr>
              <w:pStyle w:val="TableText"/>
              <w:ind w:left="80"/>
              <w:spacing w:before="112" w:line="220" w:lineRule="auto"/>
              <w:rPr>
                <w:sz w:val="18"/>
                <w:szCs w:val="18"/>
              </w:rPr>
            </w:pPr>
            <w:r>
              <w:rPr>
                <w:sz w:val="18"/>
                <w:szCs w:val="18"/>
                <w:spacing w:val="-2"/>
              </w:rPr>
              <w:t>折旧与摊销</w:t>
            </w:r>
          </w:p>
        </w:tc>
        <w:tc>
          <w:tcPr>
            <w:shd w:val="clear" w:fill="DBE5F1"/>
            <w:tcW w:w="2021" w:type="dxa"/>
            <w:vAlign w:val="top"/>
            <w:tcBorders>
              <w:bottom w:val="single" w:color="000000" w:sz="2" w:space="0"/>
              <w:top w:val="single" w:color="000000" w:sz="2" w:space="0"/>
            </w:tcBorders>
          </w:tcPr>
          <w:p>
            <w:pPr>
              <w:ind w:left="1564"/>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8,650</w:t>
            </w:r>
          </w:p>
        </w:tc>
        <w:tc>
          <w:tcPr>
            <w:tcW w:w="2662" w:type="dxa"/>
            <w:vAlign w:val="top"/>
            <w:tcBorders>
              <w:bottom w:val="single" w:color="000000" w:sz="2" w:space="0"/>
              <w:top w:val="single" w:color="000000" w:sz="2" w:space="0"/>
            </w:tcBorders>
          </w:tcPr>
          <w:p>
            <w:pPr>
              <w:ind w:left="1569"/>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8,099</w:t>
            </w:r>
          </w:p>
        </w:tc>
        <w:tc>
          <w:tcPr>
            <w:tcW w:w="1380" w:type="dxa"/>
            <w:vAlign w:val="top"/>
            <w:tcBorders>
              <w:bottom w:val="single" w:color="000000" w:sz="2" w:space="0"/>
              <w:top w:val="single" w:color="000000" w:sz="2" w:space="0"/>
            </w:tcBorders>
          </w:tcPr>
          <w:p>
            <w:pPr>
              <w:ind w:left="1016"/>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6.80</w:t>
            </w:r>
          </w:p>
        </w:tc>
      </w:tr>
      <w:tr>
        <w:trPr>
          <w:trHeight w:val="383" w:hRule="atLeast"/>
        </w:trPr>
        <w:tc>
          <w:tcPr>
            <w:tcW w:w="3591" w:type="dxa"/>
            <w:vAlign w:val="top"/>
            <w:tcBorders>
              <w:bottom w:val="single" w:color="000000" w:sz="2" w:space="0"/>
              <w:top w:val="single" w:color="000000" w:sz="2" w:space="0"/>
            </w:tcBorders>
          </w:tcPr>
          <w:p>
            <w:pPr>
              <w:pStyle w:val="TableText"/>
              <w:ind w:left="78"/>
              <w:spacing w:before="113" w:line="220" w:lineRule="auto"/>
              <w:rPr>
                <w:sz w:val="18"/>
                <w:szCs w:val="18"/>
              </w:rPr>
            </w:pPr>
            <w:r>
              <w:rPr>
                <w:sz w:val="18"/>
                <w:szCs w:val="18"/>
                <w:b/>
                <w:bCs/>
                <w:spacing w:val="-3"/>
              </w:rPr>
              <w:t>业务及管理费合计</w:t>
            </w:r>
          </w:p>
        </w:tc>
        <w:tc>
          <w:tcPr>
            <w:shd w:val="clear" w:fill="DBE5F1"/>
            <w:tcW w:w="2021" w:type="dxa"/>
            <w:vAlign w:val="top"/>
            <w:tcBorders>
              <w:bottom w:val="single" w:color="000000" w:sz="2" w:space="0"/>
              <w:top w:val="single" w:color="000000" w:sz="2" w:space="0"/>
            </w:tcBorders>
          </w:tcPr>
          <w:p>
            <w:pPr>
              <w:ind w:left="1475"/>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76,825</w:t>
            </w:r>
          </w:p>
        </w:tc>
        <w:tc>
          <w:tcPr>
            <w:tcW w:w="2662" w:type="dxa"/>
            <w:vAlign w:val="top"/>
            <w:tcBorders>
              <w:bottom w:val="single" w:color="000000" w:sz="2" w:space="0"/>
              <w:top w:val="single" w:color="000000" w:sz="2" w:space="0"/>
            </w:tcBorders>
          </w:tcPr>
          <w:p>
            <w:pPr>
              <w:ind w:left="1476"/>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74,545</w:t>
            </w:r>
          </w:p>
        </w:tc>
        <w:tc>
          <w:tcPr>
            <w:tcW w:w="1380" w:type="dxa"/>
            <w:vAlign w:val="top"/>
            <w:tcBorders>
              <w:bottom w:val="single" w:color="000000" w:sz="2" w:space="0"/>
              <w:top w:val="single" w:color="000000" w:sz="2" w:space="0"/>
            </w:tcBorders>
          </w:tcPr>
          <w:p>
            <w:pPr>
              <w:ind w:left="1016"/>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3.06</w:t>
            </w:r>
          </w:p>
        </w:tc>
      </w:tr>
    </w:tbl>
    <w:p>
      <w:pPr>
        <w:ind w:left="444"/>
        <w:spacing w:before="262"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5.</w:t>
      </w:r>
      <w:r>
        <w:rPr>
          <w:rFonts w:ascii="SimSun" w:hAnsi="SimSun" w:eastAsia="SimSun" w:cs="SimSun"/>
          <w:sz w:val="21"/>
          <w:szCs w:val="21"/>
          <w:b/>
          <w:bCs/>
          <w:spacing w:val="-2"/>
        </w:rPr>
        <w:t>资产减值损失</w:t>
      </w:r>
    </w:p>
    <w:p>
      <w:pPr>
        <w:ind w:left="22" w:firstLine="418"/>
        <w:spacing w:before="308" w:line="297" w:lineRule="auto"/>
        <w:jc w:val="both"/>
        <w:rPr>
          <w:rFonts w:ascii="SimSun" w:hAnsi="SimSun" w:eastAsia="SimSun" w:cs="SimSun"/>
          <w:sz w:val="21"/>
          <w:szCs w:val="21"/>
        </w:rPr>
      </w:pPr>
      <w:r>
        <w:rPr>
          <w:rFonts w:ascii="SimSun" w:hAnsi="SimSun" w:eastAsia="SimSun" w:cs="SimSun"/>
          <w:sz w:val="21"/>
          <w:szCs w:val="21"/>
          <w:spacing w:val="2"/>
        </w:rPr>
        <w:t>报告期内,</w:t>
      </w:r>
      <w:r>
        <w:rPr>
          <w:rFonts w:ascii="SimSun" w:hAnsi="SimSun" w:eastAsia="SimSun" w:cs="SimSun"/>
          <w:sz w:val="21"/>
          <w:szCs w:val="21"/>
          <w:spacing w:val="32"/>
        </w:rPr>
        <w:t xml:space="preserve"> </w:t>
      </w:r>
      <w:r>
        <w:rPr>
          <w:rFonts w:ascii="SimSun" w:hAnsi="SimSun" w:eastAsia="SimSun" w:cs="SimSun"/>
          <w:sz w:val="21"/>
          <w:szCs w:val="21"/>
          <w:spacing w:val="2"/>
        </w:rPr>
        <w:t>本集团资产减值损失</w:t>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2"/>
        </w:rPr>
        <w:t>623.08 </w:t>
      </w:r>
      <w:r>
        <w:rPr>
          <w:rFonts w:ascii="SimSun" w:hAnsi="SimSun" w:eastAsia="SimSun" w:cs="SimSun"/>
          <w:sz w:val="21"/>
          <w:szCs w:val="21"/>
          <w:spacing w:val="2"/>
        </w:rPr>
        <w:t>亿元,</w:t>
      </w:r>
      <w:r>
        <w:rPr>
          <w:rFonts w:ascii="SimSun" w:hAnsi="SimSun" w:eastAsia="SimSun" w:cs="SimSun"/>
          <w:sz w:val="21"/>
          <w:szCs w:val="21"/>
          <w:spacing w:val="50"/>
        </w:rPr>
        <w:t xml:space="preserve"> </w:t>
      </w:r>
      <w:r>
        <w:rPr>
          <w:rFonts w:ascii="SimSun" w:hAnsi="SimSun" w:eastAsia="SimSun" w:cs="SimSun"/>
          <w:sz w:val="21"/>
          <w:szCs w:val="21"/>
          <w:spacing w:val="2"/>
        </w:rPr>
        <w:t>同比减少</w:t>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2"/>
        </w:rPr>
        <w:t>63.83 </w:t>
      </w:r>
      <w:r>
        <w:rPr>
          <w:rFonts w:ascii="SimSun" w:hAnsi="SimSun" w:eastAsia="SimSun" w:cs="SimSun"/>
          <w:sz w:val="21"/>
          <w:szCs w:val="21"/>
          <w:spacing w:val="2"/>
        </w:rPr>
        <w:t>亿元,降幅</w:t>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2"/>
        </w:rPr>
        <w:t>9.29%</w:t>
      </w:r>
      <w:r>
        <w:rPr>
          <w:rFonts w:ascii="SimSun" w:hAnsi="SimSun" w:eastAsia="SimSun" w:cs="SimSun"/>
          <w:sz w:val="21"/>
          <w:szCs w:val="21"/>
          <w:spacing w:val="2"/>
        </w:rPr>
        <w:t>,其中贷款信用减值</w:t>
      </w:r>
      <w:r>
        <w:rPr>
          <w:rFonts w:ascii="SimSun" w:hAnsi="SimSun" w:eastAsia="SimSun" w:cs="SimSun"/>
          <w:sz w:val="21"/>
          <w:szCs w:val="21"/>
        </w:rPr>
        <w:t xml:space="preserve"> </w:t>
      </w:r>
      <w:r>
        <w:rPr>
          <w:rFonts w:ascii="SimSun" w:hAnsi="SimSun" w:eastAsia="SimSun" w:cs="SimSun"/>
          <w:sz w:val="21"/>
          <w:szCs w:val="21"/>
        </w:rPr>
        <w:t>损失</w:t>
      </w:r>
      <w:r>
        <w:rPr>
          <w:rFonts w:ascii="SimSun" w:hAnsi="SimSun" w:eastAsia="SimSun" w:cs="SimSun"/>
          <w:sz w:val="21"/>
          <w:szCs w:val="21"/>
          <w:spacing w:val="-27"/>
        </w:rPr>
        <w:t xml:space="preserve"> </w:t>
      </w:r>
      <w:r>
        <w:rPr>
          <w:rFonts w:ascii="Times New Roman" w:hAnsi="Times New Roman" w:eastAsia="Times New Roman" w:cs="Times New Roman"/>
          <w:sz w:val="21"/>
          <w:szCs w:val="21"/>
        </w:rPr>
        <w:t>581.02 </w:t>
      </w:r>
      <w:r>
        <w:rPr>
          <w:rFonts w:ascii="SimSun" w:hAnsi="SimSun" w:eastAsia="SimSun" w:cs="SimSun"/>
          <w:sz w:val="21"/>
          <w:szCs w:val="21"/>
        </w:rPr>
        <w:t>亿元,同比减少</w:t>
      </w:r>
      <w:r>
        <w:rPr>
          <w:rFonts w:ascii="SimSun" w:hAnsi="SimSun" w:eastAsia="SimSun" w:cs="SimSun"/>
          <w:sz w:val="21"/>
          <w:szCs w:val="21"/>
          <w:spacing w:val="-46"/>
        </w:rPr>
        <w:t xml:space="preserve"> </w:t>
      </w:r>
      <w:r>
        <w:rPr>
          <w:rFonts w:ascii="Times New Roman" w:hAnsi="Times New Roman" w:eastAsia="Times New Roman" w:cs="Times New Roman"/>
          <w:sz w:val="21"/>
          <w:szCs w:val="21"/>
        </w:rPr>
        <w:t>48.43 </w:t>
      </w:r>
      <w:r>
        <w:rPr>
          <w:rFonts w:ascii="SimSun" w:hAnsi="SimSun" w:eastAsia="SimSun" w:cs="SimSun"/>
          <w:sz w:val="21"/>
          <w:szCs w:val="21"/>
        </w:rPr>
        <w:t>亿元,</w:t>
      </w:r>
      <w:r>
        <w:rPr>
          <w:rFonts w:ascii="SimSun" w:hAnsi="SimSun" w:eastAsia="SimSun" w:cs="SimSun"/>
          <w:sz w:val="21"/>
          <w:szCs w:val="21"/>
          <w:spacing w:val="45"/>
        </w:rPr>
        <w:t xml:space="preserve"> </w:t>
      </w:r>
      <w:r>
        <w:rPr>
          <w:rFonts w:ascii="SimSun" w:hAnsi="SimSun" w:eastAsia="SimSun" w:cs="SimSun"/>
          <w:sz w:val="21"/>
          <w:szCs w:val="21"/>
        </w:rPr>
        <w:t>降幅</w:t>
      </w:r>
      <w:r>
        <w:rPr>
          <w:rFonts w:ascii="SimSun" w:hAnsi="SimSun" w:eastAsia="SimSun" w:cs="SimSun"/>
          <w:sz w:val="21"/>
          <w:szCs w:val="21"/>
          <w:spacing w:val="-42"/>
        </w:rPr>
        <w:t xml:space="preserve"> </w:t>
      </w:r>
      <w:r>
        <w:rPr>
          <w:rFonts w:ascii="Times New Roman" w:hAnsi="Times New Roman" w:eastAsia="Times New Roman" w:cs="Times New Roman"/>
          <w:sz w:val="21"/>
          <w:szCs w:val="21"/>
        </w:rPr>
        <w:t>7.69%</w:t>
      </w:r>
      <w:r>
        <w:rPr>
          <w:rFonts w:ascii="Times New Roman" w:hAnsi="Times New Roman" w:eastAsia="Times New Roman" w:cs="Times New Roman"/>
          <w:sz w:val="21"/>
          <w:szCs w:val="21"/>
          <w:spacing w:val="-27"/>
        </w:rPr>
        <w:t xml:space="preserve"> </w:t>
      </w:r>
      <w:r>
        <w:rPr>
          <w:rFonts w:ascii="SimSun" w:hAnsi="SimSun" w:eastAsia="SimSun" w:cs="SimSun"/>
          <w:sz w:val="21"/>
          <w:szCs w:val="21"/>
        </w:rPr>
        <w:t>。本集团持续按照《中国银保监会关于印发商业银行 </w:t>
      </w:r>
      <w:r>
        <w:rPr>
          <w:rFonts w:ascii="SimSun" w:hAnsi="SimSun" w:eastAsia="SimSun" w:cs="SimSun"/>
          <w:sz w:val="21"/>
          <w:szCs w:val="21"/>
          <w:spacing w:val="3"/>
        </w:rPr>
        <w:t>预期信用损失法实施管理办法的通知》(银保监规</w:t>
      </w:r>
      <w:r>
        <w:rPr>
          <w:rFonts w:ascii="SimSun" w:hAnsi="SimSun" w:eastAsia="SimSun" w:cs="SimSun"/>
          <w:sz w:val="21"/>
          <w:szCs w:val="21"/>
          <w:spacing w:val="43"/>
        </w:rPr>
        <w:t xml:space="preserve"> </w:t>
      </w:r>
      <w:r>
        <w:rPr>
          <w:rFonts w:ascii="SimSun" w:hAnsi="SimSun" w:eastAsia="SimSun" w:cs="SimSun"/>
          <w:sz w:val="21"/>
          <w:szCs w:val="21"/>
          <w:spacing w:val="3"/>
        </w:rPr>
        <w:t>(</w:t>
      </w:r>
      <w:r>
        <w:rPr>
          <w:rFonts w:ascii="Times New Roman" w:hAnsi="Times New Roman" w:eastAsia="Times New Roman" w:cs="Times New Roman"/>
          <w:sz w:val="21"/>
          <w:szCs w:val="21"/>
          <w:spacing w:val="3"/>
        </w:rPr>
        <w:t>2022</w:t>
      </w:r>
      <w:r>
        <w:rPr>
          <w:rFonts w:ascii="SimSun" w:hAnsi="SimSun" w:eastAsia="SimSun" w:cs="SimSun"/>
          <w:sz w:val="21"/>
          <w:szCs w:val="21"/>
          <w:spacing w:val="3"/>
        </w:rPr>
        <w:t>〕</w:t>
      </w:r>
      <w:r>
        <w:rPr>
          <w:rFonts w:ascii="Times New Roman" w:hAnsi="Times New Roman" w:eastAsia="Times New Roman" w:cs="Times New Roman"/>
          <w:sz w:val="21"/>
          <w:szCs w:val="21"/>
          <w:spacing w:val="3"/>
        </w:rPr>
        <w:t>10</w:t>
      </w:r>
      <w:r>
        <w:rPr>
          <w:rFonts w:ascii="Times New Roman" w:hAnsi="Times New Roman" w:eastAsia="Times New Roman" w:cs="Times New Roman"/>
          <w:sz w:val="21"/>
          <w:szCs w:val="21"/>
          <w:spacing w:val="43"/>
        </w:rPr>
        <w:t xml:space="preserve"> </w:t>
      </w:r>
      <w:r>
        <w:rPr>
          <w:rFonts w:ascii="SimSun" w:hAnsi="SimSun" w:eastAsia="SimSun" w:cs="SimSun"/>
          <w:sz w:val="21"/>
          <w:szCs w:val="21"/>
          <w:spacing w:val="3"/>
        </w:rPr>
        <w:t>号) 要求,采用预期信用损失法,及时更新</w:t>
      </w:r>
      <w:r>
        <w:rPr>
          <w:rFonts w:ascii="SimSun" w:hAnsi="SimSun" w:eastAsia="SimSun" w:cs="SimSun"/>
          <w:sz w:val="21"/>
          <w:szCs w:val="21"/>
        </w:rPr>
        <w:t xml:space="preserve"> </w:t>
      </w:r>
      <w:r>
        <w:rPr>
          <w:rFonts w:ascii="SimSun" w:hAnsi="SimSun" w:eastAsia="SimSun" w:cs="SimSun"/>
          <w:sz w:val="21"/>
          <w:szCs w:val="21"/>
        </w:rPr>
        <w:t>减值模型各项参数以反映外部环境变化对资产信用风</w:t>
      </w:r>
      <w:r>
        <w:rPr>
          <w:rFonts w:ascii="SimSun" w:hAnsi="SimSun" w:eastAsia="SimSun" w:cs="SimSun"/>
          <w:sz w:val="21"/>
          <w:szCs w:val="21"/>
          <w:spacing w:val="-1"/>
        </w:rPr>
        <w:t>险的影响。同时, 近年本集团资产质量持续好转, 合</w:t>
      </w:r>
      <w:r>
        <w:rPr>
          <w:rFonts w:ascii="SimSun" w:hAnsi="SimSun" w:eastAsia="SimSun" w:cs="SimSun"/>
          <w:sz w:val="21"/>
          <w:szCs w:val="21"/>
        </w:rPr>
        <w:t xml:space="preserve"> </w:t>
      </w:r>
      <w:r>
        <w:rPr>
          <w:rFonts w:ascii="SimSun" w:hAnsi="SimSun" w:eastAsia="SimSun" w:cs="SimSun"/>
          <w:sz w:val="21"/>
          <w:szCs w:val="21"/>
          <w:spacing w:val="3"/>
        </w:rPr>
        <w:t>理足额计提资产减值准备能够充分覆盖风险预期损</w:t>
      </w:r>
      <w:r>
        <w:rPr>
          <w:rFonts w:ascii="SimSun" w:hAnsi="SimSun" w:eastAsia="SimSun" w:cs="SimSun"/>
          <w:sz w:val="21"/>
          <w:szCs w:val="21"/>
          <w:spacing w:val="2"/>
        </w:rPr>
        <w:t>失,具有充分的风险抵御和损失吸收能力。</w:t>
      </w:r>
    </w:p>
    <w:p>
      <w:pPr>
        <w:pStyle w:val="BodyText"/>
        <w:spacing w:line="243" w:lineRule="auto"/>
        <w:rPr/>
      </w:pPr>
      <w:r/>
    </w:p>
    <w:p>
      <w:pPr>
        <w:ind w:left="445"/>
        <w:spacing w:before="69"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3"/>
        </w:rPr>
        <w:t>6.</w:t>
      </w:r>
      <w:r>
        <w:rPr>
          <w:rFonts w:ascii="SimSun" w:hAnsi="SimSun" w:eastAsia="SimSun" w:cs="SimSun"/>
          <w:sz w:val="21"/>
          <w:szCs w:val="21"/>
          <w:b/>
          <w:bCs/>
          <w:spacing w:val="-3"/>
        </w:rPr>
        <w:t>所得税</w:t>
      </w:r>
    </w:p>
    <w:p>
      <w:pPr>
        <w:ind w:left="21" w:right="130" w:firstLine="419"/>
        <w:spacing w:before="308" w:line="267" w:lineRule="auto"/>
        <w:rPr>
          <w:rFonts w:ascii="SimSun" w:hAnsi="SimSun" w:eastAsia="SimSun" w:cs="SimSun"/>
          <w:sz w:val="21"/>
          <w:szCs w:val="21"/>
        </w:rPr>
      </w:pPr>
      <w:r>
        <w:rPr>
          <w:rFonts w:ascii="SimSun" w:hAnsi="SimSun" w:eastAsia="SimSun" w:cs="SimSun"/>
          <w:sz w:val="21"/>
          <w:szCs w:val="21"/>
          <w:spacing w:val="-2"/>
        </w:rPr>
        <w:t>报告期内,</w:t>
      </w:r>
      <w:r>
        <w:rPr>
          <w:rFonts w:ascii="SimSun" w:hAnsi="SimSun" w:eastAsia="SimSun" w:cs="SimSun"/>
          <w:sz w:val="21"/>
          <w:szCs w:val="21"/>
          <w:spacing w:val="46"/>
        </w:rPr>
        <w:t xml:space="preserve"> </w:t>
      </w:r>
      <w:r>
        <w:rPr>
          <w:rFonts w:ascii="SimSun" w:hAnsi="SimSun" w:eastAsia="SimSun" w:cs="SimSun"/>
          <w:sz w:val="21"/>
          <w:szCs w:val="21"/>
          <w:spacing w:val="-2"/>
        </w:rPr>
        <w:t>本集团所得税支出</w:t>
      </w:r>
      <w:r>
        <w:rPr>
          <w:rFonts w:ascii="SimSun" w:hAnsi="SimSun" w:eastAsia="SimSun" w:cs="SimSun"/>
          <w:sz w:val="21"/>
          <w:szCs w:val="21"/>
          <w:spacing w:val="-33"/>
        </w:rPr>
        <w:t xml:space="preserve"> </w:t>
      </w:r>
      <w:r>
        <w:rPr>
          <w:rFonts w:ascii="Times New Roman" w:hAnsi="Times New Roman" w:eastAsia="Times New Roman" w:cs="Times New Roman"/>
          <w:sz w:val="21"/>
          <w:szCs w:val="21"/>
          <w:spacing w:val="-2"/>
        </w:rPr>
        <w:t>61.85</w:t>
      </w:r>
      <w:r>
        <w:rPr>
          <w:rFonts w:ascii="Times New Roman" w:hAnsi="Times New Roman" w:eastAsia="Times New Roman" w:cs="Times New Roman"/>
          <w:sz w:val="21"/>
          <w:szCs w:val="21"/>
          <w:spacing w:val="19"/>
          <w:w w:val="101"/>
        </w:rPr>
        <w:t xml:space="preserve"> </w:t>
      </w:r>
      <w:r>
        <w:rPr>
          <w:rFonts w:ascii="SimSun" w:hAnsi="SimSun" w:eastAsia="SimSun" w:cs="SimSun"/>
          <w:sz w:val="21"/>
          <w:szCs w:val="21"/>
          <w:spacing w:val="-2"/>
        </w:rPr>
        <w:t>亿元,</w:t>
      </w:r>
      <w:r>
        <w:rPr>
          <w:rFonts w:ascii="SimSun" w:hAnsi="SimSun" w:eastAsia="SimSun" w:cs="SimSun"/>
          <w:sz w:val="21"/>
          <w:szCs w:val="21"/>
          <w:spacing w:val="49"/>
        </w:rPr>
        <w:t xml:space="preserve"> </w:t>
      </w:r>
      <w:r>
        <w:rPr>
          <w:rFonts w:ascii="SimSun" w:hAnsi="SimSun" w:eastAsia="SimSun" w:cs="SimSun"/>
          <w:sz w:val="21"/>
          <w:szCs w:val="21"/>
          <w:spacing w:val="-2"/>
        </w:rPr>
        <w:t>同比增加 </w:t>
      </w:r>
      <w:r>
        <w:rPr>
          <w:rFonts w:ascii="Times New Roman" w:hAnsi="Times New Roman" w:eastAsia="Times New Roman" w:cs="Times New Roman"/>
          <w:sz w:val="21"/>
          <w:szCs w:val="21"/>
          <w:spacing w:val="-2"/>
        </w:rPr>
        <w:t>11.65</w:t>
      </w:r>
      <w:r>
        <w:rPr>
          <w:rFonts w:ascii="Times New Roman" w:hAnsi="Times New Roman" w:eastAsia="Times New Roman" w:cs="Times New Roman"/>
          <w:sz w:val="21"/>
          <w:szCs w:val="21"/>
          <w:spacing w:val="17"/>
        </w:rPr>
        <w:t xml:space="preserve"> </w:t>
      </w:r>
      <w:r>
        <w:rPr>
          <w:rFonts w:ascii="SimSun" w:hAnsi="SimSun" w:eastAsia="SimSun" w:cs="SimSun"/>
          <w:sz w:val="21"/>
          <w:szCs w:val="21"/>
          <w:spacing w:val="-2"/>
        </w:rPr>
        <w:t>亿元,增幅</w:t>
      </w:r>
      <w:r>
        <w:rPr>
          <w:rFonts w:ascii="SimSun" w:hAnsi="SimSun" w:eastAsia="SimSun" w:cs="SimSun"/>
          <w:sz w:val="21"/>
          <w:szCs w:val="21"/>
          <w:spacing w:val="-39"/>
        </w:rPr>
        <w:t xml:space="preserve"> </w:t>
      </w:r>
      <w:r>
        <w:rPr>
          <w:rFonts w:ascii="Times New Roman" w:hAnsi="Times New Roman" w:eastAsia="Times New Roman" w:cs="Times New Roman"/>
          <w:sz w:val="21"/>
          <w:szCs w:val="21"/>
          <w:spacing w:val="-2"/>
        </w:rPr>
        <w:t>23.21%</w:t>
      </w:r>
      <w:r>
        <w:rPr>
          <w:rFonts w:ascii="SimSun" w:hAnsi="SimSun" w:eastAsia="SimSun" w:cs="SimSun"/>
          <w:sz w:val="21"/>
          <w:szCs w:val="21"/>
          <w:spacing w:val="-2"/>
        </w:rPr>
        <w:t>。实际税率为</w:t>
      </w:r>
      <w:r>
        <w:rPr>
          <w:rFonts w:ascii="SimSun" w:hAnsi="SimSun" w:eastAsia="SimSun" w:cs="SimSun"/>
          <w:sz w:val="21"/>
          <w:szCs w:val="21"/>
          <w:spacing w:val="-35"/>
        </w:rPr>
        <w:t xml:space="preserve"> </w:t>
      </w:r>
      <w:r>
        <w:rPr>
          <w:rFonts w:ascii="Times New Roman" w:hAnsi="Times New Roman" w:eastAsia="Times New Roman" w:cs="Times New Roman"/>
          <w:sz w:val="21"/>
          <w:szCs w:val="21"/>
          <w:spacing w:val="-2"/>
        </w:rPr>
        <w:t>6.30%</w:t>
      </w:r>
      <w:r>
        <w:rPr>
          <w:rFonts w:ascii="SimSun" w:hAnsi="SimSun" w:eastAsia="SimSun" w:cs="SimSun"/>
          <w:sz w:val="21"/>
          <w:szCs w:val="21"/>
          <w:spacing w:val="-2"/>
        </w:rPr>
        <w:t>,</w:t>
      </w:r>
      <w:r>
        <w:rPr>
          <w:rFonts w:ascii="SimSun" w:hAnsi="SimSun" w:eastAsia="SimSun" w:cs="SimSun"/>
          <w:sz w:val="21"/>
          <w:szCs w:val="21"/>
        </w:rPr>
        <w:t xml:space="preserve"> </w:t>
      </w:r>
      <w:r>
        <w:rPr>
          <w:rFonts w:ascii="SimSun" w:hAnsi="SimSun" w:eastAsia="SimSun" w:cs="SimSun"/>
          <w:sz w:val="21"/>
          <w:szCs w:val="21"/>
          <w:spacing w:val="2"/>
        </w:rPr>
        <w:t>低于</w:t>
      </w:r>
      <w:r>
        <w:rPr>
          <w:rFonts w:ascii="SimSun" w:hAnsi="SimSun" w:eastAsia="SimSun" w:cs="SimSun"/>
          <w:sz w:val="21"/>
          <w:szCs w:val="21"/>
          <w:spacing w:val="-36"/>
        </w:rPr>
        <w:t xml:space="preserve"> </w:t>
      </w:r>
      <w:r>
        <w:rPr>
          <w:rFonts w:ascii="Times New Roman" w:hAnsi="Times New Roman" w:eastAsia="Times New Roman" w:cs="Times New Roman"/>
          <w:sz w:val="21"/>
          <w:szCs w:val="21"/>
          <w:spacing w:val="2"/>
        </w:rPr>
        <w:t>25%</w:t>
      </w:r>
      <w:r>
        <w:rPr>
          <w:rFonts w:ascii="SimSun" w:hAnsi="SimSun" w:eastAsia="SimSun" w:cs="SimSun"/>
          <w:sz w:val="21"/>
          <w:szCs w:val="21"/>
          <w:spacing w:val="2"/>
        </w:rPr>
        <w:t>的法定税率,主要是由于本集团持有的国债和地方债等利息收入按税法规定为免税收益。</w:t>
      </w:r>
    </w:p>
    <w:p>
      <w:pPr>
        <w:pStyle w:val="BodyText"/>
        <w:rPr/>
      </w:pPr>
      <w:r/>
    </w:p>
    <w:p>
      <w:pPr>
        <w:ind w:left="556"/>
        <w:spacing w:before="70" w:line="561" w:lineRule="exact"/>
        <w:rPr>
          <w:rFonts w:ascii="SimSun" w:hAnsi="SimSun" w:eastAsia="SimSun" w:cs="SimSun"/>
          <w:sz w:val="21"/>
          <w:szCs w:val="21"/>
        </w:rPr>
      </w:pPr>
      <w:r>
        <w:rPr>
          <w:rFonts w:ascii="SimSun" w:hAnsi="SimSun" w:eastAsia="SimSun" w:cs="SimSun"/>
          <w:sz w:val="21"/>
          <w:szCs w:val="21"/>
          <w:b/>
          <w:bCs/>
          <w:spacing w:val="5"/>
          <w:position w:val="27"/>
        </w:rPr>
        <w:t>(二)资产负债表主要项目分析</w:t>
      </w:r>
    </w:p>
    <w:p>
      <w:pPr>
        <w:ind w:left="451"/>
        <w:spacing w:line="221" w:lineRule="auto"/>
        <w:rPr>
          <w:rFonts w:ascii="SimSun" w:hAnsi="SimSun" w:eastAsia="SimSun" w:cs="SimSun"/>
          <w:sz w:val="21"/>
          <w:szCs w:val="21"/>
        </w:rPr>
      </w:pPr>
      <w:r>
        <w:rPr>
          <w:rFonts w:ascii="Times New Roman" w:hAnsi="Times New Roman" w:eastAsia="Times New Roman" w:cs="Times New Roman"/>
          <w:sz w:val="21"/>
          <w:szCs w:val="21"/>
          <w:b/>
          <w:bCs/>
          <w:spacing w:val="-5"/>
        </w:rPr>
        <w:t>1.</w:t>
      </w:r>
      <w:r>
        <w:rPr>
          <w:rFonts w:ascii="SimSun" w:hAnsi="SimSun" w:eastAsia="SimSun" w:cs="SimSun"/>
          <w:sz w:val="21"/>
          <w:szCs w:val="21"/>
          <w:b/>
          <w:bCs/>
          <w:spacing w:val="-5"/>
        </w:rPr>
        <w:t>资产</w:t>
      </w:r>
    </w:p>
    <w:p>
      <w:pPr>
        <w:spacing w:before="309" w:line="213" w:lineRule="auto"/>
        <w:jc w:val="right"/>
        <w:rPr>
          <w:rFonts w:ascii="SimSun" w:hAnsi="SimSun" w:eastAsia="SimSun" w:cs="SimSun"/>
          <w:sz w:val="21"/>
          <w:szCs w:val="21"/>
        </w:rPr>
      </w:pPr>
      <w:r>
        <w:rPr>
          <w:rFonts w:ascii="SimSun" w:hAnsi="SimSun" w:eastAsia="SimSun" w:cs="SimSun"/>
          <w:sz w:val="21"/>
          <w:szCs w:val="21"/>
          <w:spacing w:val="-2"/>
        </w:rPr>
        <w:t>报告期末,</w:t>
      </w:r>
      <w:r>
        <w:rPr>
          <w:rFonts w:ascii="SimSun" w:hAnsi="SimSun" w:eastAsia="SimSun" w:cs="SimSun"/>
          <w:sz w:val="21"/>
          <w:szCs w:val="21"/>
          <w:spacing w:val="47"/>
        </w:rPr>
        <w:t xml:space="preserve"> </w:t>
      </w:r>
      <w:r>
        <w:rPr>
          <w:rFonts w:ascii="SimSun" w:hAnsi="SimSun" w:eastAsia="SimSun" w:cs="SimSun"/>
          <w:sz w:val="21"/>
          <w:szCs w:val="21"/>
          <w:spacing w:val="-2"/>
        </w:rPr>
        <w:t>本集团资产总额</w:t>
      </w:r>
      <w:r>
        <w:rPr>
          <w:rFonts w:ascii="SimSun" w:hAnsi="SimSun" w:eastAsia="SimSun" w:cs="SimSun"/>
          <w:sz w:val="21"/>
          <w:szCs w:val="21"/>
          <w:spacing w:val="-22"/>
        </w:rPr>
        <w:t xml:space="preserve"> </w:t>
      </w:r>
      <w:r>
        <w:rPr>
          <w:rFonts w:ascii="Times New Roman" w:hAnsi="Times New Roman" w:eastAsia="Times New Roman" w:cs="Times New Roman"/>
          <w:sz w:val="21"/>
          <w:szCs w:val="21"/>
          <w:spacing w:val="-2"/>
        </w:rPr>
        <w:t>129,924.</w:t>
      </w:r>
      <w:r>
        <w:rPr>
          <w:rFonts w:ascii="Times New Roman" w:hAnsi="Times New Roman" w:eastAsia="Times New Roman" w:cs="Times New Roman"/>
          <w:sz w:val="21"/>
          <w:szCs w:val="21"/>
          <w:spacing w:val="-28"/>
        </w:rPr>
        <w:t xml:space="preserve"> </w:t>
      </w:r>
      <w:r>
        <w:rPr>
          <w:rFonts w:ascii="Times New Roman" w:hAnsi="Times New Roman" w:eastAsia="Times New Roman" w:cs="Times New Roman"/>
          <w:sz w:val="21"/>
          <w:szCs w:val="21"/>
          <w:spacing w:val="-2"/>
        </w:rPr>
        <w:t>19 </w:t>
      </w:r>
      <w:r>
        <w:rPr>
          <w:rFonts w:ascii="SimSun" w:hAnsi="SimSun" w:eastAsia="SimSun" w:cs="SimSun"/>
          <w:sz w:val="21"/>
          <w:szCs w:val="21"/>
          <w:spacing w:val="-2"/>
        </w:rPr>
        <w:t>亿元,较上年末增加</w:t>
      </w:r>
      <w:r>
        <w:rPr>
          <w:rFonts w:ascii="SimSun" w:hAnsi="SimSun" w:eastAsia="SimSun" w:cs="SimSun"/>
          <w:sz w:val="21"/>
          <w:szCs w:val="21"/>
          <w:spacing w:val="-25"/>
        </w:rPr>
        <w:t xml:space="preserve"> </w:t>
      </w:r>
      <w:r>
        <w:rPr>
          <w:rFonts w:ascii="Times New Roman" w:hAnsi="Times New Roman" w:eastAsia="Times New Roman" w:cs="Times New Roman"/>
          <w:sz w:val="21"/>
          <w:szCs w:val="21"/>
          <w:spacing w:val="-2"/>
        </w:rPr>
        <w:t>13,266.62</w:t>
      </w:r>
      <w:r>
        <w:rPr>
          <w:rFonts w:ascii="Times New Roman" w:hAnsi="Times New Roman" w:eastAsia="Times New Roman" w:cs="Times New Roman"/>
          <w:sz w:val="21"/>
          <w:szCs w:val="21"/>
          <w:spacing w:val="14"/>
          <w:w w:val="101"/>
        </w:rPr>
        <w:t xml:space="preserve"> </w:t>
      </w:r>
      <w:r>
        <w:rPr>
          <w:rFonts w:ascii="SimSun" w:hAnsi="SimSun" w:eastAsia="SimSun" w:cs="SimSun"/>
          <w:sz w:val="21"/>
          <w:szCs w:val="21"/>
          <w:spacing w:val="-2"/>
        </w:rPr>
        <w:t>亿元,</w:t>
      </w:r>
      <w:r>
        <w:rPr>
          <w:rFonts w:ascii="SimSun" w:hAnsi="SimSun" w:eastAsia="SimSun" w:cs="SimSun"/>
          <w:sz w:val="21"/>
          <w:szCs w:val="21"/>
          <w:spacing w:val="29"/>
        </w:rPr>
        <w:t xml:space="preserve"> </w:t>
      </w:r>
      <w:r>
        <w:rPr>
          <w:rFonts w:ascii="SimSun" w:hAnsi="SimSun" w:eastAsia="SimSun" w:cs="SimSun"/>
          <w:sz w:val="21"/>
          <w:szCs w:val="21"/>
          <w:spacing w:val="-2"/>
        </w:rPr>
        <w:t>增幅</w:t>
      </w:r>
      <w:r>
        <w:rPr>
          <w:rFonts w:ascii="SimSun" w:hAnsi="SimSun" w:eastAsia="SimSun" w:cs="SimSun"/>
          <w:sz w:val="21"/>
          <w:szCs w:val="21"/>
          <w:spacing w:val="-24"/>
        </w:rPr>
        <w:t xml:space="preserve"> </w:t>
      </w:r>
      <w:r>
        <w:rPr>
          <w:rFonts w:ascii="Times New Roman" w:hAnsi="Times New Roman" w:eastAsia="Times New Roman" w:cs="Times New Roman"/>
          <w:sz w:val="21"/>
          <w:szCs w:val="21"/>
          <w:spacing w:val="-2"/>
        </w:rPr>
        <w:t>11.37%</w:t>
      </w:r>
      <w:r>
        <w:rPr>
          <w:rFonts w:ascii="SimSun" w:hAnsi="SimSun" w:eastAsia="SimSun" w:cs="SimSun"/>
          <w:sz w:val="21"/>
          <w:szCs w:val="21"/>
          <w:spacing w:val="-2"/>
        </w:rPr>
        <w:t>,</w:t>
      </w:r>
      <w:r>
        <w:rPr>
          <w:rFonts w:ascii="SimSun" w:hAnsi="SimSun" w:eastAsia="SimSun" w:cs="SimSun"/>
          <w:sz w:val="21"/>
          <w:szCs w:val="21"/>
          <w:spacing w:val="29"/>
        </w:rPr>
        <w:t xml:space="preserve"> </w:t>
      </w:r>
      <w:r>
        <w:rPr>
          <w:rFonts w:ascii="SimSun" w:hAnsi="SimSun" w:eastAsia="SimSun" w:cs="SimSun"/>
          <w:sz w:val="21"/>
          <w:szCs w:val="21"/>
          <w:spacing w:val="-2"/>
        </w:rPr>
        <w:t>增长主要</w:t>
      </w:r>
    </w:p>
    <w:p>
      <w:pPr>
        <w:spacing w:line="213" w:lineRule="auto"/>
        <w:sectPr>
          <w:footerReference w:type="default" r:id="rId26"/>
          <w:pgSz w:w="11907" w:h="16839"/>
          <w:pgMar w:top="1132" w:right="1128" w:bottom="1375" w:left="1118" w:header="0" w:footer="1211" w:gutter="0"/>
        </w:sectPr>
        <w:rPr>
          <w:rFonts w:ascii="SimSun" w:hAnsi="SimSun" w:eastAsia="SimSun" w:cs="SimSun"/>
          <w:sz w:val="21"/>
          <w:szCs w:val="21"/>
        </w:rPr>
      </w:pPr>
    </w:p>
    <w:p>
      <w:pPr>
        <w:ind w:left="23"/>
        <w:spacing w:before="42" w:line="221" w:lineRule="auto"/>
        <w:rPr>
          <w:rFonts w:ascii="SimSun" w:hAnsi="SimSun" w:eastAsia="SimSun" w:cs="SimSun"/>
          <w:sz w:val="21"/>
          <w:szCs w:val="21"/>
        </w:rPr>
      </w:pPr>
      <w:r>
        <w:rPr>
          <w:rFonts w:ascii="SimSun" w:hAnsi="SimSun" w:eastAsia="SimSun" w:cs="SimSun"/>
          <w:sz w:val="21"/>
          <w:szCs w:val="21"/>
          <w:spacing w:val="-1"/>
        </w:rPr>
        <w:t>来自于发放贷款和垫款及金融投资规模的增长。</w:t>
      </w:r>
    </w:p>
    <w:p>
      <w:pPr>
        <w:pStyle w:val="BodyText"/>
        <w:rPr/>
      </w:pPr>
      <w:r/>
    </w:p>
    <w:p>
      <w:pPr>
        <w:ind w:left="443"/>
        <w:spacing w:before="68" w:line="221" w:lineRule="auto"/>
        <w:rPr>
          <w:rFonts w:ascii="SimSun" w:hAnsi="SimSun" w:eastAsia="SimSun" w:cs="SimSun"/>
          <w:sz w:val="21"/>
          <w:szCs w:val="21"/>
        </w:rPr>
      </w:pPr>
      <w:r>
        <w:rPr>
          <w:rFonts w:ascii="SimSun" w:hAnsi="SimSun" w:eastAsia="SimSun" w:cs="SimSun"/>
          <w:sz w:val="21"/>
          <w:szCs w:val="21"/>
          <w:spacing w:val="2"/>
        </w:rPr>
        <w:t>本集团在所示日期资产总额中主要组成部分的余额(拨备后) 及其占比情况如下:</w:t>
      </w:r>
    </w:p>
    <w:p>
      <w:pPr>
        <w:pStyle w:val="BodyText"/>
        <w:spacing w:line="248" w:lineRule="auto"/>
        <w:rPr/>
      </w:pPr>
      <w:r/>
    </w:p>
    <w:p>
      <w:pPr>
        <w:ind w:right="2"/>
        <w:spacing w:before="59" w:line="250" w:lineRule="exact"/>
        <w:jc w:val="right"/>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position w:val="2"/>
        </w:rPr>
        <w:t>(</w:t>
      </w:r>
      <w:r>
        <w:rPr>
          <w:rFonts w:ascii="SimSun" w:hAnsi="SimSun" w:eastAsia="SimSun" w:cs="SimSun"/>
          <w:sz w:val="18"/>
          <w:szCs w:val="18"/>
          <w:spacing w:val="5"/>
          <w:position w:val="2"/>
        </w:rPr>
        <w:t>除另有标明外,人民币百万元</w:t>
      </w:r>
      <w:r>
        <w:rPr>
          <w:rFonts w:ascii="Times New Roman" w:hAnsi="Times New Roman" w:eastAsia="Times New Roman" w:cs="Times New Roman"/>
          <w:sz w:val="18"/>
          <w:szCs w:val="18"/>
          <w:spacing w:val="5"/>
          <w:position w:val="2"/>
        </w:rPr>
        <w:t>)</w:t>
      </w:r>
    </w:p>
    <w:p>
      <w:pPr>
        <w:spacing w:line="30" w:lineRule="auto"/>
        <w:rPr>
          <w:rFonts w:ascii="Arial"/>
          <w:sz w:val="2"/>
        </w:rPr>
      </w:pPr>
      <w:r>
        <w:rPr>
          <w:rFonts w:ascii="Arial"/>
          <w:sz w:val="2"/>
        </w:rPr>
      </w:r>
    </w:p>
    <w:tbl>
      <w:tblPr>
        <w:tblStyle w:val="TableNormal"/>
        <w:tblW w:w="9654"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826"/>
        <w:gridCol w:w="1558"/>
        <w:gridCol w:w="1356"/>
        <w:gridCol w:w="1888"/>
        <w:gridCol w:w="1026"/>
      </w:tblGrid>
      <w:tr>
        <w:trPr>
          <w:trHeight w:val="383" w:hRule="atLeast"/>
        </w:trPr>
        <w:tc>
          <w:tcPr>
            <w:tcW w:w="3826" w:type="dxa"/>
            <w:vAlign w:val="top"/>
            <w:vMerge w:val="restart"/>
            <w:tcBorders>
              <w:bottom w:val="nil"/>
              <w:top w:val="single" w:color="000000" w:sz="2" w:space="0"/>
            </w:tcBorders>
          </w:tcPr>
          <w:p>
            <w:pPr>
              <w:rPr>
                <w:rFonts w:ascii="Arial"/>
                <w:sz w:val="21"/>
              </w:rPr>
            </w:pPr>
            <w:r/>
          </w:p>
        </w:tc>
        <w:tc>
          <w:tcPr>
            <w:shd w:val="clear" w:fill="DBE5F1"/>
            <w:tcW w:w="2914" w:type="dxa"/>
            <w:vAlign w:val="top"/>
            <w:gridSpan w:val="2"/>
            <w:tcBorders>
              <w:bottom w:val="single" w:color="000000" w:sz="2" w:space="0"/>
              <w:top w:val="single" w:color="000000" w:sz="2" w:space="0"/>
            </w:tcBorders>
          </w:tcPr>
          <w:p>
            <w:pPr>
              <w:pStyle w:val="TableText"/>
              <w:ind w:left="830"/>
              <w:spacing w:before="114" w:line="220" w:lineRule="auto"/>
              <w:rPr>
                <w:sz w:val="18"/>
                <w:szCs w:val="18"/>
              </w:rPr>
            </w:pPr>
            <w:r>
              <w:rPr>
                <w:rFonts w:ascii="Times New Roman" w:hAnsi="Times New Roman" w:eastAsia="Times New Roman" w:cs="Times New Roman"/>
                <w:sz w:val="18"/>
                <w:szCs w:val="18"/>
                <w:b/>
                <w:bCs/>
                <w:spacing w:val="-1"/>
              </w:rPr>
              <w:t>2022</w:t>
            </w:r>
            <w:r>
              <w:rPr>
                <w:sz w:val="18"/>
                <w:szCs w:val="18"/>
                <w:b/>
                <w:bCs/>
                <w:spacing w:val="-1"/>
              </w:rPr>
              <w:t>年</w:t>
            </w:r>
            <w:r>
              <w:rPr>
                <w:rFonts w:ascii="Times New Roman" w:hAnsi="Times New Roman" w:eastAsia="Times New Roman" w:cs="Times New Roman"/>
                <w:sz w:val="18"/>
                <w:szCs w:val="18"/>
                <w:b/>
                <w:bCs/>
                <w:spacing w:val="-1"/>
              </w:rPr>
              <w:t>12</w:t>
            </w:r>
            <w:r>
              <w:rPr>
                <w:sz w:val="18"/>
                <w:szCs w:val="18"/>
                <w:b/>
                <w:bCs/>
                <w:spacing w:val="-1"/>
              </w:rPr>
              <w:t>月</w:t>
            </w:r>
            <w:r>
              <w:rPr>
                <w:rFonts w:ascii="Times New Roman" w:hAnsi="Times New Roman" w:eastAsia="Times New Roman" w:cs="Times New Roman"/>
                <w:sz w:val="18"/>
                <w:szCs w:val="18"/>
                <w:b/>
                <w:bCs/>
                <w:spacing w:val="-1"/>
              </w:rPr>
              <w:t>31</w:t>
            </w:r>
            <w:r>
              <w:rPr>
                <w:sz w:val="18"/>
                <w:szCs w:val="18"/>
                <w:b/>
                <w:bCs/>
                <w:spacing w:val="-1"/>
              </w:rPr>
              <w:t>日</w:t>
            </w:r>
          </w:p>
        </w:tc>
        <w:tc>
          <w:tcPr>
            <w:tcW w:w="2914" w:type="dxa"/>
            <w:vAlign w:val="top"/>
            <w:gridSpan w:val="2"/>
            <w:tcBorders>
              <w:bottom w:val="single" w:color="000000" w:sz="2" w:space="0"/>
              <w:top w:val="single" w:color="000000" w:sz="2" w:space="0"/>
            </w:tcBorders>
          </w:tcPr>
          <w:p>
            <w:pPr>
              <w:pStyle w:val="TableText"/>
              <w:ind w:left="832"/>
              <w:spacing w:before="114" w:line="220" w:lineRule="auto"/>
              <w:rPr>
                <w:sz w:val="18"/>
                <w:szCs w:val="18"/>
              </w:rPr>
            </w:pPr>
            <w:r>
              <w:rPr>
                <w:rFonts w:ascii="Times New Roman" w:hAnsi="Times New Roman" w:eastAsia="Times New Roman" w:cs="Times New Roman"/>
                <w:sz w:val="18"/>
                <w:szCs w:val="18"/>
                <w:spacing w:val="-1"/>
              </w:rPr>
              <w:t>2021</w:t>
            </w:r>
            <w:r>
              <w:rPr>
                <w:sz w:val="18"/>
                <w:szCs w:val="18"/>
                <w:spacing w:val="-1"/>
              </w:rPr>
              <w:t>年</w:t>
            </w:r>
            <w:r>
              <w:rPr>
                <w:rFonts w:ascii="Times New Roman" w:hAnsi="Times New Roman" w:eastAsia="Times New Roman" w:cs="Times New Roman"/>
                <w:sz w:val="18"/>
                <w:szCs w:val="18"/>
                <w:spacing w:val="-1"/>
              </w:rPr>
              <w:t>12</w:t>
            </w:r>
            <w:r>
              <w:rPr>
                <w:sz w:val="18"/>
                <w:szCs w:val="18"/>
                <w:spacing w:val="-1"/>
              </w:rPr>
              <w:t>月</w:t>
            </w:r>
            <w:r>
              <w:rPr>
                <w:rFonts w:ascii="Times New Roman" w:hAnsi="Times New Roman" w:eastAsia="Times New Roman" w:cs="Times New Roman"/>
                <w:sz w:val="18"/>
                <w:szCs w:val="18"/>
                <w:spacing w:val="-1"/>
              </w:rPr>
              <w:t>31</w:t>
            </w:r>
            <w:r>
              <w:rPr>
                <w:sz w:val="18"/>
                <w:szCs w:val="18"/>
                <w:spacing w:val="-1"/>
              </w:rPr>
              <w:t>日</w:t>
            </w:r>
          </w:p>
        </w:tc>
      </w:tr>
      <w:tr>
        <w:trPr>
          <w:trHeight w:val="378" w:hRule="atLeast"/>
        </w:trPr>
        <w:tc>
          <w:tcPr>
            <w:tcW w:w="3826" w:type="dxa"/>
            <w:vAlign w:val="top"/>
            <w:vMerge w:val="continue"/>
            <w:tcBorders>
              <w:bottom w:val="single" w:color="000000" w:sz="2" w:space="0"/>
              <w:top w:val="nil"/>
            </w:tcBorders>
          </w:tcPr>
          <w:p>
            <w:pPr>
              <w:rPr>
                <w:rFonts w:ascii="Arial"/>
                <w:sz w:val="21"/>
              </w:rPr>
            </w:pPr>
            <w:r/>
          </w:p>
        </w:tc>
        <w:tc>
          <w:tcPr>
            <w:shd w:val="clear" w:fill="DBE5F1"/>
            <w:tcW w:w="2914" w:type="dxa"/>
            <w:vAlign w:val="top"/>
            <w:gridSpan w:val="2"/>
            <w:tcBorders>
              <w:bottom w:val="single" w:color="000000" w:sz="2" w:space="0"/>
              <w:top w:val="single" w:color="000000" w:sz="2" w:space="0"/>
            </w:tcBorders>
          </w:tcPr>
          <w:p>
            <w:pPr>
              <w:pStyle w:val="TableText"/>
              <w:ind w:left="1145"/>
              <w:spacing w:before="109" w:line="212" w:lineRule="auto"/>
              <w:rPr>
                <w:rFonts w:ascii="Times New Roman" w:hAnsi="Times New Roman" w:eastAsia="Times New Roman" w:cs="Times New Roman"/>
                <w:sz w:val="18"/>
                <w:szCs w:val="18"/>
              </w:rPr>
            </w:pPr>
            <w:r>
              <w:rPr>
                <w:sz w:val="18"/>
                <w:szCs w:val="18"/>
                <w:b/>
                <w:bCs/>
                <w:spacing w:val="6"/>
              </w:rPr>
              <w:t>余额</w:t>
            </w:r>
            <w:r>
              <w:rPr>
                <w:sz w:val="18"/>
                <w:szCs w:val="18"/>
                <w:spacing w:val="1"/>
              </w:rPr>
              <w:t xml:space="preserve">        </w:t>
            </w:r>
            <w:r>
              <w:rPr>
                <w:sz w:val="18"/>
                <w:szCs w:val="18"/>
                <w:b/>
                <w:bCs/>
                <w:spacing w:val="6"/>
              </w:rPr>
              <w:t>占比</w:t>
            </w:r>
            <w:r>
              <w:rPr>
                <w:rFonts w:ascii="Times New Roman" w:hAnsi="Times New Roman" w:eastAsia="Times New Roman" w:cs="Times New Roman"/>
                <w:sz w:val="18"/>
                <w:szCs w:val="18"/>
                <w:b/>
                <w:bCs/>
                <w:spacing w:val="6"/>
              </w:rPr>
              <w:t>(</w:t>
            </w:r>
            <w:r>
              <w:rPr>
                <w:sz w:val="18"/>
                <w:szCs w:val="18"/>
                <w:b/>
                <w:bCs/>
                <w:spacing w:val="6"/>
              </w:rPr>
              <w:t>%</w:t>
            </w:r>
            <w:r>
              <w:rPr>
                <w:rFonts w:ascii="Times New Roman" w:hAnsi="Times New Roman" w:eastAsia="Times New Roman" w:cs="Times New Roman"/>
                <w:sz w:val="18"/>
                <w:szCs w:val="18"/>
                <w:b/>
                <w:bCs/>
                <w:spacing w:val="6"/>
              </w:rPr>
              <w:t>)</w:t>
            </w:r>
          </w:p>
        </w:tc>
        <w:tc>
          <w:tcPr>
            <w:tcW w:w="2914" w:type="dxa"/>
            <w:vAlign w:val="top"/>
            <w:gridSpan w:val="2"/>
            <w:tcBorders>
              <w:bottom w:val="single" w:color="000000" w:sz="2" w:space="0"/>
              <w:top w:val="single" w:color="000000" w:sz="2" w:space="0"/>
            </w:tcBorders>
          </w:tcPr>
          <w:p>
            <w:pPr>
              <w:pStyle w:val="TableText"/>
              <w:ind w:left="1048"/>
              <w:spacing w:before="83" w:line="250" w:lineRule="exact"/>
              <w:rPr>
                <w:rFonts w:ascii="Times New Roman" w:hAnsi="Times New Roman" w:eastAsia="Times New Roman" w:cs="Times New Roman"/>
                <w:sz w:val="18"/>
                <w:szCs w:val="18"/>
              </w:rPr>
            </w:pPr>
            <w:r>
              <w:rPr>
                <w:sz w:val="18"/>
                <w:szCs w:val="18"/>
                <w:spacing w:val="7"/>
                <w:position w:val="2"/>
              </w:rPr>
              <w:t>余额</w:t>
            </w:r>
            <w:r>
              <w:rPr>
                <w:sz w:val="18"/>
                <w:szCs w:val="18"/>
                <w:spacing w:val="2"/>
                <w:position w:val="2"/>
              </w:rPr>
              <w:t xml:space="preserve">         </w:t>
            </w:r>
            <w:r>
              <w:rPr>
                <w:sz w:val="18"/>
                <w:szCs w:val="18"/>
                <w:spacing w:val="7"/>
                <w:position w:val="2"/>
              </w:rPr>
              <w:t>占比</w:t>
            </w:r>
            <w:r>
              <w:rPr>
                <w:rFonts w:ascii="Times New Roman" w:hAnsi="Times New Roman" w:eastAsia="Times New Roman" w:cs="Times New Roman"/>
                <w:sz w:val="18"/>
                <w:szCs w:val="18"/>
                <w:spacing w:val="7"/>
                <w:position w:val="2"/>
              </w:rPr>
              <w:t>(</w:t>
            </w:r>
            <w:r>
              <w:rPr>
                <w:sz w:val="18"/>
                <w:szCs w:val="18"/>
                <w:spacing w:val="7"/>
                <w:position w:val="2"/>
              </w:rPr>
              <w:t>%</w:t>
            </w:r>
            <w:r>
              <w:rPr>
                <w:rFonts w:ascii="Times New Roman" w:hAnsi="Times New Roman" w:eastAsia="Times New Roman" w:cs="Times New Roman"/>
                <w:sz w:val="18"/>
                <w:szCs w:val="18"/>
                <w:spacing w:val="7"/>
                <w:position w:val="2"/>
              </w:rPr>
              <w:t>)</w:t>
            </w:r>
          </w:p>
        </w:tc>
      </w:tr>
      <w:tr>
        <w:trPr>
          <w:trHeight w:val="378" w:hRule="atLeast"/>
        </w:trPr>
        <w:tc>
          <w:tcPr>
            <w:tcW w:w="3826" w:type="dxa"/>
            <w:vAlign w:val="top"/>
            <w:tcBorders>
              <w:bottom w:val="single" w:color="000000" w:sz="2" w:space="0"/>
              <w:top w:val="single" w:color="000000" w:sz="2" w:space="0"/>
            </w:tcBorders>
          </w:tcPr>
          <w:p>
            <w:pPr>
              <w:pStyle w:val="TableText"/>
              <w:ind w:left="81"/>
              <w:spacing w:before="111" w:line="220" w:lineRule="auto"/>
              <w:rPr>
                <w:sz w:val="18"/>
                <w:szCs w:val="18"/>
              </w:rPr>
            </w:pPr>
            <w:r>
              <w:rPr>
                <w:sz w:val="18"/>
                <w:szCs w:val="18"/>
                <w:spacing w:val="-2"/>
              </w:rPr>
              <w:t>发放贷款和垫款</w:t>
            </w:r>
          </w:p>
        </w:tc>
        <w:tc>
          <w:tcPr>
            <w:shd w:val="clear" w:fill="DBE5F1"/>
            <w:tcW w:w="1558" w:type="dxa"/>
            <w:vAlign w:val="top"/>
            <w:tcBorders>
              <w:bottom w:val="single" w:color="000000" w:sz="2" w:space="0"/>
              <w:top w:val="single" w:color="000000" w:sz="2" w:space="0"/>
            </w:tcBorders>
          </w:tcPr>
          <w:p>
            <w:pPr>
              <w:ind w:left="786"/>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7,136,677</w:t>
            </w:r>
          </w:p>
        </w:tc>
        <w:tc>
          <w:tcPr>
            <w:shd w:val="clear" w:fill="DBE5F1"/>
            <w:tcW w:w="1356" w:type="dxa"/>
            <w:vAlign w:val="top"/>
            <w:tcBorders>
              <w:bottom w:val="single" w:color="000000" w:sz="2" w:space="0"/>
              <w:top w:val="single" w:color="000000" w:sz="2" w:space="0"/>
            </w:tcBorders>
          </w:tcPr>
          <w:p>
            <w:pPr>
              <w:ind w:left="899"/>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54.93</w:t>
            </w:r>
          </w:p>
        </w:tc>
        <w:tc>
          <w:tcPr>
            <w:tcW w:w="1888" w:type="dxa"/>
            <w:vAlign w:val="top"/>
            <w:tcBorders>
              <w:bottom w:val="single" w:color="000000" w:sz="2" w:space="0"/>
              <w:top w:val="single" w:color="000000" w:sz="2" w:space="0"/>
            </w:tcBorders>
          </w:tcPr>
          <w:p>
            <w:pPr>
              <w:ind w:left="687"/>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6,412,201</w:t>
            </w:r>
          </w:p>
        </w:tc>
        <w:tc>
          <w:tcPr>
            <w:tcW w:w="1026" w:type="dxa"/>
            <w:vAlign w:val="top"/>
            <w:tcBorders>
              <w:bottom w:val="single" w:color="000000" w:sz="2" w:space="0"/>
              <w:top w:val="single" w:color="000000" w:sz="2" w:space="0"/>
            </w:tcBorders>
          </w:tcPr>
          <w:p>
            <w:pPr>
              <w:ind w:left="574"/>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54.97</w:t>
            </w:r>
          </w:p>
        </w:tc>
      </w:tr>
      <w:tr>
        <w:trPr>
          <w:trHeight w:val="378" w:hRule="atLeast"/>
        </w:trPr>
        <w:tc>
          <w:tcPr>
            <w:tcW w:w="3826" w:type="dxa"/>
            <w:vAlign w:val="top"/>
            <w:tcBorders>
              <w:bottom w:val="single" w:color="000000" w:sz="2" w:space="0"/>
              <w:top w:val="single" w:color="000000" w:sz="2" w:space="0"/>
            </w:tcBorders>
          </w:tcPr>
          <w:p>
            <w:pPr>
              <w:pStyle w:val="TableText"/>
              <w:ind w:left="80"/>
              <w:spacing w:before="111" w:line="221" w:lineRule="auto"/>
              <w:rPr>
                <w:sz w:val="18"/>
                <w:szCs w:val="18"/>
              </w:rPr>
            </w:pPr>
            <w:r>
              <w:rPr>
                <w:sz w:val="18"/>
                <w:szCs w:val="18"/>
                <w:spacing w:val="-2"/>
              </w:rPr>
              <w:t>金融投资</w:t>
            </w:r>
          </w:p>
        </w:tc>
        <w:tc>
          <w:tcPr>
            <w:shd w:val="clear" w:fill="DBE5F1"/>
            <w:tcW w:w="1558" w:type="dxa"/>
            <w:vAlign w:val="top"/>
            <w:tcBorders>
              <w:bottom w:val="single" w:color="000000" w:sz="2" w:space="0"/>
              <w:top w:val="single" w:color="000000" w:sz="2" w:space="0"/>
            </w:tcBorders>
          </w:tcPr>
          <w:p>
            <w:pPr>
              <w:ind w:left="783"/>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3,955,207</w:t>
            </w:r>
          </w:p>
        </w:tc>
        <w:tc>
          <w:tcPr>
            <w:shd w:val="clear" w:fill="DBE5F1"/>
            <w:tcW w:w="1356" w:type="dxa"/>
            <w:vAlign w:val="top"/>
            <w:tcBorders>
              <w:bottom w:val="single" w:color="000000" w:sz="2" w:space="0"/>
              <w:top w:val="single" w:color="000000" w:sz="2" w:space="0"/>
            </w:tcBorders>
          </w:tcPr>
          <w:p>
            <w:pPr>
              <w:ind w:left="896"/>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30.44</w:t>
            </w:r>
          </w:p>
        </w:tc>
        <w:tc>
          <w:tcPr>
            <w:tcW w:w="1888" w:type="dxa"/>
            <w:vAlign w:val="top"/>
            <w:tcBorders>
              <w:bottom w:val="single" w:color="000000" w:sz="2" w:space="0"/>
              <w:top w:val="single" w:color="000000" w:sz="2" w:space="0"/>
            </w:tcBorders>
          </w:tcPr>
          <w:p>
            <w:pPr>
              <w:ind w:left="687"/>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3,523,249</w:t>
            </w:r>
          </w:p>
        </w:tc>
        <w:tc>
          <w:tcPr>
            <w:tcW w:w="1026" w:type="dxa"/>
            <w:vAlign w:val="top"/>
            <w:tcBorders>
              <w:bottom w:val="single" w:color="000000" w:sz="2" w:space="0"/>
              <w:top w:val="single" w:color="000000" w:sz="2" w:space="0"/>
            </w:tcBorders>
          </w:tcPr>
          <w:p>
            <w:pPr>
              <w:ind w:left="573"/>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30.20</w:t>
            </w:r>
          </w:p>
        </w:tc>
      </w:tr>
      <w:tr>
        <w:trPr>
          <w:trHeight w:val="379" w:hRule="atLeast"/>
        </w:trPr>
        <w:tc>
          <w:tcPr>
            <w:tcW w:w="3826" w:type="dxa"/>
            <w:vAlign w:val="top"/>
            <w:tcBorders>
              <w:bottom w:val="single" w:color="000000" w:sz="2" w:space="0"/>
              <w:top w:val="single" w:color="000000" w:sz="2" w:space="0"/>
            </w:tcBorders>
          </w:tcPr>
          <w:p>
            <w:pPr>
              <w:pStyle w:val="TableText"/>
              <w:ind w:left="80"/>
              <w:spacing w:before="113" w:line="220" w:lineRule="auto"/>
              <w:rPr>
                <w:sz w:val="18"/>
                <w:szCs w:val="18"/>
              </w:rPr>
            </w:pPr>
            <w:r>
              <w:rPr>
                <w:sz w:val="18"/>
                <w:szCs w:val="18"/>
                <w:spacing w:val="-1"/>
              </w:rPr>
              <w:t>现金及存放中央银行款项</w:t>
            </w:r>
          </w:p>
        </w:tc>
        <w:tc>
          <w:tcPr>
            <w:shd w:val="clear" w:fill="DBE5F1"/>
            <w:tcW w:w="1558" w:type="dxa"/>
            <w:vAlign w:val="top"/>
            <w:tcBorders>
              <w:bottom w:val="single" w:color="000000" w:sz="2" w:space="0"/>
              <w:top w:val="single" w:color="000000" w:sz="2" w:space="0"/>
            </w:tcBorders>
          </w:tcPr>
          <w:p>
            <w:pPr>
              <w:ind w:left="921"/>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806,102</w:t>
            </w:r>
          </w:p>
        </w:tc>
        <w:tc>
          <w:tcPr>
            <w:shd w:val="clear" w:fill="DBE5F1"/>
            <w:tcW w:w="1356" w:type="dxa"/>
            <w:vAlign w:val="top"/>
            <w:tcBorders>
              <w:bottom w:val="single" w:color="000000" w:sz="2" w:space="0"/>
              <w:top w:val="single" w:color="000000" w:sz="2" w:space="0"/>
            </w:tcBorders>
          </w:tcPr>
          <w:p>
            <w:pPr>
              <w:ind w:left="988"/>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6.20</w:t>
            </w:r>
          </w:p>
        </w:tc>
        <w:tc>
          <w:tcPr>
            <w:tcW w:w="1888" w:type="dxa"/>
            <w:vAlign w:val="top"/>
            <w:tcBorders>
              <w:bottom w:val="single" w:color="000000" w:sz="2" w:space="0"/>
              <w:top w:val="single" w:color="000000" w:sz="2" w:space="0"/>
            </w:tcBorders>
          </w:tcPr>
          <w:p>
            <w:pPr>
              <w:ind w:left="820"/>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734,728</w:t>
            </w:r>
          </w:p>
        </w:tc>
        <w:tc>
          <w:tcPr>
            <w:tcW w:w="1026" w:type="dxa"/>
            <w:vAlign w:val="top"/>
            <w:tcBorders>
              <w:bottom w:val="single" w:color="000000" w:sz="2" w:space="0"/>
              <w:top w:val="single" w:color="000000" w:sz="2" w:space="0"/>
            </w:tcBorders>
          </w:tcPr>
          <w:p>
            <w:pPr>
              <w:ind w:left="664"/>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6.30</w:t>
            </w:r>
          </w:p>
        </w:tc>
      </w:tr>
      <w:tr>
        <w:trPr>
          <w:trHeight w:val="379" w:hRule="atLeast"/>
        </w:trPr>
        <w:tc>
          <w:tcPr>
            <w:tcW w:w="3826" w:type="dxa"/>
            <w:vAlign w:val="top"/>
            <w:tcBorders>
              <w:bottom w:val="single" w:color="000000" w:sz="2" w:space="0"/>
              <w:top w:val="single" w:color="000000" w:sz="2" w:space="0"/>
            </w:tcBorders>
          </w:tcPr>
          <w:p>
            <w:pPr>
              <w:pStyle w:val="TableText"/>
              <w:ind w:left="79"/>
              <w:spacing w:before="112" w:line="221" w:lineRule="auto"/>
              <w:rPr>
                <w:sz w:val="18"/>
                <w:szCs w:val="18"/>
              </w:rPr>
            </w:pPr>
            <w:r>
              <w:rPr>
                <w:sz w:val="18"/>
                <w:szCs w:val="18"/>
                <w:spacing w:val="-2"/>
              </w:rPr>
              <w:t>拆出资金</w:t>
            </w:r>
          </w:p>
        </w:tc>
        <w:tc>
          <w:tcPr>
            <w:shd w:val="clear" w:fill="DBE5F1"/>
            <w:tcW w:w="1558" w:type="dxa"/>
            <w:vAlign w:val="top"/>
            <w:tcBorders>
              <w:bottom w:val="single" w:color="000000" w:sz="2" w:space="0"/>
              <w:top w:val="single" w:color="000000" w:sz="2" w:space="0"/>
            </w:tcBorders>
          </w:tcPr>
          <w:p>
            <w:pPr>
              <w:ind w:left="919"/>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478,353</w:t>
            </w:r>
          </w:p>
        </w:tc>
        <w:tc>
          <w:tcPr>
            <w:shd w:val="clear" w:fill="DBE5F1"/>
            <w:tcW w:w="1356" w:type="dxa"/>
            <w:vAlign w:val="top"/>
            <w:tcBorders>
              <w:bottom w:val="single" w:color="000000" w:sz="2" w:space="0"/>
              <w:top w:val="single" w:color="000000" w:sz="2" w:space="0"/>
            </w:tcBorders>
          </w:tcPr>
          <w:p>
            <w:pPr>
              <w:ind w:left="985"/>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3.68</w:t>
            </w:r>
          </w:p>
        </w:tc>
        <w:tc>
          <w:tcPr>
            <w:tcW w:w="1888" w:type="dxa"/>
            <w:vAlign w:val="top"/>
            <w:tcBorders>
              <w:bottom w:val="single" w:color="000000" w:sz="2" w:space="0"/>
              <w:top w:val="single" w:color="000000" w:sz="2" w:space="0"/>
            </w:tcBorders>
          </w:tcPr>
          <w:p>
            <w:pPr>
              <w:ind w:left="817"/>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439,450</w:t>
            </w:r>
          </w:p>
        </w:tc>
        <w:tc>
          <w:tcPr>
            <w:tcW w:w="1026" w:type="dxa"/>
            <w:vAlign w:val="top"/>
            <w:tcBorders>
              <w:bottom w:val="single" w:color="000000" w:sz="2" w:space="0"/>
              <w:top w:val="single" w:color="000000" w:sz="2" w:space="0"/>
            </w:tcBorders>
          </w:tcPr>
          <w:p>
            <w:pPr>
              <w:ind w:left="664"/>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3.77</w:t>
            </w:r>
          </w:p>
        </w:tc>
      </w:tr>
      <w:tr>
        <w:trPr>
          <w:trHeight w:val="379" w:hRule="atLeast"/>
        </w:trPr>
        <w:tc>
          <w:tcPr>
            <w:tcW w:w="3826" w:type="dxa"/>
            <w:vAlign w:val="top"/>
            <w:tcBorders>
              <w:bottom w:val="single" w:color="000000" w:sz="2" w:space="0"/>
              <w:top w:val="single" w:color="000000" w:sz="2" w:space="0"/>
            </w:tcBorders>
          </w:tcPr>
          <w:p>
            <w:pPr>
              <w:pStyle w:val="TableText"/>
              <w:ind w:left="79"/>
              <w:spacing w:before="113" w:line="221" w:lineRule="auto"/>
              <w:rPr>
                <w:sz w:val="18"/>
                <w:szCs w:val="18"/>
              </w:rPr>
            </w:pPr>
            <w:r>
              <w:rPr>
                <w:sz w:val="18"/>
                <w:szCs w:val="18"/>
                <w:spacing w:val="-2"/>
              </w:rPr>
              <w:t>其他</w:t>
            </w:r>
          </w:p>
        </w:tc>
        <w:tc>
          <w:tcPr>
            <w:shd w:val="clear" w:fill="DBE5F1"/>
            <w:tcW w:w="1558" w:type="dxa"/>
            <w:vAlign w:val="top"/>
            <w:tcBorders>
              <w:bottom w:val="single" w:color="000000" w:sz="2" w:space="0"/>
              <w:top w:val="single" w:color="000000" w:sz="2" w:space="0"/>
            </w:tcBorders>
          </w:tcPr>
          <w:p>
            <w:pPr>
              <w:ind w:left="921"/>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616,080</w:t>
            </w:r>
          </w:p>
        </w:tc>
        <w:tc>
          <w:tcPr>
            <w:shd w:val="clear" w:fill="DBE5F1"/>
            <w:tcW w:w="1356" w:type="dxa"/>
            <w:vAlign w:val="top"/>
            <w:tcBorders>
              <w:bottom w:val="single" w:color="000000" w:sz="2" w:space="0"/>
              <w:top w:val="single" w:color="000000" w:sz="2" w:space="0"/>
            </w:tcBorders>
          </w:tcPr>
          <w:p>
            <w:pPr>
              <w:ind w:left="986"/>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4.75</w:t>
            </w:r>
          </w:p>
        </w:tc>
        <w:tc>
          <w:tcPr>
            <w:tcW w:w="1888" w:type="dxa"/>
            <w:vAlign w:val="top"/>
            <w:tcBorders>
              <w:bottom w:val="single" w:color="000000" w:sz="2" w:space="0"/>
              <w:top w:val="single" w:color="000000" w:sz="2" w:space="0"/>
            </w:tcBorders>
          </w:tcPr>
          <w:p>
            <w:pPr>
              <w:ind w:left="822"/>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556,129</w:t>
            </w:r>
          </w:p>
        </w:tc>
        <w:tc>
          <w:tcPr>
            <w:tcW w:w="1026" w:type="dxa"/>
            <w:vAlign w:val="top"/>
            <w:tcBorders>
              <w:bottom w:val="single" w:color="000000" w:sz="2" w:space="0"/>
              <w:top w:val="single" w:color="000000" w:sz="2" w:space="0"/>
            </w:tcBorders>
          </w:tcPr>
          <w:p>
            <w:pPr>
              <w:ind w:left="660"/>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4.76</w:t>
            </w:r>
          </w:p>
        </w:tc>
      </w:tr>
      <w:tr>
        <w:trPr>
          <w:trHeight w:val="383" w:hRule="atLeast"/>
        </w:trPr>
        <w:tc>
          <w:tcPr>
            <w:tcW w:w="3826" w:type="dxa"/>
            <w:vAlign w:val="top"/>
            <w:tcBorders>
              <w:bottom w:val="single" w:color="000000" w:sz="2" w:space="0"/>
              <w:top w:val="single" w:color="000000" w:sz="2" w:space="0"/>
            </w:tcBorders>
          </w:tcPr>
          <w:p>
            <w:pPr>
              <w:pStyle w:val="TableText"/>
              <w:ind w:left="86"/>
              <w:spacing w:before="113" w:line="220" w:lineRule="auto"/>
              <w:rPr>
                <w:sz w:val="18"/>
                <w:szCs w:val="18"/>
              </w:rPr>
            </w:pPr>
            <w:r>
              <w:rPr>
                <w:sz w:val="18"/>
                <w:szCs w:val="18"/>
                <w:b/>
                <w:bCs/>
                <w:spacing w:val="-6"/>
              </w:rPr>
              <w:t>资产总额</w:t>
            </w:r>
          </w:p>
        </w:tc>
        <w:tc>
          <w:tcPr>
            <w:shd w:val="clear" w:fill="DBE5F1"/>
            <w:tcW w:w="1558" w:type="dxa"/>
            <w:vAlign w:val="top"/>
            <w:tcBorders>
              <w:bottom w:val="single" w:color="000000" w:sz="2" w:space="0"/>
              <w:top w:val="single" w:color="000000" w:sz="2" w:space="0"/>
            </w:tcBorders>
          </w:tcPr>
          <w:p>
            <w:pPr>
              <w:ind w:left="701"/>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12,992,419</w:t>
            </w:r>
          </w:p>
        </w:tc>
        <w:tc>
          <w:tcPr>
            <w:shd w:val="clear" w:fill="DBE5F1"/>
            <w:tcW w:w="1356" w:type="dxa"/>
            <w:vAlign w:val="top"/>
            <w:tcBorders>
              <w:bottom w:val="single" w:color="000000" w:sz="2" w:space="0"/>
              <w:top w:val="single" w:color="000000" w:sz="2" w:space="0"/>
            </w:tcBorders>
          </w:tcPr>
          <w:p>
            <w:pPr>
              <w:ind w:left="814"/>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100.00</w:t>
            </w:r>
          </w:p>
        </w:tc>
        <w:tc>
          <w:tcPr>
            <w:tcW w:w="1888" w:type="dxa"/>
            <w:vAlign w:val="top"/>
            <w:tcBorders>
              <w:bottom w:val="single" w:color="000000" w:sz="2" w:space="0"/>
              <w:top w:val="single" w:color="000000" w:sz="2" w:space="0"/>
            </w:tcBorders>
          </w:tcPr>
          <w:p>
            <w:pPr>
              <w:ind w:left="616"/>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11,665,757</w:t>
            </w:r>
          </w:p>
        </w:tc>
        <w:tc>
          <w:tcPr>
            <w:tcW w:w="1026" w:type="dxa"/>
            <w:vAlign w:val="top"/>
            <w:tcBorders>
              <w:bottom w:val="single" w:color="000000" w:sz="2" w:space="0"/>
              <w:top w:val="single" w:color="000000" w:sz="2" w:space="0"/>
            </w:tcBorders>
          </w:tcPr>
          <w:p>
            <w:pPr>
              <w:ind w:left="495"/>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100.00</w:t>
            </w:r>
          </w:p>
        </w:tc>
      </w:tr>
    </w:tbl>
    <w:p>
      <w:pPr>
        <w:ind w:left="556"/>
        <w:spacing w:before="267" w:line="221" w:lineRule="auto"/>
        <w:rPr>
          <w:rFonts w:ascii="SimSun" w:hAnsi="SimSun" w:eastAsia="SimSun" w:cs="SimSun"/>
          <w:sz w:val="21"/>
          <w:szCs w:val="21"/>
        </w:rPr>
      </w:pPr>
      <w:r>
        <w:rPr>
          <w:rFonts w:ascii="SimSun" w:hAnsi="SimSun" w:eastAsia="SimSun" w:cs="SimSun"/>
          <w:sz w:val="21"/>
          <w:szCs w:val="21"/>
          <w:b/>
          <w:bCs/>
          <w:spacing w:val="12"/>
        </w:rPr>
        <w:t>(</w:t>
      </w:r>
      <w:r>
        <w:rPr>
          <w:rFonts w:ascii="Times New Roman" w:hAnsi="Times New Roman" w:eastAsia="Times New Roman" w:cs="Times New Roman"/>
          <w:sz w:val="21"/>
          <w:szCs w:val="21"/>
          <w:b/>
          <w:bCs/>
          <w:spacing w:val="12"/>
        </w:rPr>
        <w:t>1</w:t>
      </w:r>
      <w:r>
        <w:rPr>
          <w:rFonts w:ascii="SimSun" w:hAnsi="SimSun" w:eastAsia="SimSun" w:cs="SimSun"/>
          <w:sz w:val="21"/>
          <w:szCs w:val="21"/>
          <w:b/>
          <w:bCs/>
          <w:spacing w:val="12"/>
        </w:rPr>
        <w:t>)客户贷款</w:t>
      </w:r>
    </w:p>
    <w:p>
      <w:pPr>
        <w:ind w:left="20" w:right="184" w:firstLine="420"/>
        <w:spacing w:before="306" w:line="293" w:lineRule="auto"/>
        <w:rPr>
          <w:rFonts w:ascii="SimSun" w:hAnsi="SimSun" w:eastAsia="SimSun" w:cs="SimSun"/>
          <w:sz w:val="21"/>
          <w:szCs w:val="21"/>
        </w:rPr>
      </w:pPr>
      <w:r>
        <w:rPr>
          <w:rFonts w:ascii="SimSun" w:hAnsi="SimSun" w:eastAsia="SimSun" w:cs="SimSun"/>
          <w:sz w:val="21"/>
          <w:szCs w:val="21"/>
        </w:rPr>
        <w:t>报告期内,</w:t>
      </w:r>
      <w:r>
        <w:rPr>
          <w:rFonts w:ascii="SimSun" w:hAnsi="SimSun" w:eastAsia="SimSun" w:cs="SimSun"/>
          <w:sz w:val="21"/>
          <w:szCs w:val="21"/>
          <w:spacing w:val="38"/>
        </w:rPr>
        <w:t xml:space="preserve"> </w:t>
      </w:r>
      <w:r>
        <w:rPr>
          <w:rFonts w:ascii="SimSun" w:hAnsi="SimSun" w:eastAsia="SimSun" w:cs="SimSun"/>
          <w:sz w:val="21"/>
          <w:szCs w:val="21"/>
        </w:rPr>
        <w:t>本集团聚焦主责主业,践行稳经济大盘使命担当,</w:t>
      </w:r>
      <w:r>
        <w:rPr>
          <w:rFonts w:ascii="SimSun" w:hAnsi="SimSun" w:eastAsia="SimSun" w:cs="SimSun"/>
          <w:sz w:val="21"/>
          <w:szCs w:val="21"/>
          <w:spacing w:val="32"/>
        </w:rPr>
        <w:t xml:space="preserve"> </w:t>
      </w:r>
      <w:r>
        <w:rPr>
          <w:rFonts w:ascii="SimSun" w:hAnsi="SimSun" w:eastAsia="SimSun" w:cs="SimSun"/>
          <w:sz w:val="21"/>
          <w:szCs w:val="21"/>
        </w:rPr>
        <w:t>持续提升服务实体经济质效,</w:t>
      </w:r>
      <w:r>
        <w:rPr>
          <w:rFonts w:ascii="SimSun" w:hAnsi="SimSun" w:eastAsia="SimSun" w:cs="SimSun"/>
          <w:sz w:val="21"/>
          <w:szCs w:val="21"/>
          <w:spacing w:val="34"/>
        </w:rPr>
        <w:t xml:space="preserve"> </w:t>
      </w:r>
      <w:r>
        <w:rPr>
          <w:rFonts w:ascii="SimSun" w:hAnsi="SimSun" w:eastAsia="SimSun" w:cs="SimSun"/>
          <w:sz w:val="21"/>
          <w:szCs w:val="21"/>
        </w:rPr>
        <w:t>紧密对 </w:t>
      </w:r>
      <w:r>
        <w:rPr>
          <w:rFonts w:ascii="SimSun" w:hAnsi="SimSun" w:eastAsia="SimSun" w:cs="SimSun"/>
          <w:sz w:val="21"/>
          <w:szCs w:val="21"/>
        </w:rPr>
        <w:t>接现代化产业体系建设,深度融入区域协调发展,</w:t>
      </w:r>
      <w:r>
        <w:rPr>
          <w:rFonts w:ascii="SimSun" w:hAnsi="SimSun" w:eastAsia="SimSun" w:cs="SimSun"/>
          <w:sz w:val="21"/>
          <w:szCs w:val="21"/>
          <w:spacing w:val="-1"/>
        </w:rPr>
        <w:t>围绕经济社会发展不平衡不充分重点领域和薄弱环节,</w:t>
      </w:r>
      <w:r>
        <w:rPr>
          <w:rFonts w:ascii="SimSun" w:hAnsi="SimSun" w:eastAsia="SimSun" w:cs="SimSun"/>
          <w:sz w:val="21"/>
          <w:szCs w:val="21"/>
        </w:rPr>
        <w:t xml:space="preserve">  </w:t>
      </w:r>
      <w:r>
        <w:rPr>
          <w:rFonts w:ascii="SimSun" w:hAnsi="SimSun" w:eastAsia="SimSun" w:cs="SimSun"/>
          <w:sz w:val="21"/>
          <w:szCs w:val="21"/>
          <w:spacing w:val="-5"/>
        </w:rPr>
        <w:t>进一步加大普惠小微、制造业、战略性新兴产业、绿色、涉农等领域信贷投放, 实现信贷总量同比多增,</w:t>
      </w:r>
      <w:r>
        <w:rPr>
          <w:rFonts w:ascii="SimSun" w:hAnsi="SimSun" w:eastAsia="SimSun" w:cs="SimSun"/>
          <w:sz w:val="21"/>
          <w:szCs w:val="21"/>
        </w:rPr>
        <w:t xml:space="preserve">  </w:t>
      </w:r>
      <w:r>
        <w:rPr>
          <w:rFonts w:ascii="SimSun" w:hAnsi="SimSun" w:eastAsia="SimSun" w:cs="SimSun"/>
          <w:sz w:val="21"/>
          <w:szCs w:val="21"/>
          <w:spacing w:val="-3"/>
        </w:rPr>
        <w:t>结构持续优化。</w:t>
      </w:r>
    </w:p>
    <w:p>
      <w:pPr>
        <w:pStyle w:val="BodyText"/>
        <w:rPr/>
      </w:pPr>
      <w:r/>
    </w:p>
    <w:p>
      <w:pPr>
        <w:ind w:left="443"/>
        <w:spacing w:before="68" w:line="221" w:lineRule="auto"/>
        <w:rPr>
          <w:rFonts w:ascii="SimSun" w:hAnsi="SimSun" w:eastAsia="SimSun" w:cs="SimSun"/>
          <w:sz w:val="21"/>
          <w:szCs w:val="21"/>
        </w:rPr>
      </w:pPr>
      <w:r>
        <w:rPr>
          <w:rFonts w:ascii="SimSun" w:hAnsi="SimSun" w:eastAsia="SimSun" w:cs="SimSun"/>
          <w:sz w:val="21"/>
          <w:szCs w:val="21"/>
          <w:spacing w:val="-1"/>
        </w:rPr>
        <w:t>本集团在所示日期客户贷款总额及构成情况如下:</w:t>
      </w:r>
    </w:p>
    <w:p>
      <w:pPr>
        <w:pStyle w:val="BodyText"/>
        <w:spacing w:line="248" w:lineRule="auto"/>
        <w:rPr/>
      </w:pPr>
      <w:r/>
    </w:p>
    <w:p>
      <w:pPr>
        <w:ind w:right="2"/>
        <w:spacing w:before="59" w:line="250" w:lineRule="exact"/>
        <w:jc w:val="right"/>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position w:val="2"/>
        </w:rPr>
        <w:t>(</w:t>
      </w:r>
      <w:r>
        <w:rPr>
          <w:rFonts w:ascii="SimSun" w:hAnsi="SimSun" w:eastAsia="SimSun" w:cs="SimSun"/>
          <w:sz w:val="18"/>
          <w:szCs w:val="18"/>
          <w:spacing w:val="5"/>
          <w:position w:val="2"/>
        </w:rPr>
        <w:t>除另有标明外,人民币百万元</w:t>
      </w:r>
      <w:r>
        <w:rPr>
          <w:rFonts w:ascii="Times New Roman" w:hAnsi="Times New Roman" w:eastAsia="Times New Roman" w:cs="Times New Roman"/>
          <w:sz w:val="18"/>
          <w:szCs w:val="18"/>
          <w:spacing w:val="5"/>
          <w:position w:val="2"/>
        </w:rPr>
        <w:t>)</w:t>
      </w:r>
    </w:p>
    <w:p>
      <w:pPr>
        <w:spacing w:line="37" w:lineRule="auto"/>
        <w:rPr>
          <w:rFonts w:ascii="Arial"/>
          <w:sz w:val="2"/>
        </w:rPr>
      </w:pPr>
      <w:r>
        <w:rPr>
          <w:rFonts w:ascii="Arial"/>
          <w:sz w:val="2"/>
        </w:rPr>
      </w:r>
    </w:p>
    <w:tbl>
      <w:tblPr>
        <w:tblStyle w:val="TableNormal"/>
        <w:tblW w:w="9654"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095"/>
        <w:gridCol w:w="1258"/>
        <w:gridCol w:w="1260"/>
        <w:gridCol w:w="1809"/>
        <w:gridCol w:w="923"/>
        <w:gridCol w:w="1598"/>
        <w:gridCol w:w="711"/>
      </w:tblGrid>
      <w:tr>
        <w:trPr>
          <w:trHeight w:val="383" w:hRule="atLeast"/>
        </w:trPr>
        <w:tc>
          <w:tcPr>
            <w:tcW w:w="2095" w:type="dxa"/>
            <w:vAlign w:val="top"/>
            <w:vMerge w:val="restart"/>
            <w:tcBorders>
              <w:bottom w:val="nil"/>
              <w:top w:val="single" w:color="000000" w:sz="2" w:space="0"/>
            </w:tcBorders>
          </w:tcPr>
          <w:p>
            <w:pPr>
              <w:rPr>
                <w:rFonts w:ascii="Arial"/>
                <w:sz w:val="21"/>
              </w:rPr>
            </w:pPr>
            <w:r/>
          </w:p>
        </w:tc>
        <w:tc>
          <w:tcPr>
            <w:shd w:val="clear" w:fill="DBE5F1"/>
            <w:tcW w:w="2518" w:type="dxa"/>
            <w:vAlign w:val="top"/>
            <w:gridSpan w:val="2"/>
            <w:tcBorders>
              <w:bottom w:val="single" w:color="000000" w:sz="2" w:space="0"/>
              <w:top w:val="single" w:color="000000" w:sz="2" w:space="0"/>
            </w:tcBorders>
          </w:tcPr>
          <w:p>
            <w:pPr>
              <w:pStyle w:val="TableText"/>
              <w:ind w:left="518"/>
              <w:spacing w:before="114" w:line="220" w:lineRule="auto"/>
              <w:rPr>
                <w:sz w:val="18"/>
                <w:szCs w:val="18"/>
              </w:rPr>
            </w:pPr>
            <w:r>
              <w:rPr>
                <w:rFonts w:ascii="Times New Roman" w:hAnsi="Times New Roman" w:eastAsia="Times New Roman" w:cs="Times New Roman"/>
                <w:sz w:val="18"/>
                <w:szCs w:val="18"/>
                <w:b/>
                <w:bCs/>
                <w:spacing w:val="-3"/>
              </w:rPr>
              <w:t>2022 </w:t>
            </w:r>
            <w:r>
              <w:rPr>
                <w:sz w:val="18"/>
                <w:szCs w:val="18"/>
                <w:b/>
                <w:bCs/>
                <w:spacing w:val="-3"/>
              </w:rPr>
              <w:t>年</w:t>
            </w:r>
            <w:r>
              <w:rPr>
                <w:sz w:val="18"/>
                <w:szCs w:val="18"/>
                <w:spacing w:val="-32"/>
              </w:rPr>
              <w:t xml:space="preserve"> </w:t>
            </w:r>
            <w:r>
              <w:rPr>
                <w:rFonts w:ascii="Times New Roman" w:hAnsi="Times New Roman" w:eastAsia="Times New Roman" w:cs="Times New Roman"/>
                <w:sz w:val="18"/>
                <w:szCs w:val="18"/>
                <w:b/>
                <w:bCs/>
                <w:spacing w:val="-3"/>
              </w:rPr>
              <w:t>12</w:t>
            </w:r>
            <w:r>
              <w:rPr>
                <w:rFonts w:ascii="Times New Roman" w:hAnsi="Times New Roman" w:eastAsia="Times New Roman" w:cs="Times New Roman"/>
                <w:sz w:val="18"/>
                <w:szCs w:val="18"/>
                <w:b/>
                <w:bCs/>
                <w:spacing w:val="11"/>
              </w:rPr>
              <w:t xml:space="preserve"> </w:t>
            </w:r>
            <w:r>
              <w:rPr>
                <w:sz w:val="18"/>
                <w:szCs w:val="18"/>
                <w:b/>
                <w:bCs/>
                <w:spacing w:val="-3"/>
              </w:rPr>
              <w:t>月</w:t>
            </w:r>
            <w:r>
              <w:rPr>
                <w:sz w:val="18"/>
                <w:szCs w:val="18"/>
                <w:spacing w:val="-42"/>
              </w:rPr>
              <w:t xml:space="preserve"> </w:t>
            </w:r>
            <w:r>
              <w:rPr>
                <w:rFonts w:ascii="Times New Roman" w:hAnsi="Times New Roman" w:eastAsia="Times New Roman" w:cs="Times New Roman"/>
                <w:sz w:val="18"/>
                <w:szCs w:val="18"/>
                <w:b/>
                <w:bCs/>
                <w:spacing w:val="-3"/>
              </w:rPr>
              <w:t>31  </w:t>
            </w:r>
            <w:r>
              <w:rPr>
                <w:sz w:val="18"/>
                <w:szCs w:val="18"/>
                <w:b/>
                <w:bCs/>
                <w:spacing w:val="-3"/>
              </w:rPr>
              <w:t>日</w:t>
            </w:r>
          </w:p>
        </w:tc>
        <w:tc>
          <w:tcPr>
            <w:tcW w:w="1809" w:type="dxa"/>
            <w:vAlign w:val="top"/>
            <w:tcBorders>
              <w:bottom w:val="single" w:color="000000" w:sz="2" w:space="0"/>
              <w:top w:val="single" w:color="000000" w:sz="2" w:space="0"/>
            </w:tcBorders>
          </w:tcPr>
          <w:p>
            <w:pPr>
              <w:pStyle w:val="TableText"/>
              <w:ind w:right="26"/>
              <w:spacing w:before="114" w:line="220"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2021</w:t>
            </w:r>
            <w:r>
              <w:rPr>
                <w:rFonts w:ascii="Times New Roman" w:hAnsi="Times New Roman" w:eastAsia="Times New Roman" w:cs="Times New Roman"/>
                <w:sz w:val="18"/>
                <w:szCs w:val="18"/>
                <w:spacing w:val="10"/>
              </w:rPr>
              <w:t xml:space="preserve"> </w:t>
            </w:r>
            <w:r>
              <w:rPr>
                <w:sz w:val="18"/>
                <w:szCs w:val="18"/>
                <w:spacing w:val="-5"/>
              </w:rPr>
              <w:t>年</w:t>
            </w:r>
            <w:r>
              <w:rPr>
                <w:sz w:val="18"/>
                <w:szCs w:val="18"/>
                <w:spacing w:val="-26"/>
              </w:rPr>
              <w:t xml:space="preserve"> </w:t>
            </w:r>
            <w:r>
              <w:rPr>
                <w:rFonts w:ascii="Times New Roman" w:hAnsi="Times New Roman" w:eastAsia="Times New Roman" w:cs="Times New Roman"/>
                <w:sz w:val="18"/>
                <w:szCs w:val="18"/>
                <w:spacing w:val="-5"/>
              </w:rPr>
              <w:t>12</w:t>
            </w:r>
            <w:r>
              <w:rPr>
                <w:rFonts w:ascii="Times New Roman" w:hAnsi="Times New Roman" w:eastAsia="Times New Roman" w:cs="Times New Roman"/>
                <w:sz w:val="18"/>
                <w:szCs w:val="18"/>
                <w:spacing w:val="14"/>
              </w:rPr>
              <w:t xml:space="preserve"> </w:t>
            </w:r>
            <w:r>
              <w:rPr>
                <w:sz w:val="18"/>
                <w:szCs w:val="18"/>
                <w:spacing w:val="-5"/>
              </w:rPr>
              <w:t>月</w:t>
            </w:r>
            <w:r>
              <w:rPr>
                <w:sz w:val="18"/>
                <w:szCs w:val="18"/>
                <w:spacing w:val="-37"/>
              </w:rPr>
              <w:t xml:space="preserve"> </w:t>
            </w:r>
            <w:r>
              <w:rPr>
                <w:rFonts w:ascii="Times New Roman" w:hAnsi="Times New Roman" w:eastAsia="Times New Roman" w:cs="Times New Roman"/>
                <w:sz w:val="18"/>
                <w:szCs w:val="18"/>
                <w:spacing w:val="-5"/>
              </w:rPr>
              <w:t>31</w:t>
            </w:r>
          </w:p>
        </w:tc>
        <w:tc>
          <w:tcPr>
            <w:tcW w:w="923" w:type="dxa"/>
            <w:vAlign w:val="top"/>
            <w:tcBorders>
              <w:bottom w:val="single" w:color="000000" w:sz="2" w:space="0"/>
              <w:top w:val="single" w:color="000000" w:sz="2" w:space="0"/>
            </w:tcBorders>
          </w:tcPr>
          <w:p>
            <w:pPr>
              <w:pStyle w:val="TableText"/>
              <w:ind w:left="54"/>
              <w:spacing w:before="114" w:line="225" w:lineRule="auto"/>
              <w:rPr>
                <w:sz w:val="18"/>
                <w:szCs w:val="18"/>
              </w:rPr>
            </w:pPr>
            <w:r>
              <w:rPr>
                <w:sz w:val="18"/>
                <w:szCs w:val="18"/>
              </w:rPr>
              <w:t>日</w:t>
            </w:r>
          </w:p>
        </w:tc>
        <w:tc>
          <w:tcPr>
            <w:tcW w:w="1598" w:type="dxa"/>
            <w:vAlign w:val="top"/>
            <w:tcBorders>
              <w:bottom w:val="single" w:color="000000" w:sz="2" w:space="0"/>
              <w:top w:val="single" w:color="000000" w:sz="2" w:space="0"/>
            </w:tcBorders>
          </w:tcPr>
          <w:p>
            <w:pPr>
              <w:pStyle w:val="TableText"/>
              <w:ind w:right="26"/>
              <w:spacing w:before="114" w:line="220"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2020</w:t>
            </w:r>
            <w:r>
              <w:rPr>
                <w:rFonts w:ascii="Times New Roman" w:hAnsi="Times New Roman" w:eastAsia="Times New Roman" w:cs="Times New Roman"/>
                <w:sz w:val="18"/>
                <w:szCs w:val="18"/>
                <w:spacing w:val="10"/>
              </w:rPr>
              <w:t xml:space="preserve"> </w:t>
            </w:r>
            <w:r>
              <w:rPr>
                <w:sz w:val="18"/>
                <w:szCs w:val="18"/>
                <w:spacing w:val="-5"/>
              </w:rPr>
              <w:t>年</w:t>
            </w:r>
            <w:r>
              <w:rPr>
                <w:sz w:val="18"/>
                <w:szCs w:val="18"/>
                <w:spacing w:val="-25"/>
              </w:rPr>
              <w:t xml:space="preserve"> </w:t>
            </w:r>
            <w:r>
              <w:rPr>
                <w:rFonts w:ascii="Times New Roman" w:hAnsi="Times New Roman" w:eastAsia="Times New Roman" w:cs="Times New Roman"/>
                <w:sz w:val="18"/>
                <w:szCs w:val="18"/>
                <w:spacing w:val="-5"/>
              </w:rPr>
              <w:t>12</w:t>
            </w:r>
            <w:r>
              <w:rPr>
                <w:rFonts w:ascii="Times New Roman" w:hAnsi="Times New Roman" w:eastAsia="Times New Roman" w:cs="Times New Roman"/>
                <w:sz w:val="18"/>
                <w:szCs w:val="18"/>
                <w:spacing w:val="13"/>
              </w:rPr>
              <w:t xml:space="preserve"> </w:t>
            </w:r>
            <w:r>
              <w:rPr>
                <w:sz w:val="18"/>
                <w:szCs w:val="18"/>
                <w:spacing w:val="-5"/>
              </w:rPr>
              <w:t>月</w:t>
            </w:r>
            <w:r>
              <w:rPr>
                <w:sz w:val="18"/>
                <w:szCs w:val="18"/>
                <w:spacing w:val="-37"/>
              </w:rPr>
              <w:t xml:space="preserve"> </w:t>
            </w:r>
            <w:r>
              <w:rPr>
                <w:rFonts w:ascii="Times New Roman" w:hAnsi="Times New Roman" w:eastAsia="Times New Roman" w:cs="Times New Roman"/>
                <w:sz w:val="18"/>
                <w:szCs w:val="18"/>
                <w:spacing w:val="-5"/>
              </w:rPr>
              <w:t>31</w:t>
            </w:r>
          </w:p>
        </w:tc>
        <w:tc>
          <w:tcPr>
            <w:tcW w:w="711" w:type="dxa"/>
            <w:vAlign w:val="top"/>
            <w:tcBorders>
              <w:bottom w:val="single" w:color="000000" w:sz="2" w:space="0"/>
              <w:top w:val="single" w:color="000000" w:sz="2" w:space="0"/>
            </w:tcBorders>
          </w:tcPr>
          <w:p>
            <w:pPr>
              <w:pStyle w:val="TableText"/>
              <w:ind w:left="53"/>
              <w:spacing w:before="114" w:line="225" w:lineRule="auto"/>
              <w:rPr>
                <w:sz w:val="18"/>
                <w:szCs w:val="18"/>
              </w:rPr>
            </w:pPr>
            <w:r>
              <w:rPr>
                <w:sz w:val="18"/>
                <w:szCs w:val="18"/>
              </w:rPr>
              <w:t>日</w:t>
            </w:r>
          </w:p>
        </w:tc>
      </w:tr>
      <w:tr>
        <w:trPr>
          <w:trHeight w:val="378" w:hRule="atLeast"/>
        </w:trPr>
        <w:tc>
          <w:tcPr>
            <w:tcW w:w="2095" w:type="dxa"/>
            <w:vAlign w:val="top"/>
            <w:vMerge w:val="continue"/>
            <w:tcBorders>
              <w:bottom w:val="single" w:color="000000" w:sz="2" w:space="0"/>
              <w:top w:val="nil"/>
            </w:tcBorders>
          </w:tcPr>
          <w:p>
            <w:pPr>
              <w:rPr>
                <w:rFonts w:ascii="Arial"/>
                <w:sz w:val="21"/>
              </w:rPr>
            </w:pPr>
            <w:r/>
          </w:p>
        </w:tc>
        <w:tc>
          <w:tcPr>
            <w:shd w:val="clear" w:fill="DBE5F1"/>
            <w:tcW w:w="2518" w:type="dxa"/>
            <w:vAlign w:val="top"/>
            <w:gridSpan w:val="2"/>
            <w:tcBorders>
              <w:bottom w:val="single" w:color="000000" w:sz="2" w:space="0"/>
              <w:top w:val="single" w:color="000000" w:sz="2" w:space="0"/>
            </w:tcBorders>
          </w:tcPr>
          <w:p>
            <w:pPr>
              <w:pStyle w:val="TableText"/>
              <w:ind w:left="846"/>
              <w:spacing w:before="109" w:line="212" w:lineRule="auto"/>
              <w:rPr>
                <w:rFonts w:ascii="Times New Roman" w:hAnsi="Times New Roman" w:eastAsia="Times New Roman" w:cs="Times New Roman"/>
                <w:sz w:val="18"/>
                <w:szCs w:val="18"/>
              </w:rPr>
            </w:pPr>
            <w:r>
              <w:rPr>
                <w:sz w:val="18"/>
                <w:szCs w:val="18"/>
                <w:b/>
                <w:bCs/>
                <w:spacing w:val="-7"/>
              </w:rPr>
              <w:t>余额</w:t>
            </w:r>
            <w:r>
              <w:rPr>
                <w:sz w:val="18"/>
                <w:szCs w:val="18"/>
                <w:spacing w:val="1"/>
              </w:rPr>
              <w:t xml:space="preserve">       </w:t>
            </w:r>
            <w:r>
              <w:rPr>
                <w:sz w:val="18"/>
                <w:szCs w:val="18"/>
                <w:b/>
                <w:bCs/>
                <w:spacing w:val="-7"/>
              </w:rPr>
              <w:t>占比</w:t>
            </w:r>
            <w:r>
              <w:rPr>
                <w:rFonts w:ascii="Times New Roman" w:hAnsi="Times New Roman" w:eastAsia="Times New Roman" w:cs="Times New Roman"/>
                <w:sz w:val="18"/>
                <w:szCs w:val="18"/>
                <w:b/>
                <w:bCs/>
                <w:spacing w:val="-7"/>
              </w:rPr>
              <w:t>(%)</w:t>
            </w:r>
          </w:p>
        </w:tc>
        <w:tc>
          <w:tcPr>
            <w:tcW w:w="1809" w:type="dxa"/>
            <w:vAlign w:val="top"/>
            <w:tcBorders>
              <w:bottom w:val="single" w:color="000000" w:sz="2" w:space="0"/>
              <w:top w:val="single" w:color="000000" w:sz="2" w:space="0"/>
            </w:tcBorders>
          </w:tcPr>
          <w:p>
            <w:pPr>
              <w:pStyle w:val="TableText"/>
              <w:ind w:left="851"/>
              <w:spacing w:before="110" w:line="220" w:lineRule="auto"/>
              <w:rPr>
                <w:sz w:val="18"/>
                <w:szCs w:val="18"/>
              </w:rPr>
            </w:pPr>
            <w:r>
              <w:rPr>
                <w:sz w:val="18"/>
                <w:szCs w:val="18"/>
                <w:spacing w:val="-2"/>
              </w:rPr>
              <w:t>余额</w:t>
            </w:r>
          </w:p>
        </w:tc>
        <w:tc>
          <w:tcPr>
            <w:tcW w:w="923" w:type="dxa"/>
            <w:vAlign w:val="top"/>
            <w:tcBorders>
              <w:bottom w:val="single" w:color="000000" w:sz="2" w:space="0"/>
              <w:top w:val="single" w:color="000000" w:sz="2" w:space="0"/>
            </w:tcBorders>
          </w:tcPr>
          <w:p>
            <w:pPr>
              <w:pStyle w:val="TableText"/>
              <w:ind w:left="62"/>
              <w:spacing w:before="83" w:line="250" w:lineRule="exact"/>
              <w:rPr>
                <w:rFonts w:ascii="Times New Roman" w:hAnsi="Times New Roman" w:eastAsia="Times New Roman" w:cs="Times New Roman"/>
                <w:sz w:val="18"/>
                <w:szCs w:val="18"/>
              </w:rPr>
            </w:pPr>
            <w:r>
              <w:rPr>
                <w:sz w:val="18"/>
                <w:szCs w:val="18"/>
                <w:spacing w:val="-8"/>
                <w:position w:val="2"/>
              </w:rPr>
              <w:t>占比</w:t>
            </w:r>
            <w:r>
              <w:rPr>
                <w:rFonts w:ascii="Times New Roman" w:hAnsi="Times New Roman" w:eastAsia="Times New Roman" w:cs="Times New Roman"/>
                <w:sz w:val="18"/>
                <w:szCs w:val="18"/>
                <w:spacing w:val="-8"/>
                <w:position w:val="2"/>
              </w:rPr>
              <w:t>(%)</w:t>
            </w:r>
          </w:p>
        </w:tc>
        <w:tc>
          <w:tcPr>
            <w:tcW w:w="1598" w:type="dxa"/>
            <w:vAlign w:val="top"/>
            <w:tcBorders>
              <w:bottom w:val="single" w:color="000000" w:sz="2" w:space="0"/>
              <w:top w:val="single" w:color="000000" w:sz="2" w:space="0"/>
            </w:tcBorders>
          </w:tcPr>
          <w:p>
            <w:pPr>
              <w:pStyle w:val="TableText"/>
              <w:ind w:left="639"/>
              <w:spacing w:before="110" w:line="220" w:lineRule="auto"/>
              <w:rPr>
                <w:sz w:val="18"/>
                <w:szCs w:val="18"/>
              </w:rPr>
            </w:pPr>
            <w:r>
              <w:rPr>
                <w:sz w:val="18"/>
                <w:szCs w:val="18"/>
                <w:spacing w:val="-2"/>
              </w:rPr>
              <w:t>余额</w:t>
            </w:r>
          </w:p>
        </w:tc>
        <w:tc>
          <w:tcPr>
            <w:tcW w:w="711" w:type="dxa"/>
            <w:vAlign w:val="top"/>
            <w:tcBorders>
              <w:bottom w:val="single" w:color="000000" w:sz="2" w:space="0"/>
              <w:top w:val="single" w:color="000000" w:sz="2" w:space="0"/>
            </w:tcBorders>
          </w:tcPr>
          <w:p>
            <w:pPr>
              <w:pStyle w:val="TableText"/>
              <w:ind w:left="61"/>
              <w:spacing w:before="83" w:line="250" w:lineRule="exact"/>
              <w:rPr>
                <w:rFonts w:ascii="Times New Roman" w:hAnsi="Times New Roman" w:eastAsia="Times New Roman" w:cs="Times New Roman"/>
                <w:sz w:val="18"/>
                <w:szCs w:val="18"/>
              </w:rPr>
            </w:pPr>
            <w:r>
              <w:rPr>
                <w:sz w:val="18"/>
                <w:szCs w:val="18"/>
                <w:spacing w:val="-8"/>
                <w:position w:val="2"/>
              </w:rPr>
              <w:t>占比</w:t>
            </w:r>
            <w:r>
              <w:rPr>
                <w:rFonts w:ascii="Times New Roman" w:hAnsi="Times New Roman" w:eastAsia="Times New Roman" w:cs="Times New Roman"/>
                <w:sz w:val="18"/>
                <w:szCs w:val="18"/>
                <w:spacing w:val="-8"/>
                <w:position w:val="2"/>
              </w:rPr>
              <w:t>(%)</w:t>
            </w:r>
          </w:p>
        </w:tc>
      </w:tr>
      <w:tr>
        <w:trPr>
          <w:trHeight w:val="379" w:hRule="atLeast"/>
        </w:trPr>
        <w:tc>
          <w:tcPr>
            <w:tcW w:w="2095" w:type="dxa"/>
            <w:vAlign w:val="top"/>
            <w:tcBorders>
              <w:bottom w:val="single" w:color="000000" w:sz="2" w:space="0"/>
              <w:top w:val="single" w:color="000000" w:sz="2" w:space="0"/>
            </w:tcBorders>
          </w:tcPr>
          <w:p>
            <w:pPr>
              <w:pStyle w:val="TableText"/>
              <w:ind w:left="84"/>
              <w:spacing w:before="111" w:line="220" w:lineRule="auto"/>
              <w:rPr>
                <w:sz w:val="18"/>
                <w:szCs w:val="18"/>
              </w:rPr>
            </w:pPr>
            <w:r>
              <w:rPr>
                <w:sz w:val="18"/>
                <w:szCs w:val="18"/>
                <w:b/>
                <w:bCs/>
                <w:spacing w:val="-4"/>
              </w:rPr>
              <w:t>公司类贷款</w:t>
            </w:r>
          </w:p>
        </w:tc>
        <w:tc>
          <w:tcPr>
            <w:shd w:val="clear" w:fill="DBE5F1"/>
            <w:tcW w:w="1258" w:type="dxa"/>
            <w:vAlign w:val="top"/>
            <w:tcBorders>
              <w:bottom w:val="single" w:color="000000" w:sz="2" w:space="0"/>
              <w:top w:val="single" w:color="000000" w:sz="2" w:space="0"/>
            </w:tcBorders>
          </w:tcPr>
          <w:p>
            <w:pPr>
              <w:ind w:left="494"/>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4,711,353</w:t>
            </w:r>
          </w:p>
        </w:tc>
        <w:tc>
          <w:tcPr>
            <w:shd w:val="clear" w:fill="DBE5F1"/>
            <w:tcW w:w="1260" w:type="dxa"/>
            <w:vAlign w:val="top"/>
            <w:tcBorders>
              <w:bottom w:val="single" w:color="000000" w:sz="2" w:space="0"/>
              <w:top w:val="single" w:color="000000" w:sz="2" w:space="0"/>
            </w:tcBorders>
          </w:tcPr>
          <w:p>
            <w:pPr>
              <w:ind w:left="804"/>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64.58</w:t>
            </w:r>
          </w:p>
        </w:tc>
        <w:tc>
          <w:tcPr>
            <w:tcW w:w="1809" w:type="dxa"/>
            <w:vAlign w:val="top"/>
            <w:tcBorders>
              <w:bottom w:val="single" w:color="000000" w:sz="2" w:space="0"/>
              <w:top w:val="single" w:color="000000" w:sz="2" w:space="0"/>
            </w:tcBorders>
          </w:tcPr>
          <w:p>
            <w:pPr>
              <w:ind w:left="486"/>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4,138,582</w:t>
            </w:r>
          </w:p>
        </w:tc>
        <w:tc>
          <w:tcPr>
            <w:tcW w:w="923" w:type="dxa"/>
            <w:vAlign w:val="top"/>
            <w:tcBorders>
              <w:bottom w:val="single" w:color="000000" w:sz="2" w:space="0"/>
              <w:top w:val="single" w:color="000000" w:sz="2" w:space="0"/>
            </w:tcBorders>
          </w:tcPr>
          <w:p>
            <w:pPr>
              <w:ind w:left="256"/>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63.09</w:t>
            </w:r>
          </w:p>
        </w:tc>
        <w:tc>
          <w:tcPr>
            <w:tcW w:w="1598" w:type="dxa"/>
            <w:vAlign w:val="top"/>
            <w:tcBorders>
              <w:bottom w:val="single" w:color="000000" w:sz="2" w:space="0"/>
              <w:top w:val="single" w:color="000000" w:sz="2" w:space="0"/>
            </w:tcBorders>
          </w:tcPr>
          <w:p>
            <w:pPr>
              <w:ind w:left="278"/>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3,707,471</w:t>
            </w:r>
          </w:p>
        </w:tc>
        <w:tc>
          <w:tcPr>
            <w:tcW w:w="711" w:type="dxa"/>
            <w:vAlign w:val="top"/>
            <w:tcBorders>
              <w:bottom w:val="single" w:color="000000" w:sz="2" w:space="0"/>
              <w:top w:val="single" w:color="000000" w:sz="2" w:space="0"/>
            </w:tcBorders>
          </w:tcPr>
          <w:p>
            <w:pPr>
              <w:ind w:left="256"/>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63.39</w:t>
            </w:r>
          </w:p>
        </w:tc>
      </w:tr>
      <w:tr>
        <w:trPr>
          <w:trHeight w:val="378" w:hRule="atLeast"/>
        </w:trPr>
        <w:tc>
          <w:tcPr>
            <w:tcW w:w="2095" w:type="dxa"/>
            <w:vAlign w:val="top"/>
            <w:tcBorders>
              <w:bottom w:val="single" w:color="000000" w:sz="2" w:space="0"/>
              <w:top w:val="single" w:color="000000" w:sz="2" w:space="0"/>
            </w:tcBorders>
          </w:tcPr>
          <w:p>
            <w:pPr>
              <w:pStyle w:val="TableText"/>
              <w:ind w:left="95"/>
              <w:spacing w:before="111" w:line="220" w:lineRule="auto"/>
              <w:rPr>
                <w:sz w:val="18"/>
                <w:szCs w:val="18"/>
              </w:rPr>
            </w:pPr>
            <w:r>
              <w:rPr>
                <w:sz w:val="18"/>
                <w:szCs w:val="18"/>
                <w:spacing w:val="13"/>
              </w:rPr>
              <w:t>-短期贷款</w:t>
            </w:r>
          </w:p>
        </w:tc>
        <w:tc>
          <w:tcPr>
            <w:shd w:val="clear" w:fill="DBE5F1"/>
            <w:tcW w:w="1258" w:type="dxa"/>
            <w:vAlign w:val="top"/>
            <w:tcBorders>
              <w:bottom w:val="single" w:color="000000" w:sz="2" w:space="0"/>
              <w:top w:val="single" w:color="000000" w:sz="2" w:space="0"/>
            </w:tcBorders>
          </w:tcPr>
          <w:p>
            <w:pPr>
              <w:ind w:left="492"/>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1,438,252</w:t>
            </w:r>
          </w:p>
        </w:tc>
        <w:tc>
          <w:tcPr>
            <w:shd w:val="clear" w:fill="DBE5F1"/>
            <w:tcW w:w="1260" w:type="dxa"/>
            <w:vAlign w:val="top"/>
            <w:tcBorders>
              <w:bottom w:val="single" w:color="000000" w:sz="2" w:space="0"/>
              <w:top w:val="single" w:color="000000" w:sz="2" w:space="0"/>
            </w:tcBorders>
          </w:tcPr>
          <w:p>
            <w:pPr>
              <w:ind w:left="809"/>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19.71</w:t>
            </w:r>
          </w:p>
        </w:tc>
        <w:tc>
          <w:tcPr>
            <w:tcW w:w="1809" w:type="dxa"/>
            <w:vAlign w:val="top"/>
            <w:tcBorders>
              <w:bottom w:val="single" w:color="000000" w:sz="2" w:space="0"/>
              <w:top w:val="single" w:color="000000" w:sz="2" w:space="0"/>
            </w:tcBorders>
          </w:tcPr>
          <w:p>
            <w:pPr>
              <w:ind w:left="504"/>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1,309,291</w:t>
            </w:r>
          </w:p>
        </w:tc>
        <w:tc>
          <w:tcPr>
            <w:tcW w:w="923" w:type="dxa"/>
            <w:vAlign w:val="top"/>
            <w:tcBorders>
              <w:bottom w:val="single" w:color="000000" w:sz="2" w:space="0"/>
              <w:top w:val="single" w:color="000000" w:sz="2" w:space="0"/>
            </w:tcBorders>
          </w:tcPr>
          <w:p>
            <w:pPr>
              <w:ind w:left="270"/>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19.96</w:t>
            </w:r>
          </w:p>
        </w:tc>
        <w:tc>
          <w:tcPr>
            <w:tcW w:w="1598" w:type="dxa"/>
            <w:vAlign w:val="top"/>
            <w:tcBorders>
              <w:bottom w:val="single" w:color="000000" w:sz="2" w:space="0"/>
              <w:top w:val="single" w:color="000000" w:sz="2" w:space="0"/>
            </w:tcBorders>
          </w:tcPr>
          <w:p>
            <w:pPr>
              <w:ind w:left="292"/>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1,251,162</w:t>
            </w:r>
          </w:p>
        </w:tc>
        <w:tc>
          <w:tcPr>
            <w:tcW w:w="711" w:type="dxa"/>
            <w:vAlign w:val="top"/>
            <w:tcBorders>
              <w:bottom w:val="single" w:color="000000" w:sz="2" w:space="0"/>
              <w:top w:val="single" w:color="000000" w:sz="2" w:space="0"/>
            </w:tcBorders>
          </w:tcPr>
          <w:p>
            <w:pPr>
              <w:ind w:left="252"/>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21.39</w:t>
            </w:r>
          </w:p>
        </w:tc>
      </w:tr>
      <w:tr>
        <w:trPr>
          <w:trHeight w:val="379" w:hRule="atLeast"/>
        </w:trPr>
        <w:tc>
          <w:tcPr>
            <w:tcW w:w="2095" w:type="dxa"/>
            <w:vAlign w:val="top"/>
            <w:tcBorders>
              <w:bottom w:val="single" w:color="000000" w:sz="2" w:space="0"/>
              <w:top w:val="single" w:color="000000" w:sz="2" w:space="0"/>
            </w:tcBorders>
          </w:tcPr>
          <w:p>
            <w:pPr>
              <w:pStyle w:val="TableText"/>
              <w:ind w:left="95"/>
              <w:spacing w:before="112" w:line="220" w:lineRule="auto"/>
              <w:rPr>
                <w:sz w:val="18"/>
                <w:szCs w:val="18"/>
              </w:rPr>
            </w:pPr>
            <w:r>
              <w:rPr>
                <w:sz w:val="18"/>
                <w:szCs w:val="18"/>
                <w:spacing w:val="11"/>
              </w:rPr>
              <w:t>-中长期贷款</w:t>
            </w:r>
          </w:p>
        </w:tc>
        <w:tc>
          <w:tcPr>
            <w:shd w:val="clear" w:fill="DBE5F1"/>
            <w:tcW w:w="1258" w:type="dxa"/>
            <w:vAlign w:val="top"/>
            <w:tcBorders>
              <w:bottom w:val="single" w:color="000000" w:sz="2" w:space="0"/>
              <w:top w:val="single" w:color="000000" w:sz="2" w:space="0"/>
            </w:tcBorders>
          </w:tcPr>
          <w:p>
            <w:pPr>
              <w:ind w:left="483"/>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3,273,101</w:t>
            </w:r>
          </w:p>
        </w:tc>
        <w:tc>
          <w:tcPr>
            <w:shd w:val="clear" w:fill="DBE5F1"/>
            <w:tcW w:w="1260" w:type="dxa"/>
            <w:vAlign w:val="top"/>
            <w:tcBorders>
              <w:bottom w:val="single" w:color="000000" w:sz="2" w:space="0"/>
              <w:top w:val="single" w:color="000000" w:sz="2" w:space="0"/>
            </w:tcBorders>
          </w:tcPr>
          <w:p>
            <w:pPr>
              <w:ind w:left="802"/>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44.87</w:t>
            </w:r>
          </w:p>
        </w:tc>
        <w:tc>
          <w:tcPr>
            <w:tcW w:w="1809" w:type="dxa"/>
            <w:vAlign w:val="top"/>
            <w:tcBorders>
              <w:bottom w:val="single" w:color="000000" w:sz="2" w:space="0"/>
              <w:top w:val="single" w:color="000000" w:sz="2" w:space="0"/>
            </w:tcBorders>
          </w:tcPr>
          <w:p>
            <w:pPr>
              <w:ind w:left="486"/>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2,829,291</w:t>
            </w:r>
          </w:p>
        </w:tc>
        <w:tc>
          <w:tcPr>
            <w:tcW w:w="923" w:type="dxa"/>
            <w:vAlign w:val="top"/>
            <w:tcBorders>
              <w:bottom w:val="single" w:color="000000" w:sz="2" w:space="0"/>
              <w:top w:val="single" w:color="000000" w:sz="2" w:space="0"/>
            </w:tcBorders>
          </w:tcPr>
          <w:p>
            <w:pPr>
              <w:ind w:left="251"/>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43.13</w:t>
            </w:r>
          </w:p>
        </w:tc>
        <w:tc>
          <w:tcPr>
            <w:tcW w:w="1598" w:type="dxa"/>
            <w:vAlign w:val="top"/>
            <w:tcBorders>
              <w:bottom w:val="single" w:color="000000" w:sz="2" w:space="0"/>
              <w:top w:val="single" w:color="000000" w:sz="2" w:space="0"/>
            </w:tcBorders>
          </w:tcPr>
          <w:p>
            <w:pPr>
              <w:ind w:left="275"/>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2,456,309</w:t>
            </w:r>
          </w:p>
        </w:tc>
        <w:tc>
          <w:tcPr>
            <w:tcW w:w="711" w:type="dxa"/>
            <w:vAlign w:val="top"/>
            <w:tcBorders>
              <w:bottom w:val="single" w:color="000000" w:sz="2" w:space="0"/>
              <w:top w:val="single" w:color="000000" w:sz="2" w:space="0"/>
            </w:tcBorders>
          </w:tcPr>
          <w:p>
            <w:pPr>
              <w:ind w:left="251"/>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42.00</w:t>
            </w:r>
          </w:p>
        </w:tc>
      </w:tr>
      <w:tr>
        <w:trPr>
          <w:trHeight w:val="379" w:hRule="atLeast"/>
        </w:trPr>
        <w:tc>
          <w:tcPr>
            <w:tcW w:w="2095" w:type="dxa"/>
            <w:vAlign w:val="top"/>
            <w:tcBorders>
              <w:bottom w:val="single" w:color="000000" w:sz="2" w:space="0"/>
              <w:top w:val="single" w:color="000000" w:sz="2" w:space="0"/>
            </w:tcBorders>
          </w:tcPr>
          <w:p>
            <w:pPr>
              <w:pStyle w:val="TableText"/>
              <w:ind w:left="79"/>
              <w:spacing w:before="112" w:line="220" w:lineRule="auto"/>
              <w:rPr>
                <w:sz w:val="18"/>
                <w:szCs w:val="18"/>
              </w:rPr>
            </w:pPr>
            <w:r>
              <w:rPr>
                <w:sz w:val="18"/>
                <w:szCs w:val="18"/>
                <w:b/>
                <w:bCs/>
                <w:spacing w:val="-4"/>
              </w:rPr>
              <w:t>个人贷款</w:t>
            </w:r>
          </w:p>
        </w:tc>
        <w:tc>
          <w:tcPr>
            <w:shd w:val="clear" w:fill="DBE5F1"/>
            <w:tcW w:w="1258" w:type="dxa"/>
            <w:vAlign w:val="top"/>
            <w:tcBorders>
              <w:bottom w:val="single" w:color="000000" w:sz="2" w:space="0"/>
              <w:top w:val="single" w:color="000000" w:sz="2" w:space="0"/>
            </w:tcBorders>
          </w:tcPr>
          <w:p>
            <w:pPr>
              <w:ind w:left="484"/>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2,366,507</w:t>
            </w:r>
          </w:p>
        </w:tc>
        <w:tc>
          <w:tcPr>
            <w:shd w:val="clear" w:fill="DBE5F1"/>
            <w:tcW w:w="1260" w:type="dxa"/>
            <w:vAlign w:val="top"/>
            <w:tcBorders>
              <w:bottom w:val="single" w:color="000000" w:sz="2" w:space="0"/>
              <w:top w:val="single" w:color="000000" w:sz="2" w:space="0"/>
            </w:tcBorders>
          </w:tcPr>
          <w:p>
            <w:pPr>
              <w:ind w:left="800"/>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32.43</w:t>
            </w:r>
          </w:p>
        </w:tc>
        <w:tc>
          <w:tcPr>
            <w:tcW w:w="1809" w:type="dxa"/>
            <w:vAlign w:val="top"/>
            <w:tcBorders>
              <w:bottom w:val="single" w:color="000000" w:sz="2" w:space="0"/>
              <w:top w:val="single" w:color="000000" w:sz="2" w:space="0"/>
            </w:tcBorders>
          </w:tcPr>
          <w:p>
            <w:pPr>
              <w:ind w:left="486"/>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2,285,096</w:t>
            </w:r>
          </w:p>
        </w:tc>
        <w:tc>
          <w:tcPr>
            <w:tcW w:w="923" w:type="dxa"/>
            <w:vAlign w:val="top"/>
            <w:tcBorders>
              <w:bottom w:val="single" w:color="000000" w:sz="2" w:space="0"/>
              <w:top w:val="single" w:color="000000" w:sz="2" w:space="0"/>
            </w:tcBorders>
          </w:tcPr>
          <w:p>
            <w:pPr>
              <w:ind w:left="256"/>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34.83</w:t>
            </w:r>
          </w:p>
        </w:tc>
        <w:tc>
          <w:tcPr>
            <w:tcW w:w="1598" w:type="dxa"/>
            <w:vAlign w:val="top"/>
            <w:tcBorders>
              <w:bottom w:val="single" w:color="000000" w:sz="2" w:space="0"/>
              <w:top w:val="single" w:color="000000" w:sz="2" w:space="0"/>
            </w:tcBorders>
          </w:tcPr>
          <w:p>
            <w:pPr>
              <w:ind w:left="292"/>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1,980,882</w:t>
            </w:r>
          </w:p>
        </w:tc>
        <w:tc>
          <w:tcPr>
            <w:tcW w:w="711" w:type="dxa"/>
            <w:vAlign w:val="top"/>
            <w:tcBorders>
              <w:bottom w:val="single" w:color="000000" w:sz="2" w:space="0"/>
              <w:top w:val="single" w:color="000000" w:sz="2" w:space="0"/>
            </w:tcBorders>
          </w:tcPr>
          <w:p>
            <w:pPr>
              <w:ind w:left="255"/>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33.87</w:t>
            </w:r>
          </w:p>
        </w:tc>
      </w:tr>
      <w:tr>
        <w:trPr>
          <w:trHeight w:val="379" w:hRule="atLeast"/>
        </w:trPr>
        <w:tc>
          <w:tcPr>
            <w:tcW w:w="2095" w:type="dxa"/>
            <w:vAlign w:val="top"/>
            <w:tcBorders>
              <w:bottom w:val="single" w:color="000000" w:sz="2" w:space="0"/>
              <w:top w:val="single" w:color="000000" w:sz="2" w:space="0"/>
            </w:tcBorders>
          </w:tcPr>
          <w:p>
            <w:pPr>
              <w:pStyle w:val="TableText"/>
              <w:ind w:left="95"/>
              <w:spacing w:before="112" w:line="220" w:lineRule="auto"/>
              <w:rPr>
                <w:sz w:val="18"/>
                <w:szCs w:val="18"/>
              </w:rPr>
            </w:pPr>
            <w:r>
              <w:rPr>
                <w:sz w:val="18"/>
                <w:szCs w:val="18"/>
                <w:spacing w:val="13"/>
              </w:rPr>
              <w:t>-住房贷款</w:t>
            </w:r>
          </w:p>
        </w:tc>
        <w:tc>
          <w:tcPr>
            <w:shd w:val="clear" w:fill="DBE5F1"/>
            <w:tcW w:w="1258" w:type="dxa"/>
            <w:vAlign w:val="top"/>
            <w:tcBorders>
              <w:bottom w:val="single" w:color="000000" w:sz="2" w:space="0"/>
              <w:top w:val="single" w:color="000000" w:sz="2" w:space="0"/>
            </w:tcBorders>
          </w:tcPr>
          <w:p>
            <w:pPr>
              <w:ind w:left="492"/>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1,512,648</w:t>
            </w:r>
          </w:p>
        </w:tc>
        <w:tc>
          <w:tcPr>
            <w:shd w:val="clear" w:fill="DBE5F1"/>
            <w:tcW w:w="1260" w:type="dxa"/>
            <w:vAlign w:val="top"/>
            <w:tcBorders>
              <w:bottom w:val="single" w:color="000000" w:sz="2" w:space="0"/>
              <w:top w:val="single" w:color="000000" w:sz="2" w:space="0"/>
            </w:tcBorders>
          </w:tcPr>
          <w:p>
            <w:pPr>
              <w:ind w:left="801"/>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20.73</w:t>
            </w:r>
          </w:p>
        </w:tc>
        <w:tc>
          <w:tcPr>
            <w:tcW w:w="1809" w:type="dxa"/>
            <w:vAlign w:val="top"/>
            <w:tcBorders>
              <w:bottom w:val="single" w:color="000000" w:sz="2" w:space="0"/>
              <w:top w:val="single" w:color="000000" w:sz="2" w:space="0"/>
            </w:tcBorders>
          </w:tcPr>
          <w:p>
            <w:pPr>
              <w:ind w:left="504"/>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1,489,517</w:t>
            </w:r>
          </w:p>
        </w:tc>
        <w:tc>
          <w:tcPr>
            <w:tcW w:w="923" w:type="dxa"/>
            <w:vAlign w:val="top"/>
            <w:tcBorders>
              <w:bottom w:val="single" w:color="000000" w:sz="2" w:space="0"/>
              <w:top w:val="single" w:color="000000" w:sz="2" w:space="0"/>
            </w:tcBorders>
          </w:tcPr>
          <w:p>
            <w:pPr>
              <w:ind w:left="252"/>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22.70</w:t>
            </w:r>
          </w:p>
        </w:tc>
        <w:tc>
          <w:tcPr>
            <w:tcW w:w="1598" w:type="dxa"/>
            <w:vAlign w:val="top"/>
            <w:tcBorders>
              <w:bottom w:val="single" w:color="000000" w:sz="2" w:space="0"/>
              <w:top w:val="single" w:color="000000" w:sz="2" w:space="0"/>
            </w:tcBorders>
          </w:tcPr>
          <w:p>
            <w:pPr>
              <w:ind w:left="292"/>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1,293,773</w:t>
            </w:r>
          </w:p>
        </w:tc>
        <w:tc>
          <w:tcPr>
            <w:tcW w:w="711" w:type="dxa"/>
            <w:vAlign w:val="top"/>
            <w:tcBorders>
              <w:bottom w:val="single" w:color="000000" w:sz="2" w:space="0"/>
              <w:top w:val="single" w:color="000000" w:sz="2" w:space="0"/>
            </w:tcBorders>
          </w:tcPr>
          <w:p>
            <w:pPr>
              <w:ind w:left="252"/>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22.12</w:t>
            </w:r>
          </w:p>
        </w:tc>
      </w:tr>
      <w:tr>
        <w:trPr>
          <w:trHeight w:val="379" w:hRule="atLeast"/>
        </w:trPr>
        <w:tc>
          <w:tcPr>
            <w:tcW w:w="2095" w:type="dxa"/>
            <w:vAlign w:val="top"/>
            <w:tcBorders>
              <w:bottom w:val="single" w:color="000000" w:sz="2" w:space="0"/>
              <w:top w:val="single" w:color="000000" w:sz="2" w:space="0"/>
            </w:tcBorders>
          </w:tcPr>
          <w:p>
            <w:pPr>
              <w:pStyle w:val="TableText"/>
              <w:ind w:left="95"/>
              <w:spacing w:before="112" w:line="220" w:lineRule="auto"/>
              <w:rPr>
                <w:sz w:val="18"/>
                <w:szCs w:val="18"/>
              </w:rPr>
            </w:pPr>
            <w:r>
              <w:rPr>
                <w:sz w:val="18"/>
                <w:szCs w:val="18"/>
                <w:spacing w:val="16"/>
              </w:rPr>
              <w:t>-信用卡</w:t>
            </w:r>
          </w:p>
        </w:tc>
        <w:tc>
          <w:tcPr>
            <w:shd w:val="clear" w:fill="DBE5F1"/>
            <w:tcW w:w="1258" w:type="dxa"/>
            <w:vAlign w:val="top"/>
            <w:tcBorders>
              <w:bottom w:val="single" w:color="000000" w:sz="2" w:space="0"/>
              <w:top w:val="single" w:color="000000" w:sz="2" w:space="0"/>
            </w:tcBorders>
          </w:tcPr>
          <w:p>
            <w:pPr>
              <w:ind w:left="620"/>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477,746</w:t>
            </w:r>
          </w:p>
        </w:tc>
        <w:tc>
          <w:tcPr>
            <w:shd w:val="clear" w:fill="DBE5F1"/>
            <w:tcW w:w="1260" w:type="dxa"/>
            <w:vAlign w:val="top"/>
            <w:tcBorders>
              <w:bottom w:val="single" w:color="000000" w:sz="2" w:space="0"/>
              <w:top w:val="single" w:color="000000" w:sz="2" w:space="0"/>
            </w:tcBorders>
          </w:tcPr>
          <w:p>
            <w:pPr>
              <w:ind w:left="893"/>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6.55</w:t>
            </w:r>
          </w:p>
        </w:tc>
        <w:tc>
          <w:tcPr>
            <w:tcW w:w="1809" w:type="dxa"/>
            <w:vAlign w:val="top"/>
            <w:tcBorders>
              <w:bottom w:val="single" w:color="000000" w:sz="2" w:space="0"/>
              <w:top w:val="single" w:color="000000" w:sz="2" w:space="0"/>
            </w:tcBorders>
          </w:tcPr>
          <w:p>
            <w:pPr>
              <w:ind w:left="620"/>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492,580</w:t>
            </w:r>
          </w:p>
        </w:tc>
        <w:tc>
          <w:tcPr>
            <w:tcW w:w="923" w:type="dxa"/>
            <w:vAlign w:val="top"/>
            <w:tcBorders>
              <w:bottom w:val="single" w:color="000000" w:sz="2" w:space="0"/>
              <w:top w:val="single" w:color="000000" w:sz="2" w:space="0"/>
            </w:tcBorders>
          </w:tcPr>
          <w:p>
            <w:pPr>
              <w:ind w:left="346"/>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7.51</w:t>
            </w:r>
          </w:p>
        </w:tc>
        <w:tc>
          <w:tcPr>
            <w:tcW w:w="1598" w:type="dxa"/>
            <w:vAlign w:val="top"/>
            <w:tcBorders>
              <w:bottom w:val="single" w:color="000000" w:sz="2" w:space="0"/>
              <w:top w:val="single" w:color="000000" w:sz="2" w:space="0"/>
            </w:tcBorders>
          </w:tcPr>
          <w:p>
            <w:pPr>
              <w:ind w:left="416"/>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464,110</w:t>
            </w:r>
          </w:p>
        </w:tc>
        <w:tc>
          <w:tcPr>
            <w:tcW w:w="711" w:type="dxa"/>
            <w:vAlign w:val="top"/>
            <w:tcBorders>
              <w:bottom w:val="single" w:color="000000" w:sz="2" w:space="0"/>
              <w:top w:val="single" w:color="000000" w:sz="2" w:space="0"/>
            </w:tcBorders>
          </w:tcPr>
          <w:p>
            <w:pPr>
              <w:ind w:left="346"/>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7.94</w:t>
            </w:r>
          </w:p>
        </w:tc>
      </w:tr>
      <w:tr>
        <w:trPr>
          <w:trHeight w:val="378" w:hRule="atLeast"/>
        </w:trPr>
        <w:tc>
          <w:tcPr>
            <w:tcW w:w="2095" w:type="dxa"/>
            <w:vAlign w:val="top"/>
            <w:tcBorders>
              <w:bottom w:val="single" w:color="000000" w:sz="2" w:space="0"/>
              <w:top w:val="single" w:color="000000" w:sz="2" w:space="0"/>
            </w:tcBorders>
          </w:tcPr>
          <w:p>
            <w:pPr>
              <w:pStyle w:val="TableText"/>
              <w:ind w:left="95"/>
              <w:spacing w:before="112" w:line="221" w:lineRule="auto"/>
              <w:rPr>
                <w:sz w:val="18"/>
                <w:szCs w:val="18"/>
              </w:rPr>
            </w:pPr>
            <w:r>
              <w:rPr>
                <w:sz w:val="18"/>
                <w:szCs w:val="18"/>
                <w:spacing w:val="22"/>
              </w:rPr>
              <w:t>-其他</w:t>
            </w:r>
          </w:p>
        </w:tc>
        <w:tc>
          <w:tcPr>
            <w:shd w:val="clear" w:fill="DBE5F1"/>
            <w:tcW w:w="1258" w:type="dxa"/>
            <w:vAlign w:val="top"/>
            <w:tcBorders>
              <w:bottom w:val="single" w:color="000000" w:sz="2" w:space="0"/>
              <w:top w:val="single" w:color="000000" w:sz="2" w:space="0"/>
            </w:tcBorders>
          </w:tcPr>
          <w:p>
            <w:pPr>
              <w:ind w:left="628"/>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376,113</w:t>
            </w:r>
          </w:p>
        </w:tc>
        <w:tc>
          <w:tcPr>
            <w:shd w:val="clear" w:fill="DBE5F1"/>
            <w:tcW w:w="1260" w:type="dxa"/>
            <w:vAlign w:val="top"/>
            <w:tcBorders>
              <w:bottom w:val="single" w:color="000000" w:sz="2" w:space="0"/>
              <w:top w:val="single" w:color="000000" w:sz="2" w:space="0"/>
            </w:tcBorders>
          </w:tcPr>
          <w:p>
            <w:pPr>
              <w:ind w:left="892"/>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5.15</w:t>
            </w:r>
          </w:p>
        </w:tc>
        <w:tc>
          <w:tcPr>
            <w:tcW w:w="1809" w:type="dxa"/>
            <w:vAlign w:val="top"/>
            <w:tcBorders>
              <w:bottom w:val="single" w:color="000000" w:sz="2" w:space="0"/>
              <w:top w:val="single" w:color="000000" w:sz="2" w:space="0"/>
            </w:tcBorders>
          </w:tcPr>
          <w:p>
            <w:pPr>
              <w:ind w:left="625"/>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302,999</w:t>
            </w:r>
          </w:p>
        </w:tc>
        <w:tc>
          <w:tcPr>
            <w:tcW w:w="923" w:type="dxa"/>
            <w:vAlign w:val="top"/>
            <w:tcBorders>
              <w:bottom w:val="single" w:color="000000" w:sz="2" w:space="0"/>
              <w:top w:val="single" w:color="000000" w:sz="2" w:space="0"/>
            </w:tcBorders>
          </w:tcPr>
          <w:p>
            <w:pPr>
              <w:ind w:left="343"/>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4.62</w:t>
            </w:r>
          </w:p>
        </w:tc>
        <w:tc>
          <w:tcPr>
            <w:tcW w:w="1598" w:type="dxa"/>
            <w:vAlign w:val="top"/>
            <w:tcBorders>
              <w:bottom w:val="single" w:color="000000" w:sz="2" w:space="0"/>
              <w:top w:val="single" w:color="000000" w:sz="2" w:space="0"/>
            </w:tcBorders>
          </w:tcPr>
          <w:p>
            <w:pPr>
              <w:ind w:left="409"/>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222,999</w:t>
            </w:r>
          </w:p>
        </w:tc>
        <w:tc>
          <w:tcPr>
            <w:tcW w:w="711" w:type="dxa"/>
            <w:vAlign w:val="top"/>
            <w:tcBorders>
              <w:bottom w:val="single" w:color="000000" w:sz="2" w:space="0"/>
              <w:top w:val="single" w:color="000000" w:sz="2" w:space="0"/>
            </w:tcBorders>
          </w:tcPr>
          <w:p>
            <w:pPr>
              <w:ind w:left="347"/>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3.81</w:t>
            </w:r>
          </w:p>
        </w:tc>
      </w:tr>
      <w:tr>
        <w:trPr>
          <w:trHeight w:val="379" w:hRule="atLeast"/>
        </w:trPr>
        <w:tc>
          <w:tcPr>
            <w:tcW w:w="2095" w:type="dxa"/>
            <w:vAlign w:val="top"/>
            <w:tcBorders>
              <w:bottom w:val="single" w:color="000000" w:sz="2" w:space="0"/>
              <w:top w:val="single" w:color="000000" w:sz="2" w:space="0"/>
            </w:tcBorders>
          </w:tcPr>
          <w:p>
            <w:pPr>
              <w:pStyle w:val="TableText"/>
              <w:ind w:left="80"/>
              <w:spacing w:before="113" w:line="220" w:lineRule="auto"/>
              <w:rPr>
                <w:sz w:val="18"/>
                <w:szCs w:val="18"/>
              </w:rPr>
            </w:pPr>
            <w:r>
              <w:rPr>
                <w:sz w:val="18"/>
                <w:szCs w:val="18"/>
                <w:b/>
                <w:bCs/>
                <w:spacing w:val="-4"/>
              </w:rPr>
              <w:t>票据贴现</w:t>
            </w:r>
          </w:p>
        </w:tc>
        <w:tc>
          <w:tcPr>
            <w:shd w:val="clear" w:fill="DBE5F1"/>
            <w:tcW w:w="1258" w:type="dxa"/>
            <w:vAlign w:val="top"/>
            <w:tcBorders>
              <w:bottom w:val="single" w:color="000000" w:sz="2" w:space="0"/>
              <w:top w:val="single" w:color="000000" w:sz="2" w:space="0"/>
            </w:tcBorders>
          </w:tcPr>
          <w:p>
            <w:pPr>
              <w:ind w:left="619"/>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218,295</w:t>
            </w:r>
          </w:p>
        </w:tc>
        <w:tc>
          <w:tcPr>
            <w:shd w:val="clear" w:fill="DBE5F1"/>
            <w:tcW w:w="1260" w:type="dxa"/>
            <w:vAlign w:val="top"/>
            <w:tcBorders>
              <w:bottom w:val="single" w:color="000000" w:sz="2" w:space="0"/>
              <w:top w:val="single" w:color="000000" w:sz="2" w:space="0"/>
            </w:tcBorders>
          </w:tcPr>
          <w:p>
            <w:pPr>
              <w:ind w:left="890"/>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2.99</w:t>
            </w:r>
          </w:p>
        </w:tc>
        <w:tc>
          <w:tcPr>
            <w:tcW w:w="1809" w:type="dxa"/>
            <w:vAlign w:val="top"/>
            <w:tcBorders>
              <w:bottom w:val="single" w:color="000000" w:sz="2" w:space="0"/>
              <w:top w:val="single" w:color="000000" w:sz="2" w:space="0"/>
            </w:tcBorders>
          </w:tcPr>
          <w:p>
            <w:pPr>
              <w:ind w:left="639"/>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136,722</w:t>
            </w:r>
          </w:p>
        </w:tc>
        <w:tc>
          <w:tcPr>
            <w:tcW w:w="923" w:type="dxa"/>
            <w:vAlign w:val="top"/>
            <w:tcBorders>
              <w:bottom w:val="single" w:color="000000" w:sz="2" w:space="0"/>
              <w:top w:val="single" w:color="000000" w:sz="2" w:space="0"/>
            </w:tcBorders>
          </w:tcPr>
          <w:p>
            <w:pPr>
              <w:ind w:left="343"/>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2.08</w:t>
            </w:r>
          </w:p>
        </w:tc>
        <w:tc>
          <w:tcPr>
            <w:tcW w:w="1598" w:type="dxa"/>
            <w:vAlign w:val="top"/>
            <w:tcBorders>
              <w:bottom w:val="single" w:color="000000" w:sz="2" w:space="0"/>
              <w:top w:val="single" w:color="000000" w:sz="2" w:space="0"/>
            </w:tcBorders>
          </w:tcPr>
          <w:p>
            <w:pPr>
              <w:ind w:left="427"/>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160,071</w:t>
            </w:r>
          </w:p>
        </w:tc>
        <w:tc>
          <w:tcPr>
            <w:tcW w:w="711" w:type="dxa"/>
            <w:vAlign w:val="top"/>
            <w:tcBorders>
              <w:bottom w:val="single" w:color="000000" w:sz="2" w:space="0"/>
              <w:top w:val="single" w:color="000000" w:sz="2" w:space="0"/>
            </w:tcBorders>
          </w:tcPr>
          <w:p>
            <w:pPr>
              <w:ind w:left="343"/>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2.74</w:t>
            </w:r>
          </w:p>
        </w:tc>
      </w:tr>
      <w:tr>
        <w:trPr>
          <w:trHeight w:val="383" w:hRule="atLeast"/>
        </w:trPr>
        <w:tc>
          <w:tcPr>
            <w:tcW w:w="2095" w:type="dxa"/>
            <w:vAlign w:val="top"/>
            <w:tcBorders>
              <w:bottom w:val="single" w:color="000000" w:sz="2" w:space="0"/>
              <w:top w:val="single" w:color="000000" w:sz="2" w:space="0"/>
            </w:tcBorders>
          </w:tcPr>
          <w:p>
            <w:pPr>
              <w:pStyle w:val="TableText"/>
              <w:ind w:left="79"/>
              <w:spacing w:before="113" w:line="222" w:lineRule="auto"/>
              <w:rPr>
                <w:sz w:val="18"/>
                <w:szCs w:val="18"/>
              </w:rPr>
            </w:pPr>
            <w:r>
              <w:rPr>
                <w:sz w:val="18"/>
                <w:szCs w:val="18"/>
                <w:b/>
                <w:bCs/>
                <w:spacing w:val="-4"/>
              </w:rPr>
              <w:t>合计</w:t>
            </w:r>
          </w:p>
        </w:tc>
        <w:tc>
          <w:tcPr>
            <w:shd w:val="clear" w:fill="DBE5F1"/>
            <w:tcW w:w="1258" w:type="dxa"/>
            <w:vAlign w:val="top"/>
            <w:tcBorders>
              <w:bottom w:val="single" w:color="000000" w:sz="2" w:space="0"/>
              <w:top w:val="single" w:color="000000" w:sz="2" w:space="0"/>
            </w:tcBorders>
          </w:tcPr>
          <w:p>
            <w:pPr>
              <w:ind w:left="486"/>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7,296,155</w:t>
            </w:r>
          </w:p>
        </w:tc>
        <w:tc>
          <w:tcPr>
            <w:shd w:val="clear" w:fill="DBE5F1"/>
            <w:tcW w:w="1260" w:type="dxa"/>
            <w:vAlign w:val="top"/>
            <w:tcBorders>
              <w:bottom w:val="single" w:color="000000" w:sz="2" w:space="0"/>
              <w:top w:val="single" w:color="000000" w:sz="2" w:space="0"/>
            </w:tcBorders>
          </w:tcPr>
          <w:p>
            <w:pPr>
              <w:ind w:left="720"/>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100.00</w:t>
            </w:r>
          </w:p>
        </w:tc>
        <w:tc>
          <w:tcPr>
            <w:tcW w:w="1809" w:type="dxa"/>
            <w:vAlign w:val="top"/>
            <w:tcBorders>
              <w:bottom w:val="single" w:color="000000" w:sz="2" w:space="0"/>
              <w:top w:val="single" w:color="000000" w:sz="2" w:space="0"/>
            </w:tcBorders>
          </w:tcPr>
          <w:p>
            <w:pPr>
              <w:ind w:left="490"/>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6,560,400</w:t>
            </w:r>
          </w:p>
        </w:tc>
        <w:tc>
          <w:tcPr>
            <w:tcW w:w="923" w:type="dxa"/>
            <w:vAlign w:val="top"/>
            <w:tcBorders>
              <w:bottom w:val="single" w:color="000000" w:sz="2" w:space="0"/>
              <w:top w:val="single" w:color="000000" w:sz="2" w:space="0"/>
            </w:tcBorders>
          </w:tcPr>
          <w:p>
            <w:pPr>
              <w:ind w:left="181"/>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100.00</w:t>
            </w:r>
          </w:p>
        </w:tc>
        <w:tc>
          <w:tcPr>
            <w:tcW w:w="1598" w:type="dxa"/>
            <w:vAlign w:val="top"/>
            <w:tcBorders>
              <w:bottom w:val="single" w:color="000000" w:sz="2" w:space="0"/>
              <w:top w:val="single" w:color="000000" w:sz="2" w:space="0"/>
            </w:tcBorders>
          </w:tcPr>
          <w:p>
            <w:pPr>
              <w:ind w:left="277"/>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5,848,424</w:t>
            </w:r>
          </w:p>
        </w:tc>
        <w:tc>
          <w:tcPr>
            <w:tcW w:w="711" w:type="dxa"/>
            <w:vAlign w:val="top"/>
            <w:tcBorders>
              <w:bottom w:val="single" w:color="000000" w:sz="2" w:space="0"/>
              <w:top w:val="single" w:color="000000" w:sz="2" w:space="0"/>
            </w:tcBorders>
          </w:tcPr>
          <w:p>
            <w:pPr>
              <w:ind w:left="180"/>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100.00</w:t>
            </w:r>
          </w:p>
        </w:tc>
      </w:tr>
    </w:tbl>
    <w:p>
      <w:pPr>
        <w:ind w:left="23" w:right="148" w:firstLine="417"/>
        <w:spacing w:before="262" w:line="265" w:lineRule="auto"/>
        <w:rPr>
          <w:rFonts w:ascii="SimSun" w:hAnsi="SimSun" w:eastAsia="SimSun" w:cs="SimSun"/>
          <w:sz w:val="21"/>
          <w:szCs w:val="21"/>
        </w:rPr>
      </w:pPr>
      <w:r>
        <w:rPr>
          <w:rFonts w:ascii="SimSun" w:hAnsi="SimSun" w:eastAsia="SimSun" w:cs="SimSun"/>
          <w:sz w:val="21"/>
          <w:szCs w:val="21"/>
          <w:spacing w:val="2"/>
        </w:rPr>
        <w:t>报告期末,</w:t>
      </w:r>
      <w:r>
        <w:rPr>
          <w:rFonts w:ascii="SimSun" w:hAnsi="SimSun" w:eastAsia="SimSun" w:cs="SimSun"/>
          <w:sz w:val="21"/>
          <w:szCs w:val="21"/>
          <w:spacing w:val="30"/>
        </w:rPr>
        <w:t xml:space="preserve"> </w:t>
      </w:r>
      <w:r>
        <w:rPr>
          <w:rFonts w:ascii="SimSun" w:hAnsi="SimSun" w:eastAsia="SimSun" w:cs="SimSun"/>
          <w:sz w:val="21"/>
          <w:szCs w:val="21"/>
          <w:spacing w:val="2"/>
        </w:rPr>
        <w:t>本集团客户贷款余额</w:t>
      </w:r>
      <w:r>
        <w:rPr>
          <w:rFonts w:ascii="SimSun" w:hAnsi="SimSun" w:eastAsia="SimSun" w:cs="SimSun"/>
          <w:sz w:val="21"/>
          <w:szCs w:val="21"/>
          <w:spacing w:val="-40"/>
        </w:rPr>
        <w:t xml:space="preserve"> </w:t>
      </w:r>
      <w:r>
        <w:rPr>
          <w:rFonts w:ascii="Times New Roman" w:hAnsi="Times New Roman" w:eastAsia="Times New Roman" w:cs="Times New Roman"/>
          <w:sz w:val="21"/>
          <w:szCs w:val="21"/>
          <w:spacing w:val="2"/>
        </w:rPr>
        <w:t>72,961</w:t>
      </w:r>
      <w:r>
        <w:rPr>
          <w:rFonts w:ascii="Times New Roman" w:hAnsi="Times New Roman" w:eastAsia="Times New Roman" w:cs="Times New Roman"/>
          <w:sz w:val="21"/>
          <w:szCs w:val="21"/>
          <w:spacing w:val="1"/>
        </w:rPr>
        <w:t>.55 </w:t>
      </w:r>
      <w:r>
        <w:rPr>
          <w:rFonts w:ascii="SimSun" w:hAnsi="SimSun" w:eastAsia="SimSun" w:cs="SimSun"/>
          <w:sz w:val="21"/>
          <w:szCs w:val="21"/>
          <w:spacing w:val="1"/>
        </w:rPr>
        <w:t>亿元,较上年末增加</w:t>
      </w:r>
      <w:r>
        <w:rPr>
          <w:rFonts w:ascii="SimSun" w:hAnsi="SimSun" w:eastAsia="SimSun" w:cs="SimSun"/>
          <w:sz w:val="21"/>
          <w:szCs w:val="21"/>
          <w:spacing w:val="-39"/>
        </w:rPr>
        <w:t xml:space="preserve"> </w:t>
      </w:r>
      <w:r>
        <w:rPr>
          <w:rFonts w:ascii="Times New Roman" w:hAnsi="Times New Roman" w:eastAsia="Times New Roman" w:cs="Times New Roman"/>
          <w:sz w:val="21"/>
          <w:szCs w:val="21"/>
          <w:spacing w:val="1"/>
        </w:rPr>
        <w:t>7,357.55</w:t>
      </w:r>
      <w:r>
        <w:rPr>
          <w:rFonts w:ascii="Times New Roman" w:hAnsi="Times New Roman" w:eastAsia="Times New Roman" w:cs="Times New Roman"/>
          <w:sz w:val="21"/>
          <w:szCs w:val="21"/>
          <w:spacing w:val="14"/>
        </w:rPr>
        <w:t xml:space="preserve"> </w:t>
      </w:r>
      <w:r>
        <w:rPr>
          <w:rFonts w:ascii="SimSun" w:hAnsi="SimSun" w:eastAsia="SimSun" w:cs="SimSun"/>
          <w:sz w:val="21"/>
          <w:szCs w:val="21"/>
          <w:spacing w:val="1"/>
        </w:rPr>
        <w:t>亿元,增幅</w:t>
      </w:r>
      <w:r>
        <w:rPr>
          <w:rFonts w:ascii="SimSun" w:hAnsi="SimSun" w:eastAsia="SimSun" w:cs="SimSun"/>
          <w:sz w:val="21"/>
          <w:szCs w:val="21"/>
          <w:spacing w:val="-23"/>
        </w:rPr>
        <w:t xml:space="preserve"> </w:t>
      </w:r>
      <w:r>
        <w:rPr>
          <w:rFonts w:ascii="Times New Roman" w:hAnsi="Times New Roman" w:eastAsia="Times New Roman" w:cs="Times New Roman"/>
          <w:sz w:val="21"/>
          <w:szCs w:val="21"/>
          <w:spacing w:val="1"/>
        </w:rPr>
        <w:t>11.22%</w:t>
      </w:r>
      <w:r>
        <w:rPr>
          <w:rFonts w:ascii="SimSun" w:hAnsi="SimSun" w:eastAsia="SimSun" w:cs="SimSun"/>
          <w:sz w:val="21"/>
          <w:szCs w:val="21"/>
          <w:spacing w:val="1"/>
        </w:rPr>
        <w:t>。其中,</w:t>
      </w:r>
      <w:r>
        <w:rPr>
          <w:rFonts w:ascii="SimSun" w:hAnsi="SimSun" w:eastAsia="SimSun" w:cs="SimSun"/>
          <w:sz w:val="21"/>
          <w:szCs w:val="21"/>
        </w:rPr>
        <w:t xml:space="preserve"> </w:t>
      </w:r>
      <w:r>
        <w:rPr>
          <w:rFonts w:ascii="SimSun" w:hAnsi="SimSun" w:eastAsia="SimSun" w:cs="SimSun"/>
          <w:sz w:val="21"/>
          <w:szCs w:val="21"/>
          <w:spacing w:val="-1"/>
        </w:rPr>
        <w:t>境内行人民币各项贷款余额</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1"/>
        </w:rPr>
        <w:t>68,482.63 </w:t>
      </w:r>
      <w:r>
        <w:rPr>
          <w:rFonts w:ascii="SimSun" w:hAnsi="SimSun" w:eastAsia="SimSun" w:cs="SimSun"/>
          <w:sz w:val="21"/>
          <w:szCs w:val="21"/>
          <w:spacing w:val="-1"/>
        </w:rPr>
        <w:t>亿元,</w:t>
      </w:r>
      <w:r>
        <w:rPr>
          <w:rFonts w:ascii="SimSun" w:hAnsi="SimSun" w:eastAsia="SimSun" w:cs="SimSun"/>
          <w:sz w:val="21"/>
          <w:szCs w:val="21"/>
          <w:spacing w:val="29"/>
        </w:rPr>
        <w:t xml:space="preserve"> </w:t>
      </w:r>
      <w:r>
        <w:rPr>
          <w:rFonts w:ascii="SimSun" w:hAnsi="SimSun" w:eastAsia="SimSun" w:cs="SimSun"/>
          <w:sz w:val="21"/>
          <w:szCs w:val="21"/>
          <w:spacing w:val="-1"/>
        </w:rPr>
        <w:t>较上年</w:t>
      </w:r>
      <w:r>
        <w:rPr>
          <w:rFonts w:ascii="SimSun" w:hAnsi="SimSun" w:eastAsia="SimSun" w:cs="SimSun"/>
          <w:sz w:val="21"/>
          <w:szCs w:val="21"/>
          <w:spacing w:val="-2"/>
        </w:rPr>
        <w:t>末增加</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2"/>
        </w:rPr>
        <w:t>7,867.30 </w:t>
      </w:r>
      <w:r>
        <w:rPr>
          <w:rFonts w:ascii="SimSun" w:hAnsi="SimSun" w:eastAsia="SimSun" w:cs="SimSun"/>
          <w:sz w:val="21"/>
          <w:szCs w:val="21"/>
          <w:spacing w:val="-2"/>
        </w:rPr>
        <w:t>亿元、增幅</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2"/>
        </w:rPr>
        <w:t>12.98%</w:t>
      </w:r>
      <w:r>
        <w:rPr>
          <w:rFonts w:ascii="SimSun" w:hAnsi="SimSun" w:eastAsia="SimSun" w:cs="SimSun"/>
          <w:sz w:val="21"/>
          <w:szCs w:val="21"/>
          <w:spacing w:val="-2"/>
        </w:rPr>
        <w:t>。</w:t>
      </w:r>
    </w:p>
    <w:p>
      <w:pPr>
        <w:pStyle w:val="BodyText"/>
        <w:spacing w:line="248" w:lineRule="auto"/>
        <w:rPr/>
      </w:pPr>
      <w:r/>
    </w:p>
    <w:p>
      <w:pPr>
        <w:ind w:left="24" w:firstLine="425"/>
        <w:spacing w:before="69" w:line="285" w:lineRule="auto"/>
        <w:rPr>
          <w:rFonts w:ascii="SimSun" w:hAnsi="SimSun" w:eastAsia="SimSun" w:cs="SimSun"/>
          <w:sz w:val="21"/>
          <w:szCs w:val="21"/>
        </w:rPr>
      </w:pPr>
      <w:r>
        <w:rPr>
          <w:rFonts w:ascii="SimSun" w:hAnsi="SimSun" w:eastAsia="SimSun" w:cs="SimSun"/>
          <w:sz w:val="21"/>
          <w:szCs w:val="21"/>
          <w:spacing w:val="-3"/>
        </w:rPr>
        <w:t>公司类贷款余额</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3"/>
        </w:rPr>
        <w:t>47,113.53</w:t>
      </w:r>
      <w:r>
        <w:rPr>
          <w:rFonts w:ascii="Times New Roman" w:hAnsi="Times New Roman" w:eastAsia="Times New Roman" w:cs="Times New Roman"/>
          <w:sz w:val="21"/>
          <w:szCs w:val="21"/>
          <w:spacing w:val="12"/>
        </w:rPr>
        <w:t xml:space="preserve"> </w:t>
      </w:r>
      <w:r>
        <w:rPr>
          <w:rFonts w:ascii="SimSun" w:hAnsi="SimSun" w:eastAsia="SimSun" w:cs="SimSun"/>
          <w:sz w:val="21"/>
          <w:szCs w:val="21"/>
          <w:spacing w:val="-3"/>
        </w:rPr>
        <w:t>亿元,</w:t>
      </w:r>
      <w:r>
        <w:rPr>
          <w:rFonts w:ascii="SimSun" w:hAnsi="SimSun" w:eastAsia="SimSun" w:cs="SimSun"/>
          <w:sz w:val="21"/>
          <w:szCs w:val="21"/>
          <w:spacing w:val="29"/>
        </w:rPr>
        <w:t xml:space="preserve"> </w:t>
      </w:r>
      <w:r>
        <w:rPr>
          <w:rFonts w:ascii="SimSun" w:hAnsi="SimSun" w:eastAsia="SimSun" w:cs="SimSun"/>
          <w:sz w:val="21"/>
          <w:szCs w:val="21"/>
          <w:spacing w:val="-3"/>
        </w:rPr>
        <w:t>较上年末增加</w:t>
      </w:r>
      <w:r>
        <w:rPr>
          <w:rFonts w:ascii="SimSun" w:hAnsi="SimSun" w:eastAsia="SimSun" w:cs="SimSun"/>
          <w:sz w:val="21"/>
          <w:szCs w:val="21"/>
          <w:spacing w:val="-38"/>
        </w:rPr>
        <w:t xml:space="preserve"> </w:t>
      </w:r>
      <w:r>
        <w:rPr>
          <w:rFonts w:ascii="Times New Roman" w:hAnsi="Times New Roman" w:eastAsia="Times New Roman" w:cs="Times New Roman"/>
          <w:sz w:val="21"/>
          <w:szCs w:val="21"/>
          <w:spacing w:val="-3"/>
        </w:rPr>
        <w:t>5,727.71</w:t>
      </w:r>
      <w:r>
        <w:rPr>
          <w:rFonts w:ascii="Times New Roman" w:hAnsi="Times New Roman" w:eastAsia="Times New Roman" w:cs="Times New Roman"/>
          <w:sz w:val="21"/>
          <w:szCs w:val="21"/>
          <w:spacing w:val="15"/>
        </w:rPr>
        <w:t xml:space="preserve"> </w:t>
      </w:r>
      <w:r>
        <w:rPr>
          <w:rFonts w:ascii="SimSun" w:hAnsi="SimSun" w:eastAsia="SimSun" w:cs="SimSun"/>
          <w:sz w:val="21"/>
          <w:szCs w:val="21"/>
          <w:spacing w:val="-3"/>
        </w:rPr>
        <w:t>亿元,</w:t>
      </w:r>
      <w:r>
        <w:rPr>
          <w:rFonts w:ascii="SimSun" w:hAnsi="SimSun" w:eastAsia="SimSun" w:cs="SimSun"/>
          <w:sz w:val="21"/>
          <w:szCs w:val="21"/>
          <w:spacing w:val="29"/>
        </w:rPr>
        <w:t xml:space="preserve"> </w:t>
      </w:r>
      <w:r>
        <w:rPr>
          <w:rFonts w:ascii="SimSun" w:hAnsi="SimSun" w:eastAsia="SimSun" w:cs="SimSun"/>
          <w:sz w:val="21"/>
          <w:szCs w:val="21"/>
          <w:spacing w:val="-3"/>
        </w:rPr>
        <w:t>增幅</w:t>
      </w:r>
      <w:r>
        <w:rPr>
          <w:rFonts w:ascii="SimSun" w:hAnsi="SimSun" w:eastAsia="SimSun" w:cs="SimSun"/>
          <w:sz w:val="21"/>
          <w:szCs w:val="21"/>
          <w:spacing w:val="-23"/>
        </w:rPr>
        <w:t xml:space="preserve"> </w:t>
      </w:r>
      <w:r>
        <w:rPr>
          <w:rFonts w:ascii="Times New Roman" w:hAnsi="Times New Roman" w:eastAsia="Times New Roman" w:cs="Times New Roman"/>
          <w:sz w:val="21"/>
          <w:szCs w:val="21"/>
          <w:spacing w:val="-3"/>
        </w:rPr>
        <w:t>13.84%</w:t>
      </w:r>
      <w:r>
        <w:rPr>
          <w:rFonts w:ascii="SimSun" w:hAnsi="SimSun" w:eastAsia="SimSun" w:cs="SimSun"/>
          <w:sz w:val="21"/>
          <w:szCs w:val="21"/>
          <w:spacing w:val="-3"/>
        </w:rPr>
        <w:t>,</w:t>
      </w:r>
      <w:r>
        <w:rPr>
          <w:rFonts w:ascii="SimSun" w:hAnsi="SimSun" w:eastAsia="SimSun" w:cs="SimSun"/>
          <w:sz w:val="21"/>
          <w:szCs w:val="21"/>
          <w:spacing w:val="28"/>
        </w:rPr>
        <w:t xml:space="preserve"> </w:t>
      </w:r>
      <w:r>
        <w:rPr>
          <w:rFonts w:ascii="SimSun" w:hAnsi="SimSun" w:eastAsia="SimSun" w:cs="SimSun"/>
          <w:sz w:val="21"/>
          <w:szCs w:val="21"/>
          <w:spacing w:val="-3"/>
        </w:rPr>
        <w:t>在客户贷款中的占比较</w:t>
      </w:r>
      <w:r>
        <w:rPr>
          <w:rFonts w:ascii="SimSun" w:hAnsi="SimSun" w:eastAsia="SimSun" w:cs="SimSun"/>
          <w:sz w:val="21"/>
          <w:szCs w:val="21"/>
        </w:rPr>
        <w:t xml:space="preserve"> </w:t>
      </w:r>
      <w:r>
        <w:rPr>
          <w:rFonts w:ascii="SimSun" w:hAnsi="SimSun" w:eastAsia="SimSun" w:cs="SimSun"/>
          <w:sz w:val="21"/>
          <w:szCs w:val="21"/>
          <w:spacing w:val="-3"/>
        </w:rPr>
        <w:t>上年末上升</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3"/>
        </w:rPr>
        <w:t>1.49 </w:t>
      </w:r>
      <w:r>
        <w:rPr>
          <w:rFonts w:ascii="SimSun" w:hAnsi="SimSun" w:eastAsia="SimSun" w:cs="SimSun"/>
          <w:sz w:val="21"/>
          <w:szCs w:val="21"/>
          <w:spacing w:val="-3"/>
        </w:rPr>
        <w:t>个百分点至</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3"/>
        </w:rPr>
        <w:t>64.58%</w:t>
      </w:r>
      <w:r>
        <w:rPr>
          <w:rFonts w:ascii="SimSun" w:hAnsi="SimSun" w:eastAsia="SimSun" w:cs="SimSun"/>
          <w:sz w:val="21"/>
          <w:szCs w:val="21"/>
          <w:spacing w:val="-4"/>
        </w:rPr>
        <w:t>。其中, 短期贷款增加</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4"/>
        </w:rPr>
        <w:t>1,289.61 </w:t>
      </w:r>
      <w:r>
        <w:rPr>
          <w:rFonts w:ascii="SimSun" w:hAnsi="SimSun" w:eastAsia="SimSun" w:cs="SimSun"/>
          <w:sz w:val="21"/>
          <w:szCs w:val="21"/>
          <w:spacing w:val="-4"/>
        </w:rPr>
        <w:t>亿元; 中长期贷款增加</w:t>
      </w:r>
      <w:r>
        <w:rPr>
          <w:rFonts w:ascii="SimSun" w:hAnsi="SimSun" w:eastAsia="SimSun" w:cs="SimSun"/>
          <w:sz w:val="21"/>
          <w:szCs w:val="21"/>
          <w:spacing w:val="-49"/>
        </w:rPr>
        <w:t xml:space="preserve"> </w:t>
      </w:r>
      <w:r>
        <w:rPr>
          <w:rFonts w:ascii="Times New Roman" w:hAnsi="Times New Roman" w:eastAsia="Times New Roman" w:cs="Times New Roman"/>
          <w:sz w:val="21"/>
          <w:szCs w:val="21"/>
          <w:spacing w:val="-4"/>
        </w:rPr>
        <w:t>4,438.10 </w:t>
      </w:r>
      <w:r>
        <w:rPr>
          <w:rFonts w:ascii="SimSun" w:hAnsi="SimSun" w:eastAsia="SimSun" w:cs="SimSun"/>
          <w:sz w:val="21"/>
          <w:szCs w:val="21"/>
          <w:spacing w:val="-4"/>
        </w:rPr>
        <w:t>亿元,</w:t>
      </w:r>
      <w:r>
        <w:rPr>
          <w:rFonts w:ascii="SimSun" w:hAnsi="SimSun" w:eastAsia="SimSun" w:cs="SimSun"/>
          <w:sz w:val="21"/>
          <w:szCs w:val="21"/>
        </w:rPr>
        <w:t xml:space="preserve">  </w:t>
      </w:r>
      <w:r>
        <w:rPr>
          <w:rFonts w:ascii="SimSun" w:hAnsi="SimSun" w:eastAsia="SimSun" w:cs="SimSun"/>
          <w:sz w:val="21"/>
          <w:szCs w:val="21"/>
          <w:spacing w:val="-1"/>
        </w:rPr>
        <w:t>中长期贷款在客户贷款中的占比提高至</w:t>
      </w:r>
      <w:r>
        <w:rPr>
          <w:rFonts w:ascii="SimSun" w:hAnsi="SimSun" w:eastAsia="SimSun" w:cs="SimSun"/>
          <w:sz w:val="21"/>
          <w:szCs w:val="21"/>
          <w:spacing w:val="-34"/>
        </w:rPr>
        <w:t xml:space="preserve"> </w:t>
      </w:r>
      <w:r>
        <w:rPr>
          <w:rFonts w:ascii="Times New Roman" w:hAnsi="Times New Roman" w:eastAsia="Times New Roman" w:cs="Times New Roman"/>
          <w:sz w:val="21"/>
          <w:szCs w:val="21"/>
          <w:spacing w:val="-1"/>
        </w:rPr>
        <w:t>44.87%</w:t>
      </w:r>
      <w:r>
        <w:rPr>
          <w:rFonts w:ascii="SimSun" w:hAnsi="SimSun" w:eastAsia="SimSun" w:cs="SimSun"/>
          <w:sz w:val="21"/>
          <w:szCs w:val="21"/>
          <w:spacing w:val="-1"/>
        </w:rPr>
        <w:t>。</w:t>
      </w:r>
    </w:p>
    <w:p>
      <w:pPr>
        <w:spacing w:line="285" w:lineRule="auto"/>
        <w:sectPr>
          <w:footerReference w:type="default" r:id="rId27"/>
          <w:pgSz w:w="11907" w:h="16839"/>
          <w:pgMar w:top="1196" w:right="1131" w:bottom="1375" w:left="1118" w:header="0" w:footer="1211" w:gutter="0"/>
        </w:sectPr>
        <w:rPr>
          <w:rFonts w:ascii="SimSun" w:hAnsi="SimSun" w:eastAsia="SimSun" w:cs="SimSun"/>
          <w:sz w:val="21"/>
          <w:szCs w:val="21"/>
        </w:rPr>
      </w:pPr>
    </w:p>
    <w:p>
      <w:pPr>
        <w:ind w:left="20" w:right="215" w:firstLine="423"/>
        <w:spacing w:before="43" w:line="284" w:lineRule="auto"/>
        <w:jc w:val="both"/>
        <w:rPr>
          <w:rFonts w:ascii="SimSun" w:hAnsi="SimSun" w:eastAsia="SimSun" w:cs="SimSun"/>
          <w:sz w:val="21"/>
          <w:szCs w:val="21"/>
        </w:rPr>
      </w:pPr>
      <w:r>
        <w:rPr>
          <w:rFonts w:ascii="SimSun" w:hAnsi="SimSun" w:eastAsia="SimSun" w:cs="SimSun"/>
          <w:sz w:val="21"/>
          <w:szCs w:val="21"/>
        </w:rPr>
        <w:t>个人贷款余额</w:t>
      </w:r>
      <w:r>
        <w:rPr>
          <w:rFonts w:ascii="SimSun" w:hAnsi="SimSun" w:eastAsia="SimSun" w:cs="SimSun"/>
          <w:sz w:val="21"/>
          <w:szCs w:val="21"/>
          <w:spacing w:val="-41"/>
        </w:rPr>
        <w:t xml:space="preserve"> </w:t>
      </w:r>
      <w:r>
        <w:rPr>
          <w:rFonts w:ascii="Times New Roman" w:hAnsi="Times New Roman" w:eastAsia="Times New Roman" w:cs="Times New Roman"/>
          <w:sz w:val="21"/>
          <w:szCs w:val="21"/>
        </w:rPr>
        <w:t>23,665.07 </w:t>
      </w:r>
      <w:r>
        <w:rPr>
          <w:rFonts w:ascii="SimSun" w:hAnsi="SimSun" w:eastAsia="SimSun" w:cs="SimSun"/>
          <w:sz w:val="21"/>
          <w:szCs w:val="21"/>
        </w:rPr>
        <w:t>亿元,较上年末增加</w:t>
      </w:r>
      <w:r>
        <w:rPr>
          <w:rFonts w:ascii="SimSun" w:hAnsi="SimSun" w:eastAsia="SimSun" w:cs="SimSun"/>
          <w:sz w:val="21"/>
          <w:szCs w:val="21"/>
          <w:spacing w:val="-39"/>
        </w:rPr>
        <w:t xml:space="preserve"> </w:t>
      </w:r>
      <w:r>
        <w:rPr>
          <w:rFonts w:ascii="Times New Roman" w:hAnsi="Times New Roman" w:eastAsia="Times New Roman" w:cs="Times New Roman"/>
          <w:sz w:val="21"/>
          <w:szCs w:val="21"/>
        </w:rPr>
        <w:t>814.11 </w:t>
      </w:r>
      <w:r>
        <w:rPr>
          <w:rFonts w:ascii="SimSun" w:hAnsi="SimSun" w:eastAsia="SimSun" w:cs="SimSun"/>
          <w:sz w:val="21"/>
          <w:szCs w:val="21"/>
        </w:rPr>
        <w:t>亿元,</w:t>
      </w:r>
      <w:r>
        <w:rPr>
          <w:rFonts w:ascii="SimSun" w:hAnsi="SimSun" w:eastAsia="SimSun" w:cs="SimSun"/>
          <w:sz w:val="21"/>
          <w:szCs w:val="21"/>
          <w:spacing w:val="29"/>
        </w:rPr>
        <w:t xml:space="preserve"> </w:t>
      </w:r>
      <w:r>
        <w:rPr>
          <w:rFonts w:ascii="SimSun" w:hAnsi="SimSun" w:eastAsia="SimSun" w:cs="SimSun"/>
          <w:sz w:val="21"/>
          <w:szCs w:val="21"/>
        </w:rPr>
        <w:t>增幅</w:t>
      </w:r>
      <w:r>
        <w:rPr>
          <w:rFonts w:ascii="SimSun" w:hAnsi="SimSun" w:eastAsia="SimSun" w:cs="SimSun"/>
          <w:sz w:val="21"/>
          <w:szCs w:val="21"/>
          <w:spacing w:val="-43"/>
        </w:rPr>
        <w:t xml:space="preserve"> </w:t>
      </w:r>
      <w:r>
        <w:rPr>
          <w:rFonts w:ascii="Times New Roman" w:hAnsi="Times New Roman" w:eastAsia="Times New Roman" w:cs="Times New Roman"/>
          <w:sz w:val="21"/>
          <w:szCs w:val="21"/>
        </w:rPr>
        <w:t>3.56%</w:t>
      </w:r>
      <w:r>
        <w:rPr>
          <w:rFonts w:ascii="SimSun" w:hAnsi="SimSun" w:eastAsia="SimSun" w:cs="SimSun"/>
          <w:sz w:val="21"/>
          <w:szCs w:val="21"/>
        </w:rPr>
        <w:t>,</w:t>
      </w:r>
      <w:r>
        <w:rPr>
          <w:rFonts w:ascii="SimSun" w:hAnsi="SimSun" w:eastAsia="SimSun" w:cs="SimSun"/>
          <w:sz w:val="21"/>
          <w:szCs w:val="21"/>
          <w:spacing w:val="28"/>
        </w:rPr>
        <w:t xml:space="preserve"> </w:t>
      </w:r>
      <w:r>
        <w:rPr>
          <w:rFonts w:ascii="SimSun" w:hAnsi="SimSun" w:eastAsia="SimSun" w:cs="SimSun"/>
          <w:sz w:val="21"/>
          <w:szCs w:val="21"/>
        </w:rPr>
        <w:t>在客户贷款中的占比较上 </w:t>
      </w:r>
      <w:r>
        <w:rPr>
          <w:rFonts w:ascii="SimSun" w:hAnsi="SimSun" w:eastAsia="SimSun" w:cs="SimSun"/>
          <w:sz w:val="21"/>
          <w:szCs w:val="21"/>
          <w:spacing w:val="3"/>
        </w:rPr>
        <w:t>年末下降</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3"/>
        </w:rPr>
        <w:t>2.40 </w:t>
      </w:r>
      <w:r>
        <w:rPr>
          <w:rFonts w:ascii="SimSun" w:hAnsi="SimSun" w:eastAsia="SimSun" w:cs="SimSun"/>
          <w:sz w:val="21"/>
          <w:szCs w:val="21"/>
          <w:spacing w:val="3"/>
        </w:rPr>
        <w:t>个百分点至</w:t>
      </w:r>
      <w:r>
        <w:rPr>
          <w:rFonts w:ascii="SimSun" w:hAnsi="SimSun" w:eastAsia="SimSun" w:cs="SimSun"/>
          <w:sz w:val="21"/>
          <w:szCs w:val="21"/>
          <w:spacing w:val="-46"/>
        </w:rPr>
        <w:t xml:space="preserve"> </w:t>
      </w:r>
      <w:r>
        <w:rPr>
          <w:rFonts w:ascii="Times New Roman" w:hAnsi="Times New Roman" w:eastAsia="Times New Roman" w:cs="Times New Roman"/>
          <w:sz w:val="21"/>
          <w:szCs w:val="21"/>
          <w:spacing w:val="3"/>
        </w:rPr>
        <w:t>32.43%</w:t>
      </w:r>
      <w:r>
        <w:rPr>
          <w:rFonts w:ascii="SimSun" w:hAnsi="SimSun" w:eastAsia="SimSun" w:cs="SimSun"/>
          <w:sz w:val="21"/>
          <w:szCs w:val="21"/>
          <w:spacing w:val="3"/>
        </w:rPr>
        <w:t>。其中个人住房贷款较上年末增加</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231.31 </w:t>
      </w:r>
      <w:r>
        <w:rPr>
          <w:rFonts w:ascii="SimSun" w:hAnsi="SimSun" w:eastAsia="SimSun" w:cs="SimSun"/>
          <w:sz w:val="21"/>
          <w:szCs w:val="21"/>
          <w:spacing w:val="3"/>
        </w:rPr>
        <w:t>亿元,增幅</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3"/>
        </w:rPr>
        <w:t>1.55%</w:t>
      </w:r>
      <w:r>
        <w:rPr>
          <w:rFonts w:ascii="SimSun" w:hAnsi="SimSun" w:eastAsia="SimSun" w:cs="SimSun"/>
          <w:sz w:val="21"/>
          <w:szCs w:val="21"/>
          <w:spacing w:val="3"/>
        </w:rPr>
        <w:t>,</w:t>
      </w:r>
      <w:r>
        <w:rPr>
          <w:rFonts w:ascii="SimSun" w:hAnsi="SimSun" w:eastAsia="SimSun" w:cs="SimSun"/>
          <w:sz w:val="21"/>
          <w:szCs w:val="21"/>
          <w:spacing w:val="2"/>
        </w:rPr>
        <w:t>在客户</w:t>
      </w:r>
      <w:r>
        <w:rPr>
          <w:rFonts w:ascii="SimSun" w:hAnsi="SimSun" w:eastAsia="SimSun" w:cs="SimSun"/>
          <w:sz w:val="21"/>
          <w:szCs w:val="21"/>
        </w:rPr>
        <w:t xml:space="preserve"> </w:t>
      </w:r>
      <w:r>
        <w:rPr>
          <w:rFonts w:ascii="SimSun" w:hAnsi="SimSun" w:eastAsia="SimSun" w:cs="SimSun"/>
          <w:sz w:val="21"/>
          <w:szCs w:val="21"/>
        </w:rPr>
        <w:t>贷款中的占比较上年末下降</w:t>
      </w:r>
      <w:r>
        <w:rPr>
          <w:rFonts w:ascii="SimSun" w:hAnsi="SimSun" w:eastAsia="SimSun" w:cs="SimSun"/>
          <w:sz w:val="21"/>
          <w:szCs w:val="21"/>
          <w:spacing w:val="-51"/>
        </w:rPr>
        <w:t xml:space="preserve"> </w:t>
      </w:r>
      <w:r>
        <w:rPr>
          <w:rFonts w:ascii="Times New Roman" w:hAnsi="Times New Roman" w:eastAsia="Times New Roman" w:cs="Times New Roman"/>
          <w:sz w:val="21"/>
          <w:szCs w:val="21"/>
        </w:rPr>
        <w:t>1.97</w:t>
      </w:r>
      <w:r>
        <w:rPr>
          <w:rFonts w:ascii="Times New Roman" w:hAnsi="Times New Roman" w:eastAsia="Times New Roman" w:cs="Times New Roman"/>
          <w:sz w:val="21"/>
          <w:szCs w:val="21"/>
          <w:spacing w:val="-15"/>
        </w:rPr>
        <w:t xml:space="preserve"> </w:t>
      </w:r>
      <w:r>
        <w:rPr>
          <w:rFonts w:ascii="SimSun" w:hAnsi="SimSun" w:eastAsia="SimSun" w:cs="SimSun"/>
          <w:sz w:val="21"/>
          <w:szCs w:val="21"/>
        </w:rPr>
        <w:t>个百分点至</w:t>
      </w:r>
      <w:r>
        <w:rPr>
          <w:rFonts w:ascii="Times New Roman" w:hAnsi="Times New Roman" w:eastAsia="Times New Roman" w:cs="Times New Roman"/>
          <w:sz w:val="21"/>
          <w:szCs w:val="21"/>
          <w:spacing w:val="-1"/>
        </w:rPr>
        <w:t>20.73%</w:t>
      </w:r>
      <w:r>
        <w:rPr>
          <w:rFonts w:ascii="SimSun" w:hAnsi="SimSun" w:eastAsia="SimSun" w:cs="SimSun"/>
          <w:sz w:val="21"/>
          <w:szCs w:val="21"/>
          <w:spacing w:val="-1"/>
        </w:rPr>
        <w:t>;信用卡贷款较上年末减少</w:t>
      </w:r>
      <w:r>
        <w:rPr>
          <w:rFonts w:ascii="SimSun" w:hAnsi="SimSun" w:eastAsia="SimSun" w:cs="SimSun"/>
          <w:sz w:val="21"/>
          <w:szCs w:val="21"/>
          <w:spacing w:val="-54"/>
        </w:rPr>
        <w:t xml:space="preserve"> </w:t>
      </w:r>
      <w:r>
        <w:rPr>
          <w:rFonts w:ascii="Times New Roman" w:hAnsi="Times New Roman" w:eastAsia="Times New Roman" w:cs="Times New Roman"/>
          <w:sz w:val="21"/>
          <w:szCs w:val="21"/>
          <w:spacing w:val="-1"/>
        </w:rPr>
        <w:t>148.34</w:t>
      </w:r>
      <w:r>
        <w:rPr>
          <w:rFonts w:ascii="Times New Roman" w:hAnsi="Times New Roman" w:eastAsia="Times New Roman" w:cs="Times New Roman"/>
          <w:sz w:val="21"/>
          <w:szCs w:val="21"/>
          <w:spacing w:val="-17"/>
        </w:rPr>
        <w:t xml:space="preserve"> </w:t>
      </w:r>
      <w:r>
        <w:rPr>
          <w:rFonts w:ascii="SimSun" w:hAnsi="SimSun" w:eastAsia="SimSun" w:cs="SimSun"/>
          <w:sz w:val="21"/>
          <w:szCs w:val="21"/>
          <w:spacing w:val="-1"/>
        </w:rPr>
        <w:t>亿元,降幅</w:t>
      </w:r>
      <w:r>
        <w:rPr>
          <w:rFonts w:ascii="Times New Roman" w:hAnsi="Times New Roman" w:eastAsia="Times New Roman" w:cs="Times New Roman"/>
          <w:sz w:val="21"/>
          <w:szCs w:val="21"/>
          <w:spacing w:val="-1"/>
        </w:rPr>
        <w:t>3.01%</w:t>
      </w:r>
      <w:r>
        <w:rPr>
          <w:rFonts w:ascii="SimSun" w:hAnsi="SimSun" w:eastAsia="SimSun" w:cs="SimSun"/>
          <w:sz w:val="21"/>
          <w:szCs w:val="21"/>
          <w:spacing w:val="-1"/>
        </w:rPr>
        <w:t>。</w:t>
      </w:r>
    </w:p>
    <w:p>
      <w:pPr>
        <w:pStyle w:val="BodyText"/>
        <w:spacing w:line="243" w:lineRule="auto"/>
        <w:rPr/>
      </w:pPr>
      <w:r/>
    </w:p>
    <w:p>
      <w:pPr>
        <w:ind w:left="444"/>
        <w:spacing w:before="69" w:line="218" w:lineRule="auto"/>
        <w:rPr>
          <w:rFonts w:ascii="SimSun" w:hAnsi="SimSun" w:eastAsia="SimSun" w:cs="SimSun"/>
          <w:sz w:val="21"/>
          <w:szCs w:val="21"/>
        </w:rPr>
      </w:pPr>
      <w:r>
        <w:rPr>
          <w:rFonts w:ascii="SimSun" w:hAnsi="SimSun" w:eastAsia="SimSun" w:cs="SimSun"/>
          <w:sz w:val="21"/>
          <w:szCs w:val="21"/>
          <w:spacing w:val="-2"/>
        </w:rPr>
        <w:t>票据贴现较上年末增加</w:t>
      </w:r>
      <w:r>
        <w:rPr>
          <w:rFonts w:ascii="SimSun" w:hAnsi="SimSun" w:eastAsia="SimSun" w:cs="SimSun"/>
          <w:sz w:val="21"/>
          <w:szCs w:val="21"/>
          <w:spacing w:val="-39"/>
        </w:rPr>
        <w:t xml:space="preserve"> </w:t>
      </w:r>
      <w:r>
        <w:rPr>
          <w:rFonts w:ascii="Times New Roman" w:hAnsi="Times New Roman" w:eastAsia="Times New Roman" w:cs="Times New Roman"/>
          <w:sz w:val="21"/>
          <w:szCs w:val="21"/>
          <w:spacing w:val="-2"/>
        </w:rPr>
        <w:t>815.73 </w:t>
      </w:r>
      <w:r>
        <w:rPr>
          <w:rFonts w:ascii="SimSun" w:hAnsi="SimSun" w:eastAsia="SimSun" w:cs="SimSun"/>
          <w:sz w:val="21"/>
          <w:szCs w:val="21"/>
          <w:spacing w:val="-2"/>
        </w:rPr>
        <w:t>亿元,</w:t>
      </w:r>
      <w:r>
        <w:rPr>
          <w:rFonts w:ascii="SimSun" w:hAnsi="SimSun" w:eastAsia="SimSun" w:cs="SimSun"/>
          <w:sz w:val="21"/>
          <w:szCs w:val="21"/>
          <w:spacing w:val="29"/>
        </w:rPr>
        <w:t xml:space="preserve"> </w:t>
      </w:r>
      <w:r>
        <w:rPr>
          <w:rFonts w:ascii="SimSun" w:hAnsi="SimSun" w:eastAsia="SimSun" w:cs="SimSun"/>
          <w:sz w:val="21"/>
          <w:szCs w:val="21"/>
          <w:spacing w:val="-2"/>
        </w:rPr>
        <w:t>增幅</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2"/>
        </w:rPr>
        <w:t>59.</w:t>
      </w:r>
      <w:r>
        <w:rPr>
          <w:rFonts w:ascii="Times New Roman" w:hAnsi="Times New Roman" w:eastAsia="Times New Roman" w:cs="Times New Roman"/>
          <w:sz w:val="21"/>
          <w:szCs w:val="21"/>
          <w:spacing w:val="-3"/>
        </w:rPr>
        <w:t>66%</w:t>
      </w:r>
      <w:r>
        <w:rPr>
          <w:rFonts w:ascii="SimSun" w:hAnsi="SimSun" w:eastAsia="SimSun" w:cs="SimSun"/>
          <w:sz w:val="21"/>
          <w:szCs w:val="21"/>
          <w:spacing w:val="-3"/>
        </w:rPr>
        <w:t>。</w:t>
      </w:r>
    </w:p>
    <w:p>
      <w:pPr>
        <w:pStyle w:val="BodyText"/>
        <w:rPr/>
      </w:pPr>
      <w:r/>
    </w:p>
    <w:p>
      <w:pPr>
        <w:ind w:left="447"/>
        <w:spacing w:before="68" w:line="221" w:lineRule="auto"/>
        <w:rPr>
          <w:rFonts w:ascii="SimSun" w:hAnsi="SimSun" w:eastAsia="SimSun" w:cs="SimSun"/>
          <w:sz w:val="21"/>
          <w:szCs w:val="21"/>
        </w:rPr>
      </w:pPr>
      <w:r>
        <w:rPr>
          <w:rFonts w:ascii="SimSun" w:hAnsi="SimSun" w:eastAsia="SimSun" w:cs="SimSun"/>
          <w:sz w:val="21"/>
          <w:szCs w:val="21"/>
          <w:b/>
          <w:bCs/>
          <w:spacing w:val="-2"/>
        </w:rPr>
        <w:t>按担保方式划分的客户贷款分布情况</w:t>
      </w:r>
    </w:p>
    <w:p>
      <w:pPr>
        <w:pStyle w:val="BodyText"/>
        <w:spacing w:line="275" w:lineRule="auto"/>
        <w:rPr/>
      </w:pPr>
      <w:r/>
    </w:p>
    <w:p>
      <w:pPr>
        <w:ind w:left="7190"/>
        <w:spacing w:before="58" w:line="212" w:lineRule="auto"/>
        <w:rPr>
          <w:rFonts w:ascii="SimSun" w:hAnsi="SimSun" w:eastAsia="SimSun" w:cs="SimSun"/>
          <w:sz w:val="18"/>
          <w:szCs w:val="18"/>
        </w:rPr>
      </w:pPr>
      <w:r>
        <w:rPr>
          <w:rFonts w:ascii="SimSun" w:hAnsi="SimSun" w:eastAsia="SimSun" w:cs="SimSun"/>
          <w:sz w:val="18"/>
          <w:szCs w:val="18"/>
        </w:rPr>
        <w:t>(除另有标明外</w:t>
      </w:r>
      <w:r>
        <w:rPr>
          <w:rFonts w:ascii="Times New Roman" w:hAnsi="Times New Roman" w:eastAsia="Times New Roman" w:cs="Times New Roman"/>
          <w:sz w:val="18"/>
          <w:szCs w:val="18"/>
        </w:rPr>
        <w:t>,</w:t>
      </w:r>
      <w:r>
        <w:rPr>
          <w:rFonts w:ascii="SimSun" w:hAnsi="SimSun" w:eastAsia="SimSun" w:cs="SimSun"/>
          <w:sz w:val="18"/>
          <w:szCs w:val="18"/>
        </w:rPr>
        <w:t>人民币百万元)</w:t>
      </w:r>
    </w:p>
    <w:p>
      <w:pPr>
        <w:spacing w:line="19" w:lineRule="exact"/>
        <w:rPr/>
      </w:pPr>
      <w:r/>
    </w:p>
    <w:tbl>
      <w:tblPr>
        <w:tblStyle w:val="TableNormal"/>
        <w:tblW w:w="9654"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676"/>
        <w:gridCol w:w="20"/>
        <w:gridCol w:w="2159"/>
        <w:gridCol w:w="1945"/>
        <w:gridCol w:w="2314"/>
        <w:gridCol w:w="1540"/>
      </w:tblGrid>
      <w:tr>
        <w:trPr>
          <w:trHeight w:val="386" w:hRule="atLeast"/>
        </w:trPr>
        <w:tc>
          <w:tcPr>
            <w:tcW w:w="1696" w:type="dxa"/>
            <w:vAlign w:val="top"/>
            <w:gridSpan w:val="2"/>
            <w:vMerge w:val="restart"/>
            <w:tcBorders>
              <w:bottom w:val="nil"/>
              <w:top w:val="single" w:color="000000" w:sz="2" w:space="0"/>
            </w:tcBorders>
          </w:tcPr>
          <w:p>
            <w:pPr>
              <w:rPr>
                <w:rFonts w:ascii="Arial"/>
                <w:sz w:val="21"/>
              </w:rPr>
            </w:pPr>
            <w:r/>
          </w:p>
        </w:tc>
        <w:tc>
          <w:tcPr>
            <w:shd w:val="clear" w:fill="DBE5F1"/>
            <w:tcW w:w="4104" w:type="dxa"/>
            <w:vAlign w:val="top"/>
            <w:gridSpan w:val="2"/>
            <w:tcBorders>
              <w:bottom w:val="single" w:color="000000" w:sz="2" w:space="0"/>
              <w:top w:val="single" w:color="000000" w:sz="2" w:space="0"/>
            </w:tcBorders>
          </w:tcPr>
          <w:p>
            <w:pPr>
              <w:pStyle w:val="TableText"/>
              <w:ind w:left="1446"/>
              <w:spacing w:before="116" w:line="220" w:lineRule="auto"/>
              <w:rPr>
                <w:sz w:val="18"/>
                <w:szCs w:val="18"/>
              </w:rPr>
            </w:pPr>
            <w:r>
              <w:rPr>
                <w:rFonts w:ascii="Times New Roman" w:hAnsi="Times New Roman" w:eastAsia="Times New Roman" w:cs="Times New Roman"/>
                <w:sz w:val="18"/>
                <w:szCs w:val="18"/>
                <w:b/>
                <w:bCs/>
                <w:spacing w:val="-1"/>
              </w:rPr>
              <w:t>2022</w:t>
            </w:r>
            <w:r>
              <w:rPr>
                <w:sz w:val="18"/>
                <w:szCs w:val="18"/>
                <w:b/>
                <w:bCs/>
                <w:spacing w:val="-1"/>
              </w:rPr>
              <w:t>年</w:t>
            </w:r>
            <w:r>
              <w:rPr>
                <w:rFonts w:ascii="Times New Roman" w:hAnsi="Times New Roman" w:eastAsia="Times New Roman" w:cs="Times New Roman"/>
                <w:sz w:val="18"/>
                <w:szCs w:val="18"/>
                <w:b/>
                <w:bCs/>
                <w:spacing w:val="-1"/>
              </w:rPr>
              <w:t>12</w:t>
            </w:r>
            <w:r>
              <w:rPr>
                <w:sz w:val="18"/>
                <w:szCs w:val="18"/>
                <w:b/>
                <w:bCs/>
                <w:spacing w:val="-1"/>
              </w:rPr>
              <w:t>月</w:t>
            </w:r>
            <w:r>
              <w:rPr>
                <w:rFonts w:ascii="Times New Roman" w:hAnsi="Times New Roman" w:eastAsia="Times New Roman" w:cs="Times New Roman"/>
                <w:sz w:val="18"/>
                <w:szCs w:val="18"/>
                <w:b/>
                <w:bCs/>
                <w:spacing w:val="-1"/>
              </w:rPr>
              <w:t>31</w:t>
            </w:r>
            <w:r>
              <w:rPr>
                <w:sz w:val="18"/>
                <w:szCs w:val="18"/>
                <w:b/>
                <w:bCs/>
                <w:spacing w:val="-1"/>
              </w:rPr>
              <w:t>日</w:t>
            </w:r>
          </w:p>
        </w:tc>
        <w:tc>
          <w:tcPr>
            <w:tcW w:w="3854" w:type="dxa"/>
            <w:vAlign w:val="top"/>
            <w:gridSpan w:val="2"/>
            <w:tcBorders>
              <w:bottom w:val="single" w:color="000000" w:sz="2" w:space="0"/>
              <w:top w:val="single" w:color="000000" w:sz="2" w:space="0"/>
            </w:tcBorders>
          </w:tcPr>
          <w:p>
            <w:pPr>
              <w:pStyle w:val="TableText"/>
              <w:ind w:left="1299"/>
              <w:spacing w:before="116" w:line="220" w:lineRule="auto"/>
              <w:rPr>
                <w:sz w:val="18"/>
                <w:szCs w:val="18"/>
              </w:rPr>
            </w:pPr>
            <w:r>
              <w:rPr>
                <w:rFonts w:ascii="Times New Roman" w:hAnsi="Times New Roman" w:eastAsia="Times New Roman" w:cs="Times New Roman"/>
                <w:sz w:val="18"/>
                <w:szCs w:val="18"/>
                <w:spacing w:val="-1"/>
              </w:rPr>
              <w:t>2021</w:t>
            </w:r>
            <w:r>
              <w:rPr>
                <w:sz w:val="18"/>
                <w:szCs w:val="18"/>
                <w:spacing w:val="-1"/>
              </w:rPr>
              <w:t>年</w:t>
            </w:r>
            <w:r>
              <w:rPr>
                <w:rFonts w:ascii="Times New Roman" w:hAnsi="Times New Roman" w:eastAsia="Times New Roman" w:cs="Times New Roman"/>
                <w:sz w:val="18"/>
                <w:szCs w:val="18"/>
                <w:spacing w:val="-1"/>
              </w:rPr>
              <w:t>12</w:t>
            </w:r>
            <w:r>
              <w:rPr>
                <w:sz w:val="18"/>
                <w:szCs w:val="18"/>
                <w:spacing w:val="-1"/>
              </w:rPr>
              <w:t>月</w:t>
            </w:r>
            <w:r>
              <w:rPr>
                <w:rFonts w:ascii="Times New Roman" w:hAnsi="Times New Roman" w:eastAsia="Times New Roman" w:cs="Times New Roman"/>
                <w:sz w:val="18"/>
                <w:szCs w:val="18"/>
                <w:spacing w:val="-1"/>
              </w:rPr>
              <w:t>31</w:t>
            </w:r>
            <w:r>
              <w:rPr>
                <w:sz w:val="18"/>
                <w:szCs w:val="18"/>
                <w:spacing w:val="-1"/>
              </w:rPr>
              <w:t>日</w:t>
            </w:r>
          </w:p>
        </w:tc>
      </w:tr>
      <w:tr>
        <w:trPr>
          <w:trHeight w:val="378" w:hRule="atLeast"/>
        </w:trPr>
        <w:tc>
          <w:tcPr>
            <w:tcW w:w="1696" w:type="dxa"/>
            <w:vAlign w:val="top"/>
            <w:gridSpan w:val="2"/>
            <w:vMerge w:val="continue"/>
            <w:tcBorders>
              <w:bottom w:val="single" w:color="000000" w:sz="2" w:space="0"/>
              <w:top w:val="nil"/>
            </w:tcBorders>
          </w:tcPr>
          <w:p>
            <w:pPr>
              <w:rPr>
                <w:rFonts w:ascii="Arial"/>
                <w:sz w:val="21"/>
              </w:rPr>
            </w:pPr>
            <w:r/>
          </w:p>
        </w:tc>
        <w:tc>
          <w:tcPr>
            <w:shd w:val="clear" w:fill="DBE5F1"/>
            <w:tcW w:w="2159" w:type="dxa"/>
            <w:vAlign w:val="top"/>
            <w:tcBorders>
              <w:bottom w:val="single" w:color="000000" w:sz="2" w:space="0"/>
              <w:top w:val="single" w:color="000000" w:sz="2" w:space="0"/>
            </w:tcBorders>
          </w:tcPr>
          <w:p>
            <w:pPr>
              <w:pStyle w:val="TableText"/>
              <w:ind w:left="1744"/>
              <w:spacing w:before="109" w:line="220" w:lineRule="auto"/>
              <w:rPr>
                <w:sz w:val="18"/>
                <w:szCs w:val="18"/>
              </w:rPr>
            </w:pPr>
            <w:r>
              <w:rPr>
                <w:sz w:val="18"/>
                <w:szCs w:val="18"/>
                <w:b/>
                <w:bCs/>
                <w:spacing w:val="-4"/>
              </w:rPr>
              <w:t>余额</w:t>
            </w:r>
          </w:p>
        </w:tc>
        <w:tc>
          <w:tcPr>
            <w:shd w:val="clear" w:fill="DBE5F1"/>
            <w:tcW w:w="1945" w:type="dxa"/>
            <w:vAlign w:val="top"/>
            <w:tcBorders>
              <w:bottom w:val="single" w:color="000000" w:sz="2" w:space="0"/>
              <w:top w:val="single" w:color="000000" w:sz="2" w:space="0"/>
            </w:tcBorders>
          </w:tcPr>
          <w:p>
            <w:pPr>
              <w:pStyle w:val="TableText"/>
              <w:ind w:left="1263"/>
              <w:spacing w:before="109" w:line="212" w:lineRule="auto"/>
              <w:rPr>
                <w:rFonts w:ascii="Times New Roman" w:hAnsi="Times New Roman" w:eastAsia="Times New Roman" w:cs="Times New Roman"/>
                <w:sz w:val="18"/>
                <w:szCs w:val="18"/>
              </w:rPr>
            </w:pPr>
            <w:r>
              <w:rPr>
                <w:sz w:val="18"/>
                <w:szCs w:val="18"/>
                <w:b/>
                <w:bCs/>
                <w:spacing w:val="-8"/>
              </w:rPr>
              <w:t>占比</w:t>
            </w:r>
            <w:r>
              <w:rPr>
                <w:rFonts w:ascii="Times New Roman" w:hAnsi="Times New Roman" w:eastAsia="Times New Roman" w:cs="Times New Roman"/>
                <w:sz w:val="18"/>
                <w:szCs w:val="18"/>
                <w:b/>
                <w:bCs/>
                <w:spacing w:val="-8"/>
              </w:rPr>
              <w:t>(%)</w:t>
            </w:r>
          </w:p>
        </w:tc>
        <w:tc>
          <w:tcPr>
            <w:tcW w:w="2314" w:type="dxa"/>
            <w:vAlign w:val="top"/>
            <w:tcBorders>
              <w:bottom w:val="single" w:color="000000" w:sz="2" w:space="0"/>
              <w:top w:val="single" w:color="000000" w:sz="2" w:space="0"/>
            </w:tcBorders>
          </w:tcPr>
          <w:p>
            <w:pPr>
              <w:pStyle w:val="TableText"/>
              <w:ind w:left="1620"/>
              <w:spacing w:before="109" w:line="220" w:lineRule="auto"/>
              <w:rPr>
                <w:sz w:val="18"/>
                <w:szCs w:val="18"/>
              </w:rPr>
            </w:pPr>
            <w:r>
              <w:rPr>
                <w:sz w:val="18"/>
                <w:szCs w:val="18"/>
                <w:spacing w:val="-2"/>
              </w:rPr>
              <w:t>余额</w:t>
            </w:r>
          </w:p>
        </w:tc>
        <w:tc>
          <w:tcPr>
            <w:tcW w:w="1540" w:type="dxa"/>
            <w:vAlign w:val="top"/>
            <w:tcBorders>
              <w:bottom w:val="single" w:color="000000" w:sz="2" w:space="0"/>
              <w:top w:val="single" w:color="000000" w:sz="2" w:space="0"/>
            </w:tcBorders>
          </w:tcPr>
          <w:p>
            <w:pPr>
              <w:pStyle w:val="TableText"/>
              <w:ind w:left="893"/>
              <w:spacing w:before="82" w:line="251" w:lineRule="exact"/>
              <w:rPr>
                <w:rFonts w:ascii="Times New Roman" w:hAnsi="Times New Roman" w:eastAsia="Times New Roman" w:cs="Times New Roman"/>
                <w:sz w:val="18"/>
                <w:szCs w:val="18"/>
              </w:rPr>
            </w:pPr>
            <w:r>
              <w:rPr>
                <w:sz w:val="18"/>
                <w:szCs w:val="18"/>
                <w:spacing w:val="-8"/>
                <w:position w:val="2"/>
              </w:rPr>
              <w:t>占比</w:t>
            </w:r>
            <w:r>
              <w:rPr>
                <w:rFonts w:ascii="Times New Roman" w:hAnsi="Times New Roman" w:eastAsia="Times New Roman" w:cs="Times New Roman"/>
                <w:sz w:val="18"/>
                <w:szCs w:val="18"/>
                <w:spacing w:val="-8"/>
                <w:position w:val="2"/>
              </w:rPr>
              <w:t>(%)</w:t>
            </w:r>
          </w:p>
        </w:tc>
      </w:tr>
      <w:tr>
        <w:trPr>
          <w:trHeight w:val="379" w:hRule="atLeast"/>
        </w:trPr>
        <w:tc>
          <w:tcPr>
            <w:tcW w:w="1696" w:type="dxa"/>
            <w:vAlign w:val="top"/>
            <w:gridSpan w:val="2"/>
            <w:tcBorders>
              <w:bottom w:val="single" w:color="000000" w:sz="2" w:space="0"/>
              <w:top w:val="single" w:color="000000" w:sz="2" w:space="0"/>
            </w:tcBorders>
          </w:tcPr>
          <w:p>
            <w:pPr>
              <w:pStyle w:val="TableText"/>
              <w:ind w:left="79"/>
              <w:spacing w:before="111" w:line="220" w:lineRule="auto"/>
              <w:rPr>
                <w:sz w:val="18"/>
                <w:szCs w:val="18"/>
              </w:rPr>
            </w:pPr>
            <w:r>
              <w:rPr>
                <w:sz w:val="18"/>
                <w:szCs w:val="18"/>
                <w:b/>
                <w:bCs/>
                <w:spacing w:val="-4"/>
              </w:rPr>
              <w:t>信用贷款</w:t>
            </w:r>
          </w:p>
        </w:tc>
        <w:tc>
          <w:tcPr>
            <w:shd w:val="clear" w:fill="DBE5F1"/>
            <w:tcW w:w="2159" w:type="dxa"/>
            <w:vAlign w:val="top"/>
            <w:tcBorders>
              <w:bottom w:val="single" w:color="000000" w:sz="2" w:space="0"/>
              <w:top w:val="single" w:color="000000" w:sz="2" w:space="0"/>
            </w:tcBorders>
          </w:tcPr>
          <w:p>
            <w:pPr>
              <w:ind w:left="1383"/>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2,461,988</w:t>
            </w:r>
          </w:p>
        </w:tc>
        <w:tc>
          <w:tcPr>
            <w:shd w:val="clear" w:fill="DBE5F1"/>
            <w:tcW w:w="1945" w:type="dxa"/>
            <w:vAlign w:val="top"/>
            <w:tcBorders>
              <w:bottom w:val="single" w:color="000000" w:sz="2" w:space="0"/>
              <w:top w:val="single" w:color="000000" w:sz="2" w:space="0"/>
            </w:tcBorders>
          </w:tcPr>
          <w:p>
            <w:pPr>
              <w:ind w:left="1486"/>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33.75</w:t>
            </w:r>
          </w:p>
        </w:tc>
        <w:tc>
          <w:tcPr>
            <w:tcW w:w="2314" w:type="dxa"/>
            <w:vAlign w:val="top"/>
            <w:tcBorders>
              <w:bottom w:val="single" w:color="000000" w:sz="2" w:space="0"/>
              <w:top w:val="single" w:color="000000" w:sz="2" w:space="0"/>
            </w:tcBorders>
          </w:tcPr>
          <w:p>
            <w:pPr>
              <w:ind w:left="1256"/>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2,085,835</w:t>
            </w:r>
          </w:p>
        </w:tc>
        <w:tc>
          <w:tcPr>
            <w:tcW w:w="1540" w:type="dxa"/>
            <w:vAlign w:val="top"/>
            <w:tcBorders>
              <w:bottom w:val="single" w:color="000000" w:sz="2" w:space="0"/>
              <w:top w:val="single" w:color="000000" w:sz="2" w:space="0"/>
            </w:tcBorders>
          </w:tcPr>
          <w:p>
            <w:pPr>
              <w:ind w:left="1087"/>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31.79</w:t>
            </w:r>
          </w:p>
        </w:tc>
      </w:tr>
      <w:tr>
        <w:trPr>
          <w:trHeight w:val="379" w:hRule="atLeast"/>
        </w:trPr>
        <w:tc>
          <w:tcPr>
            <w:tcW w:w="1696" w:type="dxa"/>
            <w:vAlign w:val="top"/>
            <w:gridSpan w:val="2"/>
            <w:tcBorders>
              <w:bottom w:val="single" w:color="000000" w:sz="2" w:space="0"/>
              <w:top w:val="single" w:color="000000" w:sz="2" w:space="0"/>
            </w:tcBorders>
          </w:tcPr>
          <w:p>
            <w:pPr>
              <w:pStyle w:val="TableText"/>
              <w:ind w:left="79"/>
              <w:spacing w:before="111" w:line="220" w:lineRule="auto"/>
              <w:rPr>
                <w:sz w:val="18"/>
                <w:szCs w:val="18"/>
              </w:rPr>
            </w:pPr>
            <w:r>
              <w:rPr>
                <w:sz w:val="18"/>
                <w:szCs w:val="18"/>
                <w:b/>
                <w:bCs/>
                <w:spacing w:val="-4"/>
              </w:rPr>
              <w:t>保证贷款</w:t>
            </w:r>
          </w:p>
        </w:tc>
        <w:tc>
          <w:tcPr>
            <w:shd w:val="clear" w:fill="DBE5F1"/>
            <w:tcW w:w="2159" w:type="dxa"/>
            <w:vAlign w:val="top"/>
            <w:tcBorders>
              <w:bottom w:val="single" w:color="000000" w:sz="2" w:space="0"/>
              <w:top w:val="single" w:color="000000" w:sz="2" w:space="0"/>
            </w:tcBorders>
          </w:tcPr>
          <w:p>
            <w:pPr>
              <w:ind w:left="1391"/>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1,179,381</w:t>
            </w:r>
          </w:p>
        </w:tc>
        <w:tc>
          <w:tcPr>
            <w:shd w:val="clear" w:fill="DBE5F1"/>
            <w:tcW w:w="1945" w:type="dxa"/>
            <w:vAlign w:val="top"/>
            <w:tcBorders>
              <w:bottom w:val="single" w:color="000000" w:sz="2" w:space="0"/>
              <w:top w:val="single" w:color="000000" w:sz="2" w:space="0"/>
            </w:tcBorders>
          </w:tcPr>
          <w:p>
            <w:pPr>
              <w:ind w:left="1495"/>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16.16</w:t>
            </w:r>
          </w:p>
        </w:tc>
        <w:tc>
          <w:tcPr>
            <w:tcW w:w="2314" w:type="dxa"/>
            <w:vAlign w:val="top"/>
            <w:tcBorders>
              <w:bottom w:val="single" w:color="000000" w:sz="2" w:space="0"/>
              <w:top w:val="single" w:color="000000" w:sz="2" w:space="0"/>
            </w:tcBorders>
          </w:tcPr>
          <w:p>
            <w:pPr>
              <w:ind w:left="1273"/>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1,056,138</w:t>
            </w:r>
          </w:p>
        </w:tc>
        <w:tc>
          <w:tcPr>
            <w:tcW w:w="1540" w:type="dxa"/>
            <w:vAlign w:val="top"/>
            <w:tcBorders>
              <w:bottom w:val="single" w:color="000000" w:sz="2" w:space="0"/>
              <w:top w:val="single" w:color="000000" w:sz="2" w:space="0"/>
            </w:tcBorders>
          </w:tcPr>
          <w:p>
            <w:pPr>
              <w:ind w:left="1101"/>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16.10</w:t>
            </w:r>
          </w:p>
        </w:tc>
      </w:tr>
      <w:tr>
        <w:trPr>
          <w:trHeight w:val="379" w:hRule="atLeast"/>
        </w:trPr>
        <w:tc>
          <w:tcPr>
            <w:tcW w:w="1696" w:type="dxa"/>
            <w:vAlign w:val="top"/>
            <w:gridSpan w:val="2"/>
            <w:tcBorders>
              <w:bottom w:val="single" w:color="000000" w:sz="2" w:space="0"/>
              <w:top w:val="single" w:color="000000" w:sz="2" w:space="0"/>
            </w:tcBorders>
          </w:tcPr>
          <w:p>
            <w:pPr>
              <w:pStyle w:val="TableText"/>
              <w:ind w:left="78"/>
              <w:spacing w:before="111" w:line="220" w:lineRule="auto"/>
              <w:rPr>
                <w:sz w:val="18"/>
                <w:szCs w:val="18"/>
              </w:rPr>
            </w:pPr>
            <w:r>
              <w:rPr>
                <w:sz w:val="18"/>
                <w:szCs w:val="18"/>
                <w:b/>
                <w:bCs/>
                <w:spacing w:val="-3"/>
              </w:rPr>
              <w:t>抵押贷款</w:t>
            </w:r>
          </w:p>
        </w:tc>
        <w:tc>
          <w:tcPr>
            <w:shd w:val="clear" w:fill="DBE5F1"/>
            <w:tcW w:w="2159" w:type="dxa"/>
            <w:vAlign w:val="top"/>
            <w:tcBorders>
              <w:bottom w:val="single" w:color="000000" w:sz="2" w:space="0"/>
              <w:top w:val="single" w:color="000000" w:sz="2" w:space="0"/>
            </w:tcBorders>
          </w:tcPr>
          <w:p>
            <w:pPr>
              <w:ind w:left="1383"/>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2,579,866</w:t>
            </w:r>
          </w:p>
        </w:tc>
        <w:tc>
          <w:tcPr>
            <w:shd w:val="clear" w:fill="DBE5F1"/>
            <w:tcW w:w="1945" w:type="dxa"/>
            <w:vAlign w:val="top"/>
            <w:tcBorders>
              <w:bottom w:val="single" w:color="000000" w:sz="2" w:space="0"/>
              <w:top w:val="single" w:color="000000" w:sz="2" w:space="0"/>
            </w:tcBorders>
          </w:tcPr>
          <w:p>
            <w:pPr>
              <w:ind w:left="1486"/>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35.36</w:t>
            </w:r>
          </w:p>
        </w:tc>
        <w:tc>
          <w:tcPr>
            <w:tcW w:w="2314" w:type="dxa"/>
            <w:vAlign w:val="top"/>
            <w:tcBorders>
              <w:bottom w:val="single" w:color="000000" w:sz="2" w:space="0"/>
              <w:top w:val="single" w:color="000000" w:sz="2" w:space="0"/>
            </w:tcBorders>
          </w:tcPr>
          <w:p>
            <w:pPr>
              <w:ind w:left="1256"/>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2,488,276</w:t>
            </w:r>
          </w:p>
        </w:tc>
        <w:tc>
          <w:tcPr>
            <w:tcW w:w="1540" w:type="dxa"/>
            <w:vAlign w:val="top"/>
            <w:tcBorders>
              <w:bottom w:val="single" w:color="000000" w:sz="2" w:space="0"/>
              <w:top w:val="single" w:color="000000" w:sz="2" w:space="0"/>
            </w:tcBorders>
          </w:tcPr>
          <w:p>
            <w:pPr>
              <w:ind w:left="1087"/>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37.93</w:t>
            </w:r>
          </w:p>
        </w:tc>
      </w:tr>
      <w:tr>
        <w:trPr>
          <w:trHeight w:val="378" w:hRule="atLeast"/>
        </w:trPr>
        <w:tc>
          <w:tcPr>
            <w:tcW w:w="1696" w:type="dxa"/>
            <w:vAlign w:val="top"/>
            <w:gridSpan w:val="2"/>
            <w:tcBorders>
              <w:bottom w:val="single" w:color="000000" w:sz="2" w:space="0"/>
              <w:top w:val="single" w:color="000000" w:sz="2" w:space="0"/>
            </w:tcBorders>
          </w:tcPr>
          <w:p>
            <w:pPr>
              <w:pStyle w:val="TableText"/>
              <w:ind w:left="79"/>
              <w:spacing w:before="111" w:line="220" w:lineRule="auto"/>
              <w:rPr>
                <w:sz w:val="18"/>
                <w:szCs w:val="18"/>
              </w:rPr>
            </w:pPr>
            <w:r>
              <w:rPr>
                <w:sz w:val="18"/>
                <w:szCs w:val="18"/>
                <w:b/>
                <w:bCs/>
                <w:spacing w:val="-4"/>
              </w:rPr>
              <w:t>质押贷款</w:t>
            </w:r>
          </w:p>
        </w:tc>
        <w:tc>
          <w:tcPr>
            <w:shd w:val="clear" w:fill="DBE5F1"/>
            <w:tcW w:w="2159" w:type="dxa"/>
            <w:vAlign w:val="top"/>
            <w:tcBorders>
              <w:bottom w:val="single" w:color="000000" w:sz="2" w:space="0"/>
              <w:top w:val="single" w:color="000000" w:sz="2" w:space="0"/>
            </w:tcBorders>
          </w:tcPr>
          <w:p>
            <w:pPr>
              <w:ind w:left="1391"/>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1,074,920</w:t>
            </w:r>
          </w:p>
        </w:tc>
        <w:tc>
          <w:tcPr>
            <w:shd w:val="clear" w:fill="DBE5F1"/>
            <w:tcW w:w="1945" w:type="dxa"/>
            <w:vAlign w:val="top"/>
            <w:tcBorders>
              <w:bottom w:val="single" w:color="000000" w:sz="2" w:space="0"/>
              <w:top w:val="single" w:color="000000" w:sz="2" w:space="0"/>
            </w:tcBorders>
          </w:tcPr>
          <w:p>
            <w:pPr>
              <w:ind w:left="1495"/>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14.73</w:t>
            </w:r>
          </w:p>
        </w:tc>
        <w:tc>
          <w:tcPr>
            <w:tcW w:w="2314" w:type="dxa"/>
            <w:vAlign w:val="top"/>
            <w:tcBorders>
              <w:bottom w:val="single" w:color="000000" w:sz="2" w:space="0"/>
              <w:top w:val="single" w:color="000000" w:sz="2" w:space="0"/>
            </w:tcBorders>
          </w:tcPr>
          <w:p>
            <w:pPr>
              <w:ind w:left="1394"/>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930,151</w:t>
            </w:r>
          </w:p>
        </w:tc>
        <w:tc>
          <w:tcPr>
            <w:tcW w:w="1540" w:type="dxa"/>
            <w:vAlign w:val="top"/>
            <w:tcBorders>
              <w:bottom w:val="single" w:color="000000" w:sz="2" w:space="0"/>
              <w:top w:val="single" w:color="000000" w:sz="2" w:space="0"/>
            </w:tcBorders>
          </w:tcPr>
          <w:p>
            <w:pPr>
              <w:ind w:left="1101"/>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14.18</w:t>
            </w:r>
          </w:p>
        </w:tc>
      </w:tr>
      <w:tr>
        <w:trPr>
          <w:trHeight w:val="379" w:hRule="atLeast"/>
        </w:trPr>
        <w:tc>
          <w:tcPr>
            <w:tcW w:w="1696" w:type="dxa"/>
            <w:vAlign w:val="top"/>
            <w:gridSpan w:val="2"/>
            <w:tcBorders>
              <w:bottom w:val="single" w:color="000000" w:sz="2" w:space="0"/>
              <w:top w:val="single" w:color="000000" w:sz="2" w:space="0"/>
            </w:tcBorders>
          </w:tcPr>
          <w:p>
            <w:pPr>
              <w:pStyle w:val="TableText"/>
              <w:ind w:left="79"/>
              <w:spacing w:before="111" w:line="222" w:lineRule="auto"/>
              <w:rPr>
                <w:sz w:val="18"/>
                <w:szCs w:val="18"/>
              </w:rPr>
            </w:pPr>
            <w:r>
              <w:rPr>
                <w:sz w:val="18"/>
                <w:szCs w:val="18"/>
                <w:b/>
                <w:bCs/>
                <w:spacing w:val="-4"/>
              </w:rPr>
              <w:t>合计</w:t>
            </w:r>
          </w:p>
        </w:tc>
        <w:tc>
          <w:tcPr>
            <w:shd w:val="clear" w:fill="DBE5F1"/>
            <w:tcW w:w="2159" w:type="dxa"/>
            <w:vAlign w:val="top"/>
            <w:tcBorders>
              <w:bottom w:val="single" w:color="000000" w:sz="2" w:space="0"/>
              <w:top w:val="single" w:color="000000" w:sz="2" w:space="0"/>
            </w:tcBorders>
          </w:tcPr>
          <w:p>
            <w:pPr>
              <w:ind w:left="1385"/>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7,296,155</w:t>
            </w:r>
          </w:p>
        </w:tc>
        <w:tc>
          <w:tcPr>
            <w:shd w:val="clear" w:fill="DBE5F1"/>
            <w:tcW w:w="1945" w:type="dxa"/>
            <w:vAlign w:val="top"/>
            <w:tcBorders>
              <w:bottom w:val="single" w:color="000000" w:sz="2" w:space="0"/>
              <w:top w:val="single" w:color="000000" w:sz="2" w:space="0"/>
            </w:tcBorders>
          </w:tcPr>
          <w:p>
            <w:pPr>
              <w:ind w:left="1407"/>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100.00</w:t>
            </w:r>
          </w:p>
        </w:tc>
        <w:tc>
          <w:tcPr>
            <w:tcW w:w="2314" w:type="dxa"/>
            <w:vAlign w:val="top"/>
            <w:tcBorders>
              <w:bottom w:val="single" w:color="000000" w:sz="2" w:space="0"/>
              <w:top w:val="single" w:color="000000" w:sz="2" w:space="0"/>
            </w:tcBorders>
          </w:tcPr>
          <w:p>
            <w:pPr>
              <w:ind w:left="1260"/>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6,560,400</w:t>
            </w:r>
          </w:p>
        </w:tc>
        <w:tc>
          <w:tcPr>
            <w:tcW w:w="1540" w:type="dxa"/>
            <w:vAlign w:val="top"/>
            <w:tcBorders>
              <w:bottom w:val="single" w:color="000000" w:sz="2" w:space="0"/>
              <w:top w:val="single" w:color="000000" w:sz="2" w:space="0"/>
            </w:tcBorders>
          </w:tcPr>
          <w:p>
            <w:pPr>
              <w:ind w:left="1012"/>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100.00</w:t>
            </w:r>
          </w:p>
        </w:tc>
      </w:tr>
      <w:tr>
        <w:trPr>
          <w:trHeight w:val="1084" w:hRule="atLeast"/>
        </w:trPr>
        <w:tc>
          <w:tcPr>
            <w:tcW w:w="1696" w:type="dxa"/>
            <w:vAlign w:val="top"/>
            <w:gridSpan w:val="2"/>
            <w:tcBorders>
              <w:bottom w:val="single" w:color="000000" w:sz="2" w:space="0"/>
              <w:top w:val="single" w:color="000000" w:sz="2" w:space="0"/>
            </w:tcBorders>
          </w:tcPr>
          <w:p>
            <w:pPr>
              <w:pStyle w:val="TableText"/>
              <w:spacing w:before="270" w:line="221" w:lineRule="auto"/>
              <w:jc w:val="right"/>
              <w:rPr/>
            </w:pPr>
            <w:r>
              <w:rPr>
                <w:b/>
                <w:bCs/>
                <w:spacing w:val="-5"/>
              </w:rPr>
              <w:t>客户贷款信用</w:t>
            </w:r>
          </w:p>
        </w:tc>
        <w:tc>
          <w:tcPr>
            <w:tcW w:w="2159" w:type="dxa"/>
            <w:vAlign w:val="top"/>
            <w:tcBorders>
              <w:bottom w:val="single" w:color="000000" w:sz="2" w:space="0"/>
              <w:top w:val="single" w:color="000000" w:sz="2" w:space="0"/>
            </w:tcBorders>
          </w:tcPr>
          <w:p>
            <w:pPr>
              <w:pStyle w:val="TableText"/>
              <w:ind w:left="16"/>
              <w:spacing w:before="270" w:line="221" w:lineRule="auto"/>
              <w:rPr/>
            </w:pPr>
            <w:r>
              <w:rPr>
                <w:b/>
                <w:bCs/>
                <w:spacing w:val="-3"/>
              </w:rPr>
              <w:t>减值准备情况</w:t>
            </w:r>
          </w:p>
        </w:tc>
        <w:tc>
          <w:tcPr>
            <w:tcW w:w="1945" w:type="dxa"/>
            <w:vAlign w:val="top"/>
            <w:tcBorders>
              <w:bottom w:val="single" w:color="000000" w:sz="2" w:space="0"/>
              <w:top w:val="single" w:color="000000" w:sz="2" w:space="0"/>
            </w:tcBorders>
          </w:tcPr>
          <w:p>
            <w:pPr>
              <w:rPr>
                <w:rFonts w:ascii="Arial"/>
                <w:sz w:val="21"/>
              </w:rPr>
            </w:pPr>
            <w:r/>
          </w:p>
        </w:tc>
        <w:tc>
          <w:tcPr>
            <w:tcW w:w="2314" w:type="dxa"/>
            <w:vAlign w:val="top"/>
            <w:tcBorders>
              <w:bottom w:val="single" w:color="000000" w:sz="2" w:space="0"/>
              <w:top w:val="single" w:color="000000" w:sz="2" w:space="0"/>
            </w:tcBorders>
          </w:tcPr>
          <w:p>
            <w:pPr>
              <w:rPr>
                <w:rFonts w:ascii="Arial"/>
                <w:sz w:val="21"/>
              </w:rPr>
            </w:pPr>
            <w:r/>
          </w:p>
        </w:tc>
        <w:tc>
          <w:tcPr>
            <w:tcW w:w="1540" w:type="dxa"/>
            <w:vAlign w:val="top"/>
            <w:tcBorders>
              <w:bottom w:val="single" w:color="000000" w:sz="2" w:space="0"/>
              <w:top w:val="single" w:color="000000" w:sz="2" w:space="0"/>
            </w:tcBorders>
          </w:tcPr>
          <w:p>
            <w:pPr>
              <w:spacing w:line="255" w:lineRule="auto"/>
              <w:rPr>
                <w:rFonts w:ascii="Arial"/>
                <w:sz w:val="21"/>
              </w:rPr>
            </w:pPr>
            <w:r/>
          </w:p>
          <w:p>
            <w:pPr>
              <w:spacing w:line="255" w:lineRule="auto"/>
              <w:rPr>
                <w:rFonts w:ascii="Arial"/>
                <w:sz w:val="21"/>
              </w:rPr>
            </w:pPr>
            <w:r/>
          </w:p>
          <w:p>
            <w:pPr>
              <w:spacing w:line="256" w:lineRule="auto"/>
              <w:rPr>
                <w:rFonts w:ascii="Arial"/>
                <w:sz w:val="21"/>
              </w:rPr>
            </w:pPr>
            <w:r/>
          </w:p>
          <w:p>
            <w:pPr>
              <w:pStyle w:val="TableText"/>
              <w:spacing w:before="58" w:line="245" w:lineRule="exact"/>
              <w:jc w:val="right"/>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position w:val="2"/>
              </w:rPr>
              <w:t>(</w:t>
            </w:r>
            <w:r>
              <w:rPr>
                <w:sz w:val="18"/>
                <w:szCs w:val="18"/>
                <w:spacing w:val="-2"/>
                <w:position w:val="2"/>
              </w:rPr>
              <w:t>人民币百万元</w:t>
            </w:r>
            <w:r>
              <w:rPr>
                <w:rFonts w:ascii="Times New Roman" w:hAnsi="Times New Roman" w:eastAsia="Times New Roman" w:cs="Times New Roman"/>
                <w:sz w:val="18"/>
                <w:szCs w:val="18"/>
                <w:spacing w:val="-2"/>
                <w:position w:val="2"/>
              </w:rPr>
              <w:t>)</w:t>
            </w:r>
          </w:p>
        </w:tc>
      </w:tr>
      <w:tr>
        <w:trPr>
          <w:trHeight w:val="379" w:hRule="atLeast"/>
        </w:trPr>
        <w:tc>
          <w:tcPr>
            <w:tcW w:w="1676" w:type="dxa"/>
            <w:vAlign w:val="top"/>
            <w:tcBorders>
              <w:bottom w:val="single" w:color="000000" w:sz="2" w:space="0"/>
              <w:top w:val="single" w:color="000000" w:sz="2" w:space="0"/>
            </w:tcBorders>
          </w:tcPr>
          <w:p>
            <w:pPr>
              <w:rPr>
                <w:rFonts w:ascii="Arial"/>
                <w:sz w:val="21"/>
              </w:rPr>
            </w:pPr>
            <w:r/>
          </w:p>
        </w:tc>
        <w:tc>
          <w:tcPr>
            <w:tcW w:w="6438" w:type="dxa"/>
            <w:vAlign w:val="top"/>
            <w:gridSpan w:val="4"/>
            <w:tcBorders>
              <w:bottom w:val="single" w:color="000000" w:sz="2" w:space="0"/>
              <w:top w:val="single" w:color="000000" w:sz="2" w:space="0"/>
            </w:tcBorders>
          </w:tcPr>
          <w:p>
            <w:pPr>
              <w:pStyle w:val="TableText"/>
              <w:ind w:firstLine="2808"/>
              <w:spacing w:before="3" w:line="366" w:lineRule="exact"/>
              <w:rPr/>
            </w:pPr>
            <w:r>
              <w:rPr>
                <w:position w:val="-8"/>
              </w:rPr>
              <w:pict>
                <v:shape id="_x0000_s202" style="mso-position-vertical-relative:line;mso-position-horizontal-relative:char;width:129.3pt;height:18.75pt;" fillcolor="#DBE5F1" filled="true" stroked="false" type="#_x0000_t202">
                  <v:fill on="true"/>
                  <v:stroke on="false"/>
                  <v:path/>
                  <v:imagedata o:title=""/>
                  <o:lock v:ext="edit" aspectratio="false"/>
                  <v:textbox inset="0mm,0mm,0mm,0mm">
                    <w:txbxContent>
                      <w:p>
                        <w:pPr>
                          <w:ind w:left="1269"/>
                          <w:spacing w:before="109" w:line="220" w:lineRule="auto"/>
                          <w:rPr>
                            <w:rFonts w:ascii="SimSun" w:hAnsi="SimSun" w:eastAsia="SimSun" w:cs="SimSun"/>
                            <w:sz w:val="18"/>
                            <w:szCs w:val="18"/>
                          </w:rPr>
                        </w:pPr>
                        <w:r>
                          <w:rPr>
                            <w:rFonts w:ascii="Times New Roman" w:hAnsi="Times New Roman" w:eastAsia="Times New Roman" w:cs="Times New Roman"/>
                            <w:sz w:val="18"/>
                            <w:szCs w:val="18"/>
                            <w:b/>
                            <w:bCs/>
                            <w:spacing w:val="-1"/>
                          </w:rPr>
                          <w:t>2022</w:t>
                        </w:r>
                        <w:r>
                          <w:rPr>
                            <w:rFonts w:ascii="SimSun" w:hAnsi="SimSun" w:eastAsia="SimSun" w:cs="SimSun"/>
                            <w:sz w:val="18"/>
                            <w:szCs w:val="18"/>
                            <w:b/>
                            <w:bCs/>
                            <w:spacing w:val="-1"/>
                          </w:rPr>
                          <w:t>年</w:t>
                        </w:r>
                        <w:r>
                          <w:rPr>
                            <w:rFonts w:ascii="Times New Roman" w:hAnsi="Times New Roman" w:eastAsia="Times New Roman" w:cs="Times New Roman"/>
                            <w:sz w:val="18"/>
                            <w:szCs w:val="18"/>
                            <w:b/>
                            <w:bCs/>
                            <w:spacing w:val="-1"/>
                          </w:rPr>
                          <w:t>12</w:t>
                        </w:r>
                        <w:r>
                          <w:rPr>
                            <w:rFonts w:ascii="SimSun" w:hAnsi="SimSun" w:eastAsia="SimSun" w:cs="SimSun"/>
                            <w:sz w:val="18"/>
                            <w:szCs w:val="18"/>
                            <w:b/>
                            <w:bCs/>
                            <w:spacing w:val="-1"/>
                          </w:rPr>
                          <w:t>月</w:t>
                        </w:r>
                        <w:r>
                          <w:rPr>
                            <w:rFonts w:ascii="Times New Roman" w:hAnsi="Times New Roman" w:eastAsia="Times New Roman" w:cs="Times New Roman"/>
                            <w:sz w:val="18"/>
                            <w:szCs w:val="18"/>
                            <w:b/>
                            <w:bCs/>
                            <w:spacing w:val="-1"/>
                          </w:rPr>
                          <w:t>31</w:t>
                        </w:r>
                        <w:r>
                          <w:rPr>
                            <w:rFonts w:ascii="SimSun" w:hAnsi="SimSun" w:eastAsia="SimSun" w:cs="SimSun"/>
                            <w:sz w:val="18"/>
                            <w:szCs w:val="18"/>
                            <w:b/>
                            <w:bCs/>
                            <w:spacing w:val="-1"/>
                          </w:rPr>
                          <w:t>日</w:t>
                        </w:r>
                      </w:p>
                    </w:txbxContent>
                  </v:textbox>
                </v:shape>
              </w:pict>
            </w:r>
          </w:p>
        </w:tc>
        <w:tc>
          <w:tcPr>
            <w:tcW w:w="1540" w:type="dxa"/>
            <w:vAlign w:val="top"/>
            <w:tcBorders>
              <w:bottom w:val="single" w:color="000000" w:sz="2" w:space="0"/>
              <w:top w:val="single" w:color="000000" w:sz="2" w:space="0"/>
            </w:tcBorders>
          </w:tcPr>
          <w:p>
            <w:pPr>
              <w:pStyle w:val="TableText"/>
              <w:ind w:left="226"/>
              <w:spacing w:before="112" w:line="220" w:lineRule="auto"/>
              <w:rPr>
                <w:sz w:val="18"/>
                <w:szCs w:val="18"/>
              </w:rPr>
            </w:pPr>
            <w:r>
              <w:rPr>
                <w:rFonts w:ascii="Times New Roman" w:hAnsi="Times New Roman" w:eastAsia="Times New Roman" w:cs="Times New Roman"/>
                <w:sz w:val="18"/>
                <w:szCs w:val="18"/>
                <w:spacing w:val="-1"/>
              </w:rPr>
              <w:t>2021</w:t>
            </w:r>
            <w:r>
              <w:rPr>
                <w:sz w:val="18"/>
                <w:szCs w:val="18"/>
                <w:spacing w:val="-1"/>
              </w:rPr>
              <w:t>年</w:t>
            </w:r>
            <w:r>
              <w:rPr>
                <w:rFonts w:ascii="Times New Roman" w:hAnsi="Times New Roman" w:eastAsia="Times New Roman" w:cs="Times New Roman"/>
                <w:sz w:val="18"/>
                <w:szCs w:val="18"/>
                <w:spacing w:val="-1"/>
              </w:rPr>
              <w:t>12</w:t>
            </w:r>
            <w:r>
              <w:rPr>
                <w:sz w:val="18"/>
                <w:szCs w:val="18"/>
                <w:spacing w:val="-1"/>
              </w:rPr>
              <w:t>月</w:t>
            </w:r>
            <w:r>
              <w:rPr>
                <w:rFonts w:ascii="Times New Roman" w:hAnsi="Times New Roman" w:eastAsia="Times New Roman" w:cs="Times New Roman"/>
                <w:sz w:val="18"/>
                <w:szCs w:val="18"/>
                <w:spacing w:val="-1"/>
              </w:rPr>
              <w:t>31</w:t>
            </w:r>
            <w:r>
              <w:rPr>
                <w:sz w:val="18"/>
                <w:szCs w:val="18"/>
                <w:spacing w:val="-1"/>
              </w:rPr>
              <w:t>日</w:t>
            </w:r>
          </w:p>
        </w:tc>
      </w:tr>
      <w:tr>
        <w:trPr>
          <w:trHeight w:val="379" w:hRule="atLeast"/>
        </w:trPr>
        <w:tc>
          <w:tcPr>
            <w:tcW w:w="1676" w:type="dxa"/>
            <w:vAlign w:val="top"/>
            <w:tcBorders>
              <w:bottom w:val="single" w:color="000000" w:sz="2" w:space="0"/>
              <w:top w:val="single" w:color="000000" w:sz="2" w:space="0"/>
            </w:tcBorders>
          </w:tcPr>
          <w:p>
            <w:pPr>
              <w:pStyle w:val="TableText"/>
              <w:ind w:left="80"/>
              <w:spacing w:before="113" w:line="220" w:lineRule="auto"/>
              <w:rPr>
                <w:sz w:val="18"/>
                <w:szCs w:val="18"/>
              </w:rPr>
            </w:pPr>
            <w:r>
              <w:rPr>
                <w:sz w:val="18"/>
                <w:szCs w:val="18"/>
                <w:spacing w:val="-2"/>
              </w:rPr>
              <w:t>上年末余额</w:t>
            </w:r>
          </w:p>
        </w:tc>
        <w:tc>
          <w:tcPr>
            <w:tcW w:w="6438" w:type="dxa"/>
            <w:vAlign w:val="top"/>
            <w:gridSpan w:val="4"/>
            <w:tcBorders>
              <w:bottom w:val="single" w:color="000000" w:sz="2" w:space="0"/>
              <w:top w:val="single" w:color="000000" w:sz="2" w:space="0"/>
            </w:tcBorders>
          </w:tcPr>
          <w:p>
            <w:pPr>
              <w:ind w:firstLine="2808"/>
              <w:spacing w:before="3" w:line="366" w:lineRule="exact"/>
              <w:rPr/>
            </w:pPr>
            <w:r>
              <w:rPr>
                <w:position w:val="-8"/>
              </w:rPr>
              <w:pict>
                <v:shape id="_x0000_s204" style="mso-position-vertical-relative:line;mso-position-horizontal-relative:char;width:129.3pt;height:18.75pt;" fillcolor="#DBE5F1" filled="true" stroked="false" type="#_x0000_t202">
                  <v:fill on="true"/>
                  <v:stroke on="false"/>
                  <v:path/>
                  <v:imagedata o:title=""/>
                  <o:lock v:ext="edit" aspectratio="false"/>
                  <v:textbox inset="0mm,0mm,0mm,0mm">
                    <w:txbxContent>
                      <w:p>
                        <w:pPr>
                          <w:ind w:left="1953"/>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161,162</w:t>
                        </w:r>
                      </w:p>
                    </w:txbxContent>
                  </v:textbox>
                </v:shape>
              </w:pict>
            </w:r>
          </w:p>
        </w:tc>
        <w:tc>
          <w:tcPr>
            <w:tcW w:w="1540" w:type="dxa"/>
            <w:vAlign w:val="top"/>
            <w:tcBorders>
              <w:bottom w:val="single" w:color="000000" w:sz="2" w:space="0"/>
              <w:top w:val="single" w:color="000000" w:sz="2" w:space="0"/>
            </w:tcBorders>
          </w:tcPr>
          <w:p>
            <w:pPr>
              <w:ind w:left="918"/>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140,561</w:t>
            </w:r>
          </w:p>
        </w:tc>
      </w:tr>
      <w:tr>
        <w:trPr>
          <w:trHeight w:val="379" w:hRule="atLeast"/>
        </w:trPr>
        <w:tc>
          <w:tcPr>
            <w:tcW w:w="1676" w:type="dxa"/>
            <w:vAlign w:val="top"/>
            <w:tcBorders>
              <w:bottom w:val="single" w:color="000000" w:sz="2" w:space="0"/>
              <w:top w:val="single" w:color="000000" w:sz="2" w:space="0"/>
            </w:tcBorders>
          </w:tcPr>
          <w:p>
            <w:pPr>
              <w:pStyle w:val="TableText"/>
              <w:ind w:left="79"/>
              <w:spacing w:before="86" w:line="250" w:lineRule="exact"/>
              <w:rPr>
                <w:rFonts w:ascii="Times New Roman" w:hAnsi="Times New Roman" w:eastAsia="Times New Roman" w:cs="Times New Roman"/>
                <w:sz w:val="18"/>
                <w:szCs w:val="18"/>
              </w:rPr>
            </w:pPr>
            <w:r>
              <w:rPr>
                <w:sz w:val="18"/>
                <w:szCs w:val="18"/>
                <w:spacing w:val="-1"/>
                <w:position w:val="2"/>
              </w:rPr>
              <w:t>本期计提</w:t>
            </w:r>
            <w:r>
              <w:rPr>
                <w:rFonts w:ascii="Times New Roman" w:hAnsi="Times New Roman" w:eastAsia="Times New Roman" w:cs="Times New Roman"/>
                <w:sz w:val="18"/>
                <w:szCs w:val="18"/>
                <w:spacing w:val="-1"/>
                <w:position w:val="2"/>
              </w:rPr>
              <w:t>/(</w:t>
            </w:r>
            <w:r>
              <w:rPr>
                <w:sz w:val="18"/>
                <w:szCs w:val="18"/>
                <w:spacing w:val="-1"/>
                <w:position w:val="2"/>
              </w:rPr>
              <w:t>转回</w:t>
            </w:r>
            <w:r>
              <w:rPr>
                <w:rFonts w:ascii="Times New Roman" w:hAnsi="Times New Roman" w:eastAsia="Times New Roman" w:cs="Times New Roman"/>
                <w:sz w:val="18"/>
                <w:szCs w:val="18"/>
                <w:spacing w:val="-1"/>
                <w:position w:val="2"/>
              </w:rPr>
              <w:t>)</w:t>
            </w:r>
          </w:p>
        </w:tc>
        <w:tc>
          <w:tcPr>
            <w:tcW w:w="6438" w:type="dxa"/>
            <w:vAlign w:val="top"/>
            <w:gridSpan w:val="4"/>
            <w:tcBorders>
              <w:bottom w:val="single" w:color="000000" w:sz="2" w:space="0"/>
              <w:top w:val="single" w:color="000000" w:sz="2" w:space="0"/>
            </w:tcBorders>
          </w:tcPr>
          <w:p>
            <w:pPr>
              <w:ind w:firstLine="2808"/>
              <w:spacing w:before="3" w:line="366" w:lineRule="exact"/>
              <w:rPr/>
            </w:pPr>
            <w:r>
              <w:rPr>
                <w:position w:val="-8"/>
              </w:rPr>
              <w:pict>
                <v:shape id="_x0000_s206" style="mso-position-vertical-relative:line;mso-position-horizontal-relative:char;width:129.3pt;height:18.75pt;" fillcolor="#DBE5F1" filled="true" stroked="false" type="#_x0000_t202">
                  <v:fill on="true"/>
                  <v:stroke on="false"/>
                  <v:path/>
                  <v:imagedata o:title=""/>
                  <o:lock v:ext="edit" aspectratio="false"/>
                  <v:textbox inset="0mm,0mm,0mm,0mm">
                    <w:txbxContent>
                      <w:p>
                        <w:pPr>
                          <w:ind w:left="2039"/>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58,102</w:t>
                        </w:r>
                      </w:p>
                    </w:txbxContent>
                  </v:textbox>
                </v:shape>
              </w:pict>
            </w:r>
          </w:p>
        </w:tc>
        <w:tc>
          <w:tcPr>
            <w:tcW w:w="1540" w:type="dxa"/>
            <w:vAlign w:val="top"/>
            <w:tcBorders>
              <w:bottom w:val="single" w:color="000000" w:sz="2" w:space="0"/>
              <w:top w:val="single" w:color="000000" w:sz="2" w:space="0"/>
            </w:tcBorders>
          </w:tcPr>
          <w:p>
            <w:pPr>
              <w:ind w:left="996"/>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62,945</w:t>
            </w:r>
          </w:p>
        </w:tc>
      </w:tr>
      <w:tr>
        <w:trPr>
          <w:trHeight w:val="379" w:hRule="atLeast"/>
        </w:trPr>
        <w:tc>
          <w:tcPr>
            <w:tcW w:w="1676" w:type="dxa"/>
            <w:vAlign w:val="top"/>
            <w:tcBorders>
              <w:bottom w:val="single" w:color="000000" w:sz="2" w:space="0"/>
              <w:top w:val="single" w:color="000000" w:sz="2" w:space="0"/>
            </w:tcBorders>
          </w:tcPr>
          <w:p>
            <w:pPr>
              <w:pStyle w:val="TableText"/>
              <w:ind w:left="79"/>
              <w:spacing w:before="112" w:line="220" w:lineRule="auto"/>
              <w:rPr>
                <w:sz w:val="18"/>
                <w:szCs w:val="18"/>
              </w:rPr>
            </w:pPr>
            <w:r>
              <w:rPr>
                <w:sz w:val="18"/>
                <w:szCs w:val="18"/>
                <w:spacing w:val="-1"/>
              </w:rPr>
              <w:t>本期核销及转让</w:t>
            </w:r>
          </w:p>
        </w:tc>
        <w:tc>
          <w:tcPr>
            <w:tcW w:w="6438" w:type="dxa"/>
            <w:vAlign w:val="top"/>
            <w:gridSpan w:val="4"/>
            <w:tcBorders>
              <w:bottom w:val="single" w:color="000000" w:sz="2" w:space="0"/>
              <w:top w:val="single" w:color="000000" w:sz="2" w:space="0"/>
            </w:tcBorders>
          </w:tcPr>
          <w:p>
            <w:pPr>
              <w:ind w:firstLine="2808"/>
              <w:spacing w:before="3" w:line="366" w:lineRule="exact"/>
              <w:rPr/>
            </w:pPr>
            <w:r>
              <w:rPr>
                <w:position w:val="-8"/>
              </w:rPr>
              <w:pict>
                <v:shape id="_x0000_s208" style="mso-position-vertical-relative:line;mso-position-horizontal-relative:char;width:129.3pt;height:18.75pt;" fillcolor="#DBE5F1" filled="true" stroked="false" type="#_x0000_t202">
                  <v:fill on="true"/>
                  <v:stroke on="false"/>
                  <v:path/>
                  <v:imagedata o:title=""/>
                  <o:lock v:ext="edit" aspectratio="false"/>
                  <v:textbox inset="0mm,0mm,0mm,0mm">
                    <w:txbxContent>
                      <w:p>
                        <w:pPr>
                          <w:ind w:left="1920"/>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(46,313)</w:t>
                        </w:r>
                      </w:p>
                    </w:txbxContent>
                  </v:textbox>
                </v:shape>
              </w:pict>
            </w:r>
          </w:p>
        </w:tc>
        <w:tc>
          <w:tcPr>
            <w:tcW w:w="1540" w:type="dxa"/>
            <w:vAlign w:val="top"/>
            <w:tcBorders>
              <w:bottom w:val="single" w:color="000000" w:sz="2" w:space="0"/>
              <w:top w:val="single" w:color="000000" w:sz="2" w:space="0"/>
            </w:tcBorders>
          </w:tcPr>
          <w:p>
            <w:pPr>
              <w:ind w:left="876"/>
              <w:spacing w:before="142"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(47,519)</w:t>
            </w:r>
          </w:p>
        </w:tc>
      </w:tr>
      <w:tr>
        <w:trPr>
          <w:trHeight w:val="378" w:hRule="atLeast"/>
        </w:trPr>
        <w:tc>
          <w:tcPr>
            <w:tcW w:w="1676" w:type="dxa"/>
            <w:vAlign w:val="top"/>
            <w:tcBorders>
              <w:bottom w:val="single" w:color="000000" w:sz="2" w:space="0"/>
              <w:top w:val="single" w:color="000000" w:sz="2" w:space="0"/>
            </w:tcBorders>
          </w:tcPr>
          <w:p>
            <w:pPr>
              <w:pStyle w:val="TableText"/>
              <w:ind w:left="81"/>
              <w:spacing w:before="113" w:line="220" w:lineRule="auto"/>
              <w:rPr>
                <w:sz w:val="18"/>
                <w:szCs w:val="18"/>
              </w:rPr>
            </w:pPr>
            <w:r>
              <w:rPr>
                <w:sz w:val="18"/>
                <w:szCs w:val="18"/>
                <w:spacing w:val="-2"/>
              </w:rPr>
              <w:t>核销后收回</w:t>
            </w:r>
          </w:p>
        </w:tc>
        <w:tc>
          <w:tcPr>
            <w:tcW w:w="6438" w:type="dxa"/>
            <w:vAlign w:val="top"/>
            <w:gridSpan w:val="4"/>
            <w:tcBorders>
              <w:bottom w:val="single" w:color="000000" w:sz="2" w:space="0"/>
              <w:top w:val="single" w:color="000000" w:sz="2" w:space="0"/>
            </w:tcBorders>
          </w:tcPr>
          <w:p>
            <w:pPr>
              <w:ind w:firstLine="2808"/>
              <w:spacing w:before="3" w:line="364" w:lineRule="exact"/>
              <w:rPr/>
            </w:pPr>
            <w:r>
              <w:rPr>
                <w:position w:val="-8"/>
              </w:rPr>
              <w:pict>
                <v:shape id="_x0000_s210" style="mso-position-vertical-relative:line;mso-position-horizontal-relative:char;width:129.3pt;height:18.75pt;" fillcolor="#DBE5F1" filled="true" stroked="false" type="#_x0000_t202">
                  <v:fill on="true"/>
                  <v:stroke on="false"/>
                  <v:path/>
                  <v:imagedata o:title=""/>
                  <o:lock v:ext="edit" aspectratio="false"/>
                  <v:textbox inset="0mm,0mm,0mm,0mm">
                    <w:txbxContent>
                      <w:p>
                        <w:pPr>
                          <w:ind w:left="2128"/>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5,146</w:t>
                        </w:r>
                      </w:p>
                    </w:txbxContent>
                  </v:textbox>
                </v:shape>
              </w:pict>
            </w:r>
          </w:p>
        </w:tc>
        <w:tc>
          <w:tcPr>
            <w:tcW w:w="1540" w:type="dxa"/>
            <w:vAlign w:val="top"/>
            <w:tcBorders>
              <w:bottom w:val="single" w:color="000000" w:sz="2" w:space="0"/>
              <w:top w:val="single" w:color="000000" w:sz="2" w:space="0"/>
            </w:tcBorders>
          </w:tcPr>
          <w:p>
            <w:pPr>
              <w:ind w:left="1085"/>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6,324</w:t>
            </w:r>
          </w:p>
        </w:tc>
      </w:tr>
      <w:tr>
        <w:trPr>
          <w:trHeight w:val="379" w:hRule="atLeast"/>
        </w:trPr>
        <w:tc>
          <w:tcPr>
            <w:tcW w:w="1676" w:type="dxa"/>
            <w:vAlign w:val="top"/>
            <w:tcBorders>
              <w:bottom w:val="single" w:color="000000" w:sz="2" w:space="0"/>
              <w:top w:val="single" w:color="000000" w:sz="2" w:space="0"/>
            </w:tcBorders>
          </w:tcPr>
          <w:p>
            <w:pPr>
              <w:pStyle w:val="TableText"/>
              <w:ind w:left="79"/>
              <w:spacing w:before="113" w:line="221" w:lineRule="auto"/>
              <w:rPr>
                <w:sz w:val="18"/>
                <w:szCs w:val="18"/>
              </w:rPr>
            </w:pPr>
            <w:r>
              <w:rPr>
                <w:sz w:val="18"/>
                <w:szCs w:val="18"/>
                <w:spacing w:val="-2"/>
              </w:rPr>
              <w:t>其他变动</w:t>
            </w:r>
          </w:p>
        </w:tc>
        <w:tc>
          <w:tcPr>
            <w:tcW w:w="6438" w:type="dxa"/>
            <w:vAlign w:val="top"/>
            <w:gridSpan w:val="4"/>
            <w:tcBorders>
              <w:bottom w:val="single" w:color="000000" w:sz="2" w:space="0"/>
              <w:top w:val="single" w:color="000000" w:sz="2" w:space="0"/>
            </w:tcBorders>
          </w:tcPr>
          <w:p>
            <w:pPr>
              <w:ind w:firstLine="2808"/>
              <w:spacing w:before="4" w:line="365" w:lineRule="exact"/>
              <w:rPr/>
            </w:pPr>
            <w:r>
              <w:rPr>
                <w:position w:val="-8"/>
              </w:rPr>
              <w:pict>
                <v:shape id="_x0000_s212" style="mso-position-vertical-relative:line;mso-position-horizontal-relative:char;width:129.3pt;height:18.75pt;" fillcolor="#DBE5F1" filled="true" stroked="false" type="#_x0000_t202">
                  <v:fill on="true"/>
                  <v:stroke on="false"/>
                  <v:path/>
                  <v:imagedata o:title=""/>
                  <o:lock v:ext="edit" aspectratio="false"/>
                  <v:textbox inset="0mm,0mm,0mm,0mm">
                    <w:txbxContent>
                      <w:p>
                        <w:pPr>
                          <w:ind w:left="2234"/>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(78)</w:t>
                        </w:r>
                      </w:p>
                    </w:txbxContent>
                  </v:textbox>
                </v:shape>
              </w:pict>
            </w:r>
          </w:p>
        </w:tc>
        <w:tc>
          <w:tcPr>
            <w:tcW w:w="1540" w:type="dxa"/>
            <w:vAlign w:val="top"/>
            <w:tcBorders>
              <w:bottom w:val="single" w:color="000000" w:sz="2" w:space="0"/>
              <w:top w:val="single" w:color="000000" w:sz="2" w:space="0"/>
            </w:tcBorders>
          </w:tcPr>
          <w:p>
            <w:pPr>
              <w:ind w:left="964"/>
              <w:spacing w:before="143"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(1,149)</w:t>
            </w:r>
          </w:p>
        </w:tc>
      </w:tr>
      <w:tr>
        <w:trPr>
          <w:trHeight w:val="383" w:hRule="atLeast"/>
        </w:trPr>
        <w:tc>
          <w:tcPr>
            <w:tcW w:w="1676" w:type="dxa"/>
            <w:vAlign w:val="top"/>
            <w:tcBorders>
              <w:bottom w:val="single" w:color="000000" w:sz="2" w:space="0"/>
              <w:top w:val="single" w:color="000000" w:sz="2" w:space="0"/>
            </w:tcBorders>
          </w:tcPr>
          <w:p>
            <w:pPr>
              <w:pStyle w:val="TableText"/>
              <w:ind w:left="81"/>
              <w:spacing w:before="114" w:line="220" w:lineRule="auto"/>
              <w:rPr>
                <w:sz w:val="18"/>
                <w:szCs w:val="18"/>
              </w:rPr>
            </w:pPr>
            <w:r>
              <w:rPr>
                <w:sz w:val="18"/>
                <w:szCs w:val="18"/>
                <w:spacing w:val="-2"/>
              </w:rPr>
              <w:t>期末余额</w:t>
            </w:r>
          </w:p>
        </w:tc>
        <w:tc>
          <w:tcPr>
            <w:tcW w:w="6438" w:type="dxa"/>
            <w:vAlign w:val="top"/>
            <w:gridSpan w:val="4"/>
            <w:tcBorders>
              <w:bottom w:val="single" w:color="000000" w:sz="2" w:space="0"/>
              <w:top w:val="single" w:color="000000" w:sz="2" w:space="0"/>
            </w:tcBorders>
          </w:tcPr>
          <w:p>
            <w:pPr>
              <w:ind w:firstLine="2808"/>
              <w:spacing w:before="4" w:line="368" w:lineRule="exact"/>
              <w:rPr/>
            </w:pPr>
            <w:r>
              <w:rPr>
                <w:position w:val="-7"/>
              </w:rPr>
              <w:pict>
                <v:shape id="_x0000_s214" style="mso-position-vertical-relative:line;mso-position-horizontal-relative:char;width:129.3pt;height:18.75pt;" fillcolor="#DBE5F1" filled="true" stroked="false" type="#_x0000_t202">
                  <v:fill on="true"/>
                  <v:stroke on="false"/>
                  <v:path/>
                  <v:imagedata o:title=""/>
                  <o:lock v:ext="edit" aspectratio="false"/>
                  <v:textbox inset="0mm,0mm,0mm,0mm">
                    <w:txbxContent>
                      <w:p>
                        <w:pPr>
                          <w:ind w:left="1953"/>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178,019</w:t>
                        </w:r>
                      </w:p>
                    </w:txbxContent>
                  </v:textbox>
                </v:shape>
              </w:pict>
            </w:r>
          </w:p>
        </w:tc>
        <w:tc>
          <w:tcPr>
            <w:tcW w:w="1540" w:type="dxa"/>
            <w:vAlign w:val="top"/>
            <w:tcBorders>
              <w:bottom w:val="single" w:color="000000" w:sz="2" w:space="0"/>
              <w:top w:val="single" w:color="000000" w:sz="2" w:space="0"/>
            </w:tcBorders>
          </w:tcPr>
          <w:p>
            <w:pPr>
              <w:ind w:left="918"/>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161,162</w:t>
            </w:r>
          </w:p>
        </w:tc>
      </w:tr>
    </w:tbl>
    <w:p>
      <w:pPr>
        <w:ind w:left="556"/>
        <w:spacing w:before="267" w:line="222" w:lineRule="auto"/>
        <w:rPr>
          <w:rFonts w:ascii="SimSun" w:hAnsi="SimSun" w:eastAsia="SimSun" w:cs="SimSun"/>
          <w:sz w:val="21"/>
          <w:szCs w:val="21"/>
        </w:rPr>
      </w:pPr>
      <w:r>
        <w:rPr>
          <w:rFonts w:ascii="SimSun" w:hAnsi="SimSun" w:eastAsia="SimSun" w:cs="SimSun"/>
          <w:sz w:val="21"/>
          <w:szCs w:val="21"/>
          <w:b/>
          <w:bCs/>
          <w:spacing w:val="12"/>
        </w:rPr>
        <w:t>(</w:t>
      </w:r>
      <w:r>
        <w:rPr>
          <w:rFonts w:ascii="Times New Roman" w:hAnsi="Times New Roman" w:eastAsia="Times New Roman" w:cs="Times New Roman"/>
          <w:sz w:val="21"/>
          <w:szCs w:val="21"/>
          <w:b/>
          <w:bCs/>
          <w:spacing w:val="12"/>
        </w:rPr>
        <w:t>2</w:t>
      </w:r>
      <w:r>
        <w:rPr>
          <w:rFonts w:ascii="SimSun" w:hAnsi="SimSun" w:eastAsia="SimSun" w:cs="SimSun"/>
          <w:sz w:val="21"/>
          <w:szCs w:val="21"/>
          <w:b/>
          <w:bCs/>
          <w:spacing w:val="12"/>
        </w:rPr>
        <w:t>)金融投资</w:t>
      </w:r>
    </w:p>
    <w:p>
      <w:pPr>
        <w:ind w:left="441"/>
        <w:spacing w:before="307" w:line="213" w:lineRule="auto"/>
        <w:rPr>
          <w:rFonts w:ascii="SimSun" w:hAnsi="SimSun" w:eastAsia="SimSun" w:cs="SimSun"/>
          <w:sz w:val="21"/>
          <w:szCs w:val="21"/>
        </w:rPr>
      </w:pPr>
      <w:r>
        <w:rPr>
          <w:rFonts w:ascii="SimSun" w:hAnsi="SimSun" w:eastAsia="SimSun" w:cs="SimSun"/>
          <w:sz w:val="21"/>
          <w:szCs w:val="21"/>
        </w:rPr>
        <w:t>报告期末,</w:t>
      </w:r>
      <w:r>
        <w:rPr>
          <w:rFonts w:ascii="SimSun" w:hAnsi="SimSun" w:eastAsia="SimSun" w:cs="SimSun"/>
          <w:sz w:val="21"/>
          <w:szCs w:val="21"/>
          <w:spacing w:val="36"/>
        </w:rPr>
        <w:t xml:space="preserve"> </w:t>
      </w:r>
      <w:r>
        <w:rPr>
          <w:rFonts w:ascii="SimSun" w:hAnsi="SimSun" w:eastAsia="SimSun" w:cs="SimSun"/>
          <w:sz w:val="21"/>
          <w:szCs w:val="21"/>
        </w:rPr>
        <w:t>本集团金融投资净额</w:t>
      </w:r>
      <w:r>
        <w:rPr>
          <w:rFonts w:ascii="SimSun" w:hAnsi="SimSun" w:eastAsia="SimSun" w:cs="SimSun"/>
          <w:sz w:val="21"/>
          <w:szCs w:val="21"/>
          <w:spacing w:val="-43"/>
        </w:rPr>
        <w:t xml:space="preserve"> </w:t>
      </w:r>
      <w:r>
        <w:rPr>
          <w:rFonts w:ascii="Times New Roman" w:hAnsi="Times New Roman" w:eastAsia="Times New Roman" w:cs="Times New Roman"/>
          <w:sz w:val="21"/>
          <w:szCs w:val="21"/>
        </w:rPr>
        <w:t>39,552.07 </w:t>
      </w:r>
      <w:r>
        <w:rPr>
          <w:rFonts w:ascii="SimSun" w:hAnsi="SimSun" w:eastAsia="SimSun" w:cs="SimSun"/>
          <w:sz w:val="21"/>
          <w:szCs w:val="21"/>
        </w:rPr>
        <w:t>亿元,</w:t>
      </w:r>
      <w:r>
        <w:rPr>
          <w:rFonts w:ascii="SimSun" w:hAnsi="SimSun" w:eastAsia="SimSun" w:cs="SimSun"/>
          <w:sz w:val="21"/>
          <w:szCs w:val="21"/>
          <w:spacing w:val="28"/>
        </w:rPr>
        <w:t xml:space="preserve"> </w:t>
      </w:r>
      <w:r>
        <w:rPr>
          <w:rFonts w:ascii="SimSun" w:hAnsi="SimSun" w:eastAsia="SimSun" w:cs="SimSun"/>
          <w:sz w:val="21"/>
          <w:szCs w:val="21"/>
        </w:rPr>
        <w:t>较上年末增加</w:t>
      </w:r>
      <w:r>
        <w:rPr>
          <w:rFonts w:ascii="SimSun" w:hAnsi="SimSun" w:eastAsia="SimSun" w:cs="SimSun"/>
          <w:sz w:val="21"/>
          <w:szCs w:val="21"/>
          <w:spacing w:val="-48"/>
        </w:rPr>
        <w:t xml:space="preserve"> </w:t>
      </w:r>
      <w:r>
        <w:rPr>
          <w:rFonts w:ascii="Times New Roman" w:hAnsi="Times New Roman" w:eastAsia="Times New Roman" w:cs="Times New Roman"/>
          <w:sz w:val="21"/>
          <w:szCs w:val="21"/>
        </w:rPr>
        <w:t>4,319.58 </w:t>
      </w:r>
      <w:r>
        <w:rPr>
          <w:rFonts w:ascii="SimSun" w:hAnsi="SimSun" w:eastAsia="SimSun" w:cs="SimSun"/>
          <w:sz w:val="21"/>
          <w:szCs w:val="21"/>
        </w:rPr>
        <w:t>亿元,增幅</w:t>
      </w:r>
      <w:r>
        <w:rPr>
          <w:rFonts w:ascii="SimSun" w:hAnsi="SimSun" w:eastAsia="SimSun" w:cs="SimSun"/>
          <w:sz w:val="21"/>
          <w:szCs w:val="21"/>
          <w:spacing w:val="-27"/>
        </w:rPr>
        <w:t xml:space="preserve"> </w:t>
      </w:r>
      <w:r>
        <w:rPr>
          <w:rFonts w:ascii="Times New Roman" w:hAnsi="Times New Roman" w:eastAsia="Times New Roman" w:cs="Times New Roman"/>
          <w:sz w:val="21"/>
          <w:szCs w:val="21"/>
        </w:rPr>
        <w:t>12.26%</w:t>
      </w:r>
      <w:r>
        <w:rPr>
          <w:rFonts w:ascii="SimSun" w:hAnsi="SimSun" w:eastAsia="SimSun" w:cs="SimSun"/>
          <w:sz w:val="21"/>
          <w:szCs w:val="21"/>
        </w:rPr>
        <w:t>。</w:t>
      </w:r>
    </w:p>
    <w:p>
      <w:pPr>
        <w:pStyle w:val="BodyText"/>
        <w:spacing w:line="247" w:lineRule="auto"/>
        <w:rPr/>
      </w:pPr>
      <w:r/>
    </w:p>
    <w:p>
      <w:pPr>
        <w:ind w:left="447"/>
        <w:spacing w:before="69" w:line="221" w:lineRule="auto"/>
        <w:rPr>
          <w:rFonts w:ascii="SimSun" w:hAnsi="SimSun" w:eastAsia="SimSun" w:cs="SimSun"/>
          <w:sz w:val="21"/>
          <w:szCs w:val="21"/>
        </w:rPr>
      </w:pPr>
      <w:r>
        <w:rPr>
          <w:rFonts w:ascii="SimSun" w:hAnsi="SimSun" w:eastAsia="SimSun" w:cs="SimSun"/>
          <w:sz w:val="21"/>
          <w:szCs w:val="21"/>
          <w:b/>
          <w:bCs/>
          <w:spacing w:val="-3"/>
        </w:rPr>
        <w:t>按性质划分的投资结构</w:t>
      </w:r>
    </w:p>
    <w:p>
      <w:pPr>
        <w:pStyle w:val="BodyText"/>
        <w:spacing w:line="250" w:lineRule="auto"/>
        <w:rPr/>
      </w:pPr>
      <w:r/>
    </w:p>
    <w:p>
      <w:pPr>
        <w:spacing w:before="59" w:line="250" w:lineRule="exact"/>
        <w:jc w:val="right"/>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position w:val="2"/>
        </w:rPr>
        <w:t>(</w:t>
      </w:r>
      <w:r>
        <w:rPr>
          <w:rFonts w:ascii="SimSun" w:hAnsi="SimSun" w:eastAsia="SimSun" w:cs="SimSun"/>
          <w:sz w:val="18"/>
          <w:szCs w:val="18"/>
          <w:spacing w:val="5"/>
          <w:position w:val="2"/>
        </w:rPr>
        <w:t>除另有标明外,人民币百万元</w:t>
      </w:r>
      <w:r>
        <w:rPr>
          <w:rFonts w:ascii="Times New Roman" w:hAnsi="Times New Roman" w:eastAsia="Times New Roman" w:cs="Times New Roman"/>
          <w:sz w:val="18"/>
          <w:szCs w:val="18"/>
          <w:spacing w:val="5"/>
          <w:position w:val="2"/>
        </w:rPr>
        <w:t>)</w:t>
      </w:r>
    </w:p>
    <w:p>
      <w:pPr>
        <w:spacing w:line="35" w:lineRule="auto"/>
        <w:rPr>
          <w:rFonts w:ascii="Arial"/>
          <w:sz w:val="2"/>
        </w:rPr>
      </w:pPr>
      <w:r>
        <w:rPr>
          <w:rFonts w:ascii="Arial"/>
          <w:sz w:val="2"/>
        </w:rPr>
      </w:r>
    </w:p>
    <w:tbl>
      <w:tblPr>
        <w:tblStyle w:val="TableNormal"/>
        <w:tblW w:w="9654"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441"/>
        <w:gridCol w:w="1805"/>
        <w:gridCol w:w="1803"/>
        <w:gridCol w:w="2408"/>
        <w:gridCol w:w="1197"/>
      </w:tblGrid>
      <w:tr>
        <w:trPr>
          <w:trHeight w:val="382" w:hRule="atLeast"/>
        </w:trPr>
        <w:tc>
          <w:tcPr>
            <w:tcW w:w="2441" w:type="dxa"/>
            <w:vAlign w:val="top"/>
            <w:vMerge w:val="restart"/>
            <w:tcBorders>
              <w:bottom w:val="nil"/>
              <w:top w:val="single" w:color="000000" w:sz="2" w:space="0"/>
            </w:tcBorders>
          </w:tcPr>
          <w:p>
            <w:pPr>
              <w:rPr>
                <w:rFonts w:ascii="Arial"/>
                <w:sz w:val="21"/>
              </w:rPr>
            </w:pPr>
            <w:r/>
          </w:p>
        </w:tc>
        <w:tc>
          <w:tcPr>
            <w:shd w:val="clear" w:fill="DBE5F1"/>
            <w:tcW w:w="3608" w:type="dxa"/>
            <w:vAlign w:val="top"/>
            <w:gridSpan w:val="2"/>
            <w:tcBorders>
              <w:bottom w:val="single" w:color="000000" w:sz="2" w:space="0"/>
              <w:top w:val="single" w:color="000000" w:sz="2" w:space="0"/>
            </w:tcBorders>
          </w:tcPr>
          <w:p>
            <w:pPr>
              <w:pStyle w:val="TableText"/>
              <w:ind w:left="1176"/>
              <w:spacing w:before="114" w:line="220" w:lineRule="auto"/>
              <w:rPr>
                <w:sz w:val="18"/>
                <w:szCs w:val="18"/>
              </w:rPr>
            </w:pPr>
            <w:r>
              <w:rPr>
                <w:rFonts w:ascii="Times New Roman" w:hAnsi="Times New Roman" w:eastAsia="Times New Roman" w:cs="Times New Roman"/>
                <w:sz w:val="18"/>
                <w:szCs w:val="18"/>
                <w:b/>
                <w:bCs/>
                <w:spacing w:val="-1"/>
              </w:rPr>
              <w:t>2022</w:t>
            </w:r>
            <w:r>
              <w:rPr>
                <w:sz w:val="18"/>
                <w:szCs w:val="18"/>
                <w:b/>
                <w:bCs/>
                <w:spacing w:val="-1"/>
              </w:rPr>
              <w:t>年</w:t>
            </w:r>
            <w:r>
              <w:rPr>
                <w:rFonts w:ascii="Times New Roman" w:hAnsi="Times New Roman" w:eastAsia="Times New Roman" w:cs="Times New Roman"/>
                <w:sz w:val="18"/>
                <w:szCs w:val="18"/>
                <w:b/>
                <w:bCs/>
                <w:spacing w:val="-1"/>
              </w:rPr>
              <w:t>12</w:t>
            </w:r>
            <w:r>
              <w:rPr>
                <w:sz w:val="18"/>
                <w:szCs w:val="18"/>
                <w:b/>
                <w:bCs/>
                <w:spacing w:val="-1"/>
              </w:rPr>
              <w:t>月</w:t>
            </w:r>
            <w:r>
              <w:rPr>
                <w:rFonts w:ascii="Times New Roman" w:hAnsi="Times New Roman" w:eastAsia="Times New Roman" w:cs="Times New Roman"/>
                <w:sz w:val="18"/>
                <w:szCs w:val="18"/>
                <w:b/>
                <w:bCs/>
                <w:spacing w:val="-1"/>
              </w:rPr>
              <w:t>31</w:t>
            </w:r>
            <w:r>
              <w:rPr>
                <w:sz w:val="18"/>
                <w:szCs w:val="18"/>
                <w:b/>
                <w:bCs/>
                <w:spacing w:val="-1"/>
              </w:rPr>
              <w:t>日</w:t>
            </w:r>
          </w:p>
        </w:tc>
        <w:tc>
          <w:tcPr>
            <w:tcW w:w="3605" w:type="dxa"/>
            <w:vAlign w:val="top"/>
            <w:gridSpan w:val="2"/>
            <w:tcBorders>
              <w:bottom w:val="single" w:color="000000" w:sz="2" w:space="0"/>
              <w:top w:val="single" w:color="000000" w:sz="2" w:space="0"/>
            </w:tcBorders>
          </w:tcPr>
          <w:p>
            <w:pPr>
              <w:pStyle w:val="TableText"/>
              <w:ind w:left="1177"/>
              <w:spacing w:before="114" w:line="220" w:lineRule="auto"/>
              <w:rPr>
                <w:sz w:val="18"/>
                <w:szCs w:val="18"/>
              </w:rPr>
            </w:pPr>
            <w:r>
              <w:rPr>
                <w:rFonts w:ascii="Times New Roman" w:hAnsi="Times New Roman" w:eastAsia="Times New Roman" w:cs="Times New Roman"/>
                <w:sz w:val="18"/>
                <w:szCs w:val="18"/>
                <w:spacing w:val="-1"/>
              </w:rPr>
              <w:t>2021</w:t>
            </w:r>
            <w:r>
              <w:rPr>
                <w:sz w:val="18"/>
                <w:szCs w:val="18"/>
                <w:spacing w:val="-1"/>
              </w:rPr>
              <w:t>年</w:t>
            </w:r>
            <w:r>
              <w:rPr>
                <w:rFonts w:ascii="Times New Roman" w:hAnsi="Times New Roman" w:eastAsia="Times New Roman" w:cs="Times New Roman"/>
                <w:sz w:val="18"/>
                <w:szCs w:val="18"/>
                <w:spacing w:val="-1"/>
              </w:rPr>
              <w:t>12</w:t>
            </w:r>
            <w:r>
              <w:rPr>
                <w:sz w:val="18"/>
                <w:szCs w:val="18"/>
                <w:spacing w:val="-1"/>
              </w:rPr>
              <w:t>月</w:t>
            </w:r>
            <w:r>
              <w:rPr>
                <w:rFonts w:ascii="Times New Roman" w:hAnsi="Times New Roman" w:eastAsia="Times New Roman" w:cs="Times New Roman"/>
                <w:sz w:val="18"/>
                <w:szCs w:val="18"/>
                <w:spacing w:val="-1"/>
              </w:rPr>
              <w:t>31</w:t>
            </w:r>
            <w:r>
              <w:rPr>
                <w:sz w:val="18"/>
                <w:szCs w:val="18"/>
                <w:spacing w:val="-1"/>
              </w:rPr>
              <w:t>日</w:t>
            </w:r>
          </w:p>
        </w:tc>
      </w:tr>
      <w:tr>
        <w:trPr>
          <w:trHeight w:val="378" w:hRule="atLeast"/>
        </w:trPr>
        <w:tc>
          <w:tcPr>
            <w:tcW w:w="2441" w:type="dxa"/>
            <w:vAlign w:val="top"/>
            <w:vMerge w:val="continue"/>
            <w:tcBorders>
              <w:bottom w:val="single" w:color="000000" w:sz="2" w:space="0"/>
              <w:top w:val="nil"/>
            </w:tcBorders>
          </w:tcPr>
          <w:p>
            <w:pPr>
              <w:rPr>
                <w:rFonts w:ascii="Arial"/>
                <w:sz w:val="21"/>
              </w:rPr>
            </w:pPr>
            <w:r/>
          </w:p>
        </w:tc>
        <w:tc>
          <w:tcPr>
            <w:shd w:val="clear" w:fill="DBE5F1"/>
            <w:tcW w:w="3608" w:type="dxa"/>
            <w:vAlign w:val="top"/>
            <w:gridSpan w:val="2"/>
            <w:tcBorders>
              <w:bottom w:val="single" w:color="000000" w:sz="2" w:space="0"/>
              <w:top w:val="single" w:color="000000" w:sz="2" w:space="0"/>
            </w:tcBorders>
          </w:tcPr>
          <w:p>
            <w:pPr>
              <w:pStyle w:val="TableText"/>
              <w:ind w:left="1393"/>
              <w:spacing w:before="111" w:line="220" w:lineRule="auto"/>
              <w:rPr>
                <w:sz w:val="18"/>
                <w:szCs w:val="18"/>
              </w:rPr>
            </w:pPr>
            <w:r>
              <w:rPr>
                <w:sz w:val="18"/>
                <w:szCs w:val="18"/>
                <w:b/>
                <w:bCs/>
                <w:spacing w:val="7"/>
              </w:rPr>
              <w:t>余额</w:t>
            </w:r>
            <w:r>
              <w:rPr>
                <w:sz w:val="18"/>
                <w:szCs w:val="18"/>
                <w:spacing w:val="3"/>
              </w:rPr>
              <w:t xml:space="preserve">          </w:t>
            </w:r>
            <w:r>
              <w:rPr>
                <w:sz w:val="18"/>
                <w:szCs w:val="18"/>
                <w:b/>
                <w:bCs/>
                <w:spacing w:val="7"/>
              </w:rPr>
              <w:t>占比(</w:t>
            </w:r>
            <w:r>
              <w:rPr>
                <w:rFonts w:ascii="Times New Roman" w:hAnsi="Times New Roman" w:eastAsia="Times New Roman" w:cs="Times New Roman"/>
                <w:sz w:val="18"/>
                <w:szCs w:val="18"/>
                <w:b/>
                <w:bCs/>
                <w:spacing w:val="7"/>
              </w:rPr>
              <w:t>%</w:t>
            </w:r>
            <w:r>
              <w:rPr>
                <w:sz w:val="18"/>
                <w:szCs w:val="18"/>
                <w:b/>
                <w:bCs/>
                <w:spacing w:val="7"/>
              </w:rPr>
              <w:t>)</w:t>
            </w:r>
          </w:p>
        </w:tc>
        <w:tc>
          <w:tcPr>
            <w:tcW w:w="3605" w:type="dxa"/>
            <w:vAlign w:val="top"/>
            <w:gridSpan w:val="2"/>
            <w:tcBorders>
              <w:bottom w:val="single" w:color="000000" w:sz="2" w:space="0"/>
              <w:top w:val="single" w:color="000000" w:sz="2" w:space="0"/>
            </w:tcBorders>
          </w:tcPr>
          <w:p>
            <w:pPr>
              <w:pStyle w:val="TableText"/>
              <w:ind w:left="1395"/>
              <w:spacing w:before="111" w:line="220" w:lineRule="auto"/>
              <w:rPr>
                <w:sz w:val="18"/>
                <w:szCs w:val="18"/>
              </w:rPr>
            </w:pPr>
            <w:r>
              <w:rPr>
                <w:sz w:val="18"/>
                <w:szCs w:val="18"/>
                <w:spacing w:val="8"/>
              </w:rPr>
              <w:t>余额</w:t>
            </w:r>
            <w:r>
              <w:rPr>
                <w:sz w:val="18"/>
                <w:szCs w:val="18"/>
                <w:spacing w:val="7"/>
              </w:rPr>
              <w:t xml:space="preserve">          </w:t>
            </w:r>
            <w:r>
              <w:rPr>
                <w:sz w:val="18"/>
                <w:szCs w:val="18"/>
                <w:spacing w:val="8"/>
              </w:rPr>
              <w:t>占比(</w:t>
            </w:r>
            <w:r>
              <w:rPr>
                <w:rFonts w:ascii="Times New Roman" w:hAnsi="Times New Roman" w:eastAsia="Times New Roman" w:cs="Times New Roman"/>
                <w:sz w:val="18"/>
                <w:szCs w:val="18"/>
                <w:spacing w:val="8"/>
              </w:rPr>
              <w:t>%</w:t>
            </w:r>
            <w:r>
              <w:rPr>
                <w:sz w:val="18"/>
                <w:szCs w:val="18"/>
                <w:spacing w:val="8"/>
              </w:rPr>
              <w:t>)</w:t>
            </w:r>
          </w:p>
        </w:tc>
      </w:tr>
      <w:tr>
        <w:trPr>
          <w:trHeight w:val="378" w:hRule="atLeast"/>
        </w:trPr>
        <w:tc>
          <w:tcPr>
            <w:tcW w:w="2441" w:type="dxa"/>
            <w:vAlign w:val="top"/>
            <w:tcBorders>
              <w:bottom w:val="single" w:color="000000" w:sz="2" w:space="0"/>
              <w:top w:val="single" w:color="000000" w:sz="2" w:space="0"/>
            </w:tcBorders>
          </w:tcPr>
          <w:p>
            <w:pPr>
              <w:pStyle w:val="TableText"/>
              <w:ind w:left="79"/>
              <w:spacing w:before="112" w:line="220" w:lineRule="auto"/>
              <w:rPr>
                <w:sz w:val="18"/>
                <w:szCs w:val="18"/>
              </w:rPr>
            </w:pPr>
            <w:r>
              <w:rPr>
                <w:sz w:val="18"/>
                <w:szCs w:val="18"/>
                <w:spacing w:val="-2"/>
              </w:rPr>
              <w:t>债券</w:t>
            </w:r>
          </w:p>
        </w:tc>
        <w:tc>
          <w:tcPr>
            <w:shd w:val="clear" w:fill="DBE5F1"/>
            <w:tcW w:w="1805" w:type="dxa"/>
            <w:vAlign w:val="top"/>
            <w:tcBorders>
              <w:bottom w:val="single" w:color="000000" w:sz="2" w:space="0"/>
              <w:top w:val="single" w:color="000000" w:sz="2" w:space="0"/>
            </w:tcBorders>
          </w:tcPr>
          <w:p>
            <w:pPr>
              <w:ind w:left="1030"/>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3,416,632</w:t>
            </w:r>
          </w:p>
        </w:tc>
        <w:tc>
          <w:tcPr>
            <w:shd w:val="clear" w:fill="DBE5F1"/>
            <w:tcW w:w="1803" w:type="dxa"/>
            <w:vAlign w:val="top"/>
            <w:tcBorders>
              <w:bottom w:val="single" w:color="000000" w:sz="2" w:space="0"/>
              <w:top w:val="single" w:color="000000" w:sz="2" w:space="0"/>
            </w:tcBorders>
          </w:tcPr>
          <w:p>
            <w:pPr>
              <w:ind w:left="1346"/>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86.38</w:t>
            </w:r>
          </w:p>
        </w:tc>
        <w:tc>
          <w:tcPr>
            <w:tcW w:w="2408" w:type="dxa"/>
            <w:vAlign w:val="top"/>
            <w:tcBorders>
              <w:bottom w:val="single" w:color="000000" w:sz="2" w:space="0"/>
              <w:top w:val="single" w:color="000000" w:sz="2" w:space="0"/>
            </w:tcBorders>
          </w:tcPr>
          <w:p>
            <w:pPr>
              <w:ind w:left="1034"/>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3,021,272</w:t>
            </w:r>
          </w:p>
        </w:tc>
        <w:tc>
          <w:tcPr>
            <w:tcW w:w="1197" w:type="dxa"/>
            <w:vAlign w:val="top"/>
            <w:tcBorders>
              <w:bottom w:val="single" w:color="000000" w:sz="2" w:space="0"/>
              <w:top w:val="single" w:color="000000" w:sz="2" w:space="0"/>
            </w:tcBorders>
          </w:tcPr>
          <w:p>
            <w:pPr>
              <w:ind w:left="747"/>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85.75</w:t>
            </w:r>
          </w:p>
        </w:tc>
      </w:tr>
      <w:tr>
        <w:trPr>
          <w:trHeight w:val="378" w:hRule="atLeast"/>
        </w:trPr>
        <w:tc>
          <w:tcPr>
            <w:tcW w:w="2441" w:type="dxa"/>
            <w:vAlign w:val="top"/>
            <w:tcBorders>
              <w:bottom w:val="single" w:color="000000" w:sz="2" w:space="0"/>
              <w:top w:val="single" w:color="000000" w:sz="2" w:space="0"/>
            </w:tcBorders>
          </w:tcPr>
          <w:p>
            <w:pPr>
              <w:pStyle w:val="TableText"/>
              <w:ind w:left="78"/>
              <w:spacing w:before="113" w:line="220" w:lineRule="auto"/>
              <w:rPr>
                <w:sz w:val="18"/>
                <w:szCs w:val="18"/>
              </w:rPr>
            </w:pPr>
            <w:r>
              <w:rPr>
                <w:sz w:val="18"/>
                <w:szCs w:val="18"/>
                <w:spacing w:val="-1"/>
              </w:rPr>
              <w:t>权益工具及其他</w:t>
            </w:r>
          </w:p>
        </w:tc>
        <w:tc>
          <w:tcPr>
            <w:shd w:val="clear" w:fill="DBE5F1"/>
            <w:tcW w:w="1805" w:type="dxa"/>
            <w:vAlign w:val="top"/>
            <w:tcBorders>
              <w:bottom w:val="single" w:color="000000" w:sz="2" w:space="0"/>
              <w:top w:val="single" w:color="000000" w:sz="2" w:space="0"/>
            </w:tcBorders>
          </w:tcPr>
          <w:p>
            <w:pPr>
              <w:ind w:left="1168"/>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538,575</w:t>
            </w:r>
          </w:p>
        </w:tc>
        <w:tc>
          <w:tcPr>
            <w:shd w:val="clear" w:fill="DBE5F1"/>
            <w:tcW w:w="1803" w:type="dxa"/>
            <w:vAlign w:val="top"/>
            <w:tcBorders>
              <w:bottom w:val="single" w:color="000000" w:sz="2" w:space="0"/>
              <w:top w:val="single" w:color="000000" w:sz="2" w:space="0"/>
            </w:tcBorders>
          </w:tcPr>
          <w:p>
            <w:pPr>
              <w:ind w:left="1352"/>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13.62</w:t>
            </w:r>
          </w:p>
        </w:tc>
        <w:tc>
          <w:tcPr>
            <w:tcW w:w="2408" w:type="dxa"/>
            <w:vAlign w:val="top"/>
            <w:tcBorders>
              <w:bottom w:val="single" w:color="000000" w:sz="2" w:space="0"/>
              <w:top w:val="single" w:color="000000" w:sz="2" w:space="0"/>
            </w:tcBorders>
          </w:tcPr>
          <w:p>
            <w:pPr>
              <w:ind w:left="1170"/>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501,977</w:t>
            </w:r>
          </w:p>
        </w:tc>
        <w:tc>
          <w:tcPr>
            <w:tcW w:w="1197" w:type="dxa"/>
            <w:vAlign w:val="top"/>
            <w:tcBorders>
              <w:bottom w:val="single" w:color="000000" w:sz="2" w:space="0"/>
              <w:top w:val="single" w:color="000000" w:sz="2" w:space="0"/>
            </w:tcBorders>
          </w:tcPr>
          <w:p>
            <w:pPr>
              <w:ind w:left="758"/>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14.25</w:t>
            </w:r>
          </w:p>
        </w:tc>
      </w:tr>
      <w:tr>
        <w:trPr>
          <w:trHeight w:val="383" w:hRule="atLeast"/>
        </w:trPr>
        <w:tc>
          <w:tcPr>
            <w:tcW w:w="2441" w:type="dxa"/>
            <w:vAlign w:val="top"/>
            <w:tcBorders>
              <w:bottom w:val="single" w:color="000000" w:sz="2" w:space="0"/>
              <w:top w:val="single" w:color="000000" w:sz="2" w:space="0"/>
            </w:tcBorders>
          </w:tcPr>
          <w:p>
            <w:pPr>
              <w:pStyle w:val="TableText"/>
              <w:ind w:left="79"/>
              <w:spacing w:before="113" w:line="222" w:lineRule="auto"/>
              <w:rPr>
                <w:sz w:val="18"/>
                <w:szCs w:val="18"/>
              </w:rPr>
            </w:pPr>
            <w:r>
              <w:rPr>
                <w:sz w:val="18"/>
                <w:szCs w:val="18"/>
                <w:b/>
                <w:bCs/>
                <w:spacing w:val="-4"/>
              </w:rPr>
              <w:t>合计</w:t>
            </w:r>
          </w:p>
        </w:tc>
        <w:tc>
          <w:tcPr>
            <w:shd w:val="clear" w:fill="DBE5F1"/>
            <w:tcW w:w="1805" w:type="dxa"/>
            <w:vAlign w:val="top"/>
            <w:tcBorders>
              <w:bottom w:val="single" w:color="000000" w:sz="2" w:space="0"/>
              <w:top w:val="single" w:color="000000" w:sz="2" w:space="0"/>
            </w:tcBorders>
          </w:tcPr>
          <w:p>
            <w:pPr>
              <w:ind w:left="1030"/>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3,955,207</w:t>
            </w:r>
          </w:p>
        </w:tc>
        <w:tc>
          <w:tcPr>
            <w:shd w:val="clear" w:fill="DBE5F1"/>
            <w:tcW w:w="1803" w:type="dxa"/>
            <w:vAlign w:val="top"/>
            <w:tcBorders>
              <w:bottom w:val="single" w:color="000000" w:sz="2" w:space="0"/>
              <w:top w:val="single" w:color="000000" w:sz="2" w:space="0"/>
            </w:tcBorders>
          </w:tcPr>
          <w:p>
            <w:pPr>
              <w:ind w:left="1263"/>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100.00</w:t>
            </w:r>
          </w:p>
        </w:tc>
        <w:tc>
          <w:tcPr>
            <w:tcW w:w="2408" w:type="dxa"/>
            <w:vAlign w:val="top"/>
            <w:tcBorders>
              <w:bottom w:val="single" w:color="000000" w:sz="2" w:space="0"/>
              <w:top w:val="single" w:color="000000" w:sz="2" w:space="0"/>
            </w:tcBorders>
          </w:tcPr>
          <w:p>
            <w:pPr>
              <w:ind w:left="1034"/>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3,523,249</w:t>
            </w:r>
          </w:p>
        </w:tc>
        <w:tc>
          <w:tcPr>
            <w:tcW w:w="1197" w:type="dxa"/>
            <w:vAlign w:val="top"/>
            <w:tcBorders>
              <w:bottom w:val="single" w:color="000000" w:sz="2" w:space="0"/>
              <w:top w:val="single" w:color="000000" w:sz="2" w:space="0"/>
            </w:tcBorders>
          </w:tcPr>
          <w:p>
            <w:pPr>
              <w:ind w:left="669"/>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100.00</w:t>
            </w:r>
          </w:p>
        </w:tc>
      </w:tr>
    </w:tbl>
    <w:p>
      <w:pPr>
        <w:ind w:left="447"/>
        <w:spacing w:before="268" w:line="221" w:lineRule="auto"/>
        <w:rPr>
          <w:rFonts w:ascii="SimSun" w:hAnsi="SimSun" w:eastAsia="SimSun" w:cs="SimSun"/>
          <w:sz w:val="21"/>
          <w:szCs w:val="21"/>
        </w:rPr>
      </w:pPr>
      <w:r>
        <w:rPr>
          <w:rFonts w:ascii="SimSun" w:hAnsi="SimSun" w:eastAsia="SimSun" w:cs="SimSun"/>
          <w:sz w:val="21"/>
          <w:szCs w:val="21"/>
          <w:b/>
          <w:bCs/>
          <w:spacing w:val="-2"/>
        </w:rPr>
        <w:t>按财务报表列报方式划分的投资结构</w:t>
      </w:r>
    </w:p>
    <w:p>
      <w:pPr>
        <w:spacing w:line="221" w:lineRule="auto"/>
        <w:sectPr>
          <w:footerReference w:type="default" r:id="rId28"/>
          <w:pgSz w:w="11907" w:h="16839"/>
          <w:pgMar w:top="1196" w:right="1133" w:bottom="1375" w:left="1118" w:header="0" w:footer="1211" w:gutter="0"/>
        </w:sectPr>
        <w:rPr>
          <w:rFonts w:ascii="SimSun" w:hAnsi="SimSun" w:eastAsia="SimSun" w:cs="SimSun"/>
          <w:sz w:val="21"/>
          <w:szCs w:val="21"/>
        </w:rPr>
      </w:pPr>
    </w:p>
    <w:p>
      <w:pPr>
        <w:ind w:right="4"/>
        <w:spacing w:before="47" w:line="250" w:lineRule="exact"/>
        <w:jc w:val="right"/>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position w:val="2"/>
        </w:rPr>
        <w:t>(</w:t>
      </w:r>
      <w:r>
        <w:rPr>
          <w:rFonts w:ascii="SimSun" w:hAnsi="SimSun" w:eastAsia="SimSun" w:cs="SimSun"/>
          <w:sz w:val="18"/>
          <w:szCs w:val="18"/>
          <w:spacing w:val="5"/>
          <w:position w:val="2"/>
        </w:rPr>
        <w:t>除另有标明外,人民币百万元</w:t>
      </w:r>
      <w:r>
        <w:rPr>
          <w:rFonts w:ascii="Times New Roman" w:hAnsi="Times New Roman" w:eastAsia="Times New Roman" w:cs="Times New Roman"/>
          <w:sz w:val="18"/>
          <w:szCs w:val="18"/>
          <w:spacing w:val="5"/>
          <w:position w:val="2"/>
        </w:rPr>
        <w:t>)</w:t>
      </w:r>
    </w:p>
    <w:p>
      <w:pPr>
        <w:spacing w:line="30" w:lineRule="auto"/>
        <w:rPr>
          <w:rFonts w:ascii="Arial"/>
          <w:sz w:val="2"/>
        </w:rPr>
      </w:pPr>
      <w:r>
        <w:rPr>
          <w:rFonts w:ascii="Arial"/>
          <w:sz w:val="2"/>
        </w:rPr>
      </w:r>
    </w:p>
    <w:tbl>
      <w:tblPr>
        <w:tblStyle w:val="TableNormal"/>
        <w:tblW w:w="9654"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644"/>
        <w:gridCol w:w="1502"/>
        <w:gridCol w:w="1508"/>
        <w:gridCol w:w="1956"/>
        <w:gridCol w:w="1044"/>
      </w:tblGrid>
      <w:tr>
        <w:trPr>
          <w:trHeight w:val="386" w:hRule="atLeast"/>
        </w:trPr>
        <w:tc>
          <w:tcPr>
            <w:tcW w:w="3644" w:type="dxa"/>
            <w:vAlign w:val="top"/>
            <w:vMerge w:val="restart"/>
            <w:tcBorders>
              <w:bottom w:val="nil"/>
              <w:top w:val="single" w:color="000000" w:sz="2" w:space="0"/>
            </w:tcBorders>
          </w:tcPr>
          <w:p>
            <w:pPr>
              <w:rPr>
                <w:rFonts w:ascii="Arial"/>
                <w:sz w:val="21"/>
              </w:rPr>
            </w:pPr>
            <w:r/>
          </w:p>
        </w:tc>
        <w:tc>
          <w:tcPr>
            <w:shd w:val="clear" w:fill="DBE5F1"/>
            <w:tcW w:w="3010" w:type="dxa"/>
            <w:vAlign w:val="top"/>
            <w:gridSpan w:val="2"/>
            <w:tcBorders>
              <w:bottom w:val="single" w:color="000000" w:sz="2" w:space="0"/>
              <w:top w:val="single" w:color="000000" w:sz="2" w:space="0"/>
            </w:tcBorders>
          </w:tcPr>
          <w:p>
            <w:pPr>
              <w:pStyle w:val="TableText"/>
              <w:ind w:left="878"/>
              <w:spacing w:before="117" w:line="220" w:lineRule="auto"/>
              <w:rPr>
                <w:sz w:val="18"/>
                <w:szCs w:val="18"/>
              </w:rPr>
            </w:pPr>
            <w:r>
              <w:rPr>
                <w:rFonts w:ascii="Times New Roman" w:hAnsi="Times New Roman" w:eastAsia="Times New Roman" w:cs="Times New Roman"/>
                <w:sz w:val="18"/>
                <w:szCs w:val="18"/>
                <w:b/>
                <w:bCs/>
                <w:spacing w:val="-1"/>
              </w:rPr>
              <w:t>2022</w:t>
            </w:r>
            <w:r>
              <w:rPr>
                <w:sz w:val="18"/>
                <w:szCs w:val="18"/>
                <w:b/>
                <w:bCs/>
                <w:spacing w:val="-1"/>
              </w:rPr>
              <w:t>年</w:t>
            </w:r>
            <w:r>
              <w:rPr>
                <w:rFonts w:ascii="Times New Roman" w:hAnsi="Times New Roman" w:eastAsia="Times New Roman" w:cs="Times New Roman"/>
                <w:sz w:val="18"/>
                <w:szCs w:val="18"/>
                <w:b/>
                <w:bCs/>
                <w:spacing w:val="-1"/>
              </w:rPr>
              <w:t>12</w:t>
            </w:r>
            <w:r>
              <w:rPr>
                <w:sz w:val="18"/>
                <w:szCs w:val="18"/>
                <w:b/>
                <w:bCs/>
                <w:spacing w:val="-1"/>
              </w:rPr>
              <w:t>月</w:t>
            </w:r>
            <w:r>
              <w:rPr>
                <w:rFonts w:ascii="Times New Roman" w:hAnsi="Times New Roman" w:eastAsia="Times New Roman" w:cs="Times New Roman"/>
                <w:sz w:val="18"/>
                <w:szCs w:val="18"/>
                <w:b/>
                <w:bCs/>
                <w:spacing w:val="-1"/>
              </w:rPr>
              <w:t>31</w:t>
            </w:r>
            <w:r>
              <w:rPr>
                <w:sz w:val="18"/>
                <w:szCs w:val="18"/>
                <w:b/>
                <w:bCs/>
                <w:spacing w:val="-1"/>
              </w:rPr>
              <w:t>日</w:t>
            </w:r>
          </w:p>
        </w:tc>
        <w:tc>
          <w:tcPr>
            <w:tcW w:w="3000" w:type="dxa"/>
            <w:vAlign w:val="top"/>
            <w:gridSpan w:val="2"/>
            <w:tcBorders>
              <w:bottom w:val="single" w:color="000000" w:sz="2" w:space="0"/>
              <w:top w:val="single" w:color="000000" w:sz="2" w:space="0"/>
            </w:tcBorders>
          </w:tcPr>
          <w:p>
            <w:pPr>
              <w:pStyle w:val="TableText"/>
              <w:ind w:left="872"/>
              <w:spacing w:before="117" w:line="220" w:lineRule="auto"/>
              <w:rPr>
                <w:sz w:val="18"/>
                <w:szCs w:val="18"/>
              </w:rPr>
            </w:pPr>
            <w:r>
              <w:rPr>
                <w:rFonts w:ascii="Times New Roman" w:hAnsi="Times New Roman" w:eastAsia="Times New Roman" w:cs="Times New Roman"/>
                <w:sz w:val="18"/>
                <w:szCs w:val="18"/>
                <w:spacing w:val="-1"/>
              </w:rPr>
              <w:t>2021</w:t>
            </w:r>
            <w:r>
              <w:rPr>
                <w:sz w:val="18"/>
                <w:szCs w:val="18"/>
                <w:spacing w:val="-1"/>
              </w:rPr>
              <w:t>年</w:t>
            </w:r>
            <w:r>
              <w:rPr>
                <w:rFonts w:ascii="Times New Roman" w:hAnsi="Times New Roman" w:eastAsia="Times New Roman" w:cs="Times New Roman"/>
                <w:sz w:val="18"/>
                <w:szCs w:val="18"/>
                <w:spacing w:val="-1"/>
              </w:rPr>
              <w:t>12</w:t>
            </w:r>
            <w:r>
              <w:rPr>
                <w:sz w:val="18"/>
                <w:szCs w:val="18"/>
                <w:spacing w:val="-1"/>
              </w:rPr>
              <w:t>月</w:t>
            </w:r>
            <w:r>
              <w:rPr>
                <w:rFonts w:ascii="Times New Roman" w:hAnsi="Times New Roman" w:eastAsia="Times New Roman" w:cs="Times New Roman"/>
                <w:sz w:val="18"/>
                <w:szCs w:val="18"/>
                <w:spacing w:val="-1"/>
              </w:rPr>
              <w:t>31</w:t>
            </w:r>
            <w:r>
              <w:rPr>
                <w:sz w:val="18"/>
                <w:szCs w:val="18"/>
                <w:spacing w:val="-1"/>
              </w:rPr>
              <w:t>日</w:t>
            </w:r>
          </w:p>
        </w:tc>
      </w:tr>
      <w:tr>
        <w:trPr>
          <w:trHeight w:val="378" w:hRule="atLeast"/>
        </w:trPr>
        <w:tc>
          <w:tcPr>
            <w:tcW w:w="3644" w:type="dxa"/>
            <w:vAlign w:val="top"/>
            <w:vMerge w:val="continue"/>
            <w:tcBorders>
              <w:bottom w:val="single" w:color="000000" w:sz="2" w:space="0"/>
              <w:top w:val="nil"/>
            </w:tcBorders>
          </w:tcPr>
          <w:p>
            <w:pPr>
              <w:rPr>
                <w:rFonts w:ascii="Arial"/>
                <w:sz w:val="21"/>
              </w:rPr>
            </w:pPr>
            <w:r/>
          </w:p>
        </w:tc>
        <w:tc>
          <w:tcPr>
            <w:shd w:val="clear" w:fill="DBE5F1"/>
            <w:tcW w:w="3010" w:type="dxa"/>
            <w:vAlign w:val="top"/>
            <w:gridSpan w:val="2"/>
            <w:tcBorders>
              <w:bottom w:val="single" w:color="000000" w:sz="2" w:space="0"/>
              <w:top w:val="single" w:color="000000" w:sz="2" w:space="0"/>
            </w:tcBorders>
          </w:tcPr>
          <w:p>
            <w:pPr>
              <w:pStyle w:val="TableText"/>
              <w:ind w:left="1092"/>
              <w:spacing w:before="110" w:line="220" w:lineRule="auto"/>
              <w:rPr>
                <w:sz w:val="18"/>
                <w:szCs w:val="18"/>
              </w:rPr>
            </w:pPr>
            <w:r>
              <w:rPr>
                <w:sz w:val="18"/>
                <w:szCs w:val="18"/>
                <w:b/>
                <w:bCs/>
                <w:spacing w:val="7"/>
              </w:rPr>
              <w:t>余额</w:t>
            </w:r>
            <w:r>
              <w:rPr>
                <w:sz w:val="18"/>
                <w:szCs w:val="18"/>
                <w:spacing w:val="1"/>
              </w:rPr>
              <w:t xml:space="preserve">       </w:t>
            </w:r>
            <w:r>
              <w:rPr>
                <w:sz w:val="18"/>
                <w:szCs w:val="18"/>
                <w:b/>
                <w:bCs/>
                <w:spacing w:val="7"/>
              </w:rPr>
              <w:t>占比(</w:t>
            </w:r>
            <w:r>
              <w:rPr>
                <w:rFonts w:ascii="Times New Roman" w:hAnsi="Times New Roman" w:eastAsia="Times New Roman" w:cs="Times New Roman"/>
                <w:sz w:val="18"/>
                <w:szCs w:val="18"/>
                <w:b/>
                <w:bCs/>
                <w:spacing w:val="7"/>
              </w:rPr>
              <w:t>%</w:t>
            </w:r>
            <w:r>
              <w:rPr>
                <w:sz w:val="18"/>
                <w:szCs w:val="18"/>
                <w:b/>
                <w:bCs/>
                <w:spacing w:val="7"/>
              </w:rPr>
              <w:t>)</w:t>
            </w:r>
          </w:p>
        </w:tc>
        <w:tc>
          <w:tcPr>
            <w:tcW w:w="3000" w:type="dxa"/>
            <w:vAlign w:val="top"/>
            <w:gridSpan w:val="2"/>
            <w:tcBorders>
              <w:bottom w:val="single" w:color="000000" w:sz="2" w:space="0"/>
              <w:top w:val="single" w:color="000000" w:sz="2" w:space="0"/>
            </w:tcBorders>
          </w:tcPr>
          <w:p>
            <w:pPr>
              <w:pStyle w:val="TableText"/>
              <w:ind w:left="1095"/>
              <w:spacing w:before="110" w:line="220" w:lineRule="auto"/>
              <w:rPr>
                <w:sz w:val="18"/>
                <w:szCs w:val="18"/>
              </w:rPr>
            </w:pPr>
            <w:r>
              <w:rPr>
                <w:sz w:val="18"/>
                <w:szCs w:val="18"/>
                <w:spacing w:val="8"/>
              </w:rPr>
              <w:t>余额</w:t>
            </w:r>
            <w:r>
              <w:rPr>
                <w:sz w:val="18"/>
                <w:szCs w:val="18"/>
                <w:spacing w:val="5"/>
              </w:rPr>
              <w:t xml:space="preserve">       </w:t>
            </w:r>
            <w:r>
              <w:rPr>
                <w:sz w:val="18"/>
                <w:szCs w:val="18"/>
                <w:spacing w:val="8"/>
              </w:rPr>
              <w:t>占比(</w:t>
            </w:r>
            <w:r>
              <w:rPr>
                <w:rFonts w:ascii="Times New Roman" w:hAnsi="Times New Roman" w:eastAsia="Times New Roman" w:cs="Times New Roman"/>
                <w:sz w:val="18"/>
                <w:szCs w:val="18"/>
                <w:spacing w:val="8"/>
              </w:rPr>
              <w:t>%</w:t>
            </w:r>
            <w:r>
              <w:rPr>
                <w:sz w:val="18"/>
                <w:szCs w:val="18"/>
                <w:spacing w:val="8"/>
              </w:rPr>
              <w:t>)</w:t>
            </w:r>
          </w:p>
        </w:tc>
      </w:tr>
      <w:tr>
        <w:trPr>
          <w:trHeight w:val="637" w:hRule="atLeast"/>
        </w:trPr>
        <w:tc>
          <w:tcPr>
            <w:tcW w:w="3644" w:type="dxa"/>
            <w:vAlign w:val="top"/>
            <w:tcBorders>
              <w:bottom w:val="single" w:color="000000" w:sz="2" w:space="0"/>
              <w:top w:val="single" w:color="000000" w:sz="2" w:space="0"/>
            </w:tcBorders>
          </w:tcPr>
          <w:p>
            <w:pPr>
              <w:pStyle w:val="TableText"/>
              <w:ind w:left="83" w:right="151" w:firstLine="16"/>
              <w:spacing w:before="113" w:line="243" w:lineRule="auto"/>
              <w:rPr>
                <w:sz w:val="18"/>
                <w:szCs w:val="18"/>
              </w:rPr>
            </w:pPr>
            <w:r>
              <w:rPr>
                <w:sz w:val="18"/>
                <w:szCs w:val="18"/>
                <w:spacing w:val="-2"/>
              </w:rPr>
              <w:t>以公允价值计量且其变动计入当期损益的金</w:t>
            </w:r>
            <w:r>
              <w:rPr>
                <w:sz w:val="18"/>
                <w:szCs w:val="18"/>
                <w:spacing w:val="9"/>
              </w:rPr>
              <w:t xml:space="preserve"> </w:t>
            </w:r>
            <w:r>
              <w:rPr>
                <w:sz w:val="18"/>
                <w:szCs w:val="18"/>
                <w:spacing w:val="-3"/>
              </w:rPr>
              <w:t>融投资</w:t>
            </w:r>
          </w:p>
        </w:tc>
        <w:tc>
          <w:tcPr>
            <w:shd w:val="clear" w:fill="DBE5F1"/>
            <w:tcW w:w="1502" w:type="dxa"/>
            <w:vAlign w:val="top"/>
            <w:tcBorders>
              <w:bottom w:val="single" w:color="000000" w:sz="2" w:space="0"/>
              <w:top w:val="single" w:color="000000" w:sz="2" w:space="0"/>
            </w:tcBorders>
          </w:tcPr>
          <w:p>
            <w:pPr>
              <w:ind w:left="867"/>
              <w:spacing w:before="27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705,357</w:t>
            </w:r>
          </w:p>
        </w:tc>
        <w:tc>
          <w:tcPr>
            <w:shd w:val="clear" w:fill="DBE5F1"/>
            <w:tcW w:w="1508" w:type="dxa"/>
            <w:vAlign w:val="top"/>
            <w:tcBorders>
              <w:bottom w:val="single" w:color="000000" w:sz="2" w:space="0"/>
              <w:top w:val="single" w:color="000000" w:sz="2" w:space="0"/>
            </w:tcBorders>
          </w:tcPr>
          <w:p>
            <w:pPr>
              <w:ind w:left="1056"/>
              <w:spacing w:before="27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17.83</w:t>
            </w:r>
          </w:p>
        </w:tc>
        <w:tc>
          <w:tcPr>
            <w:tcW w:w="1956" w:type="dxa"/>
            <w:vAlign w:val="top"/>
            <w:tcBorders>
              <w:bottom w:val="single" w:color="000000" w:sz="2" w:space="0"/>
              <w:top w:val="single" w:color="000000" w:sz="2" w:space="0"/>
            </w:tcBorders>
          </w:tcPr>
          <w:p>
            <w:pPr>
              <w:ind w:left="869"/>
              <w:spacing w:before="27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638,483</w:t>
            </w:r>
          </w:p>
        </w:tc>
        <w:tc>
          <w:tcPr>
            <w:tcW w:w="1044" w:type="dxa"/>
            <w:vAlign w:val="top"/>
            <w:tcBorders>
              <w:bottom w:val="single" w:color="000000" w:sz="2" w:space="0"/>
              <w:top w:val="single" w:color="000000" w:sz="2" w:space="0"/>
            </w:tcBorders>
          </w:tcPr>
          <w:p>
            <w:pPr>
              <w:ind w:left="605"/>
              <w:spacing w:before="27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18.12</w:t>
            </w:r>
          </w:p>
        </w:tc>
      </w:tr>
      <w:tr>
        <w:trPr>
          <w:trHeight w:val="378" w:hRule="atLeast"/>
        </w:trPr>
        <w:tc>
          <w:tcPr>
            <w:tcW w:w="3644" w:type="dxa"/>
            <w:vAlign w:val="top"/>
            <w:tcBorders>
              <w:bottom w:val="single" w:color="000000" w:sz="2" w:space="0"/>
              <w:top w:val="single" w:color="000000" w:sz="2" w:space="0"/>
            </w:tcBorders>
          </w:tcPr>
          <w:p>
            <w:pPr>
              <w:pStyle w:val="TableText"/>
              <w:ind w:left="99"/>
              <w:spacing w:before="111" w:line="220" w:lineRule="auto"/>
              <w:rPr>
                <w:sz w:val="18"/>
                <w:szCs w:val="18"/>
              </w:rPr>
            </w:pPr>
            <w:r>
              <w:rPr>
                <w:sz w:val="18"/>
                <w:szCs w:val="18"/>
                <w:spacing w:val="-3"/>
              </w:rPr>
              <w:t>以摊余成本计量的金融投资</w:t>
            </w:r>
          </w:p>
        </w:tc>
        <w:tc>
          <w:tcPr>
            <w:shd w:val="clear" w:fill="DBE5F1"/>
            <w:tcW w:w="1502" w:type="dxa"/>
            <w:vAlign w:val="top"/>
            <w:tcBorders>
              <w:bottom w:val="single" w:color="000000" w:sz="2" w:space="0"/>
              <w:top w:val="single" w:color="000000" w:sz="2" w:space="0"/>
            </w:tcBorders>
          </w:tcPr>
          <w:p>
            <w:pPr>
              <w:ind w:left="731"/>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2,450,775</w:t>
            </w:r>
          </w:p>
        </w:tc>
        <w:tc>
          <w:tcPr>
            <w:shd w:val="clear" w:fill="DBE5F1"/>
            <w:tcW w:w="1508" w:type="dxa"/>
            <w:vAlign w:val="top"/>
            <w:tcBorders>
              <w:bottom w:val="single" w:color="000000" w:sz="2" w:space="0"/>
              <w:top w:val="single" w:color="000000" w:sz="2" w:space="0"/>
            </w:tcBorders>
          </w:tcPr>
          <w:p>
            <w:pPr>
              <w:ind w:left="1051"/>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61.97</w:t>
            </w:r>
          </w:p>
        </w:tc>
        <w:tc>
          <w:tcPr>
            <w:tcW w:w="1956" w:type="dxa"/>
            <w:vAlign w:val="top"/>
            <w:tcBorders>
              <w:bottom w:val="single" w:color="000000" w:sz="2" w:space="0"/>
              <w:top w:val="single" w:color="000000" w:sz="2" w:space="0"/>
            </w:tcBorders>
          </w:tcPr>
          <w:p>
            <w:pPr>
              <w:ind w:left="731"/>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2,203,037</w:t>
            </w:r>
          </w:p>
        </w:tc>
        <w:tc>
          <w:tcPr>
            <w:tcW w:w="1044" w:type="dxa"/>
            <w:vAlign w:val="top"/>
            <w:tcBorders>
              <w:bottom w:val="single" w:color="000000" w:sz="2" w:space="0"/>
              <w:top w:val="single" w:color="000000" w:sz="2" w:space="0"/>
            </w:tcBorders>
          </w:tcPr>
          <w:p>
            <w:pPr>
              <w:ind w:left="591"/>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62.53</w:t>
            </w:r>
          </w:p>
        </w:tc>
      </w:tr>
      <w:tr>
        <w:trPr>
          <w:trHeight w:val="637" w:hRule="atLeast"/>
        </w:trPr>
        <w:tc>
          <w:tcPr>
            <w:tcW w:w="3644" w:type="dxa"/>
            <w:vAlign w:val="top"/>
            <w:tcBorders>
              <w:bottom w:val="single" w:color="000000" w:sz="2" w:space="0"/>
              <w:top w:val="single" w:color="000000" w:sz="2" w:space="0"/>
            </w:tcBorders>
          </w:tcPr>
          <w:p>
            <w:pPr>
              <w:pStyle w:val="TableText"/>
              <w:ind w:left="93" w:right="151" w:firstLine="5"/>
              <w:spacing w:before="116" w:line="243" w:lineRule="auto"/>
              <w:rPr>
                <w:sz w:val="18"/>
                <w:szCs w:val="18"/>
              </w:rPr>
            </w:pPr>
            <w:r>
              <w:rPr>
                <w:sz w:val="18"/>
                <w:szCs w:val="18"/>
                <w:spacing w:val="-2"/>
              </w:rPr>
              <w:t>以公允价值计量且其变动计入其他综合收益</w:t>
            </w:r>
            <w:r>
              <w:rPr>
                <w:sz w:val="18"/>
                <w:szCs w:val="18"/>
                <w:spacing w:val="9"/>
              </w:rPr>
              <w:t xml:space="preserve"> </w:t>
            </w:r>
            <w:r>
              <w:rPr>
                <w:sz w:val="18"/>
                <w:szCs w:val="18"/>
                <w:spacing w:val="-4"/>
              </w:rPr>
              <w:t>的金融投资</w:t>
            </w:r>
          </w:p>
        </w:tc>
        <w:tc>
          <w:tcPr>
            <w:shd w:val="clear" w:fill="DBE5F1"/>
            <w:tcW w:w="1502" w:type="dxa"/>
            <w:vAlign w:val="top"/>
            <w:tcBorders>
              <w:bottom w:val="single" w:color="000000" w:sz="2" w:space="0"/>
              <w:top w:val="single" w:color="000000" w:sz="2" w:space="0"/>
            </w:tcBorders>
          </w:tcPr>
          <w:p>
            <w:pPr>
              <w:ind w:left="867"/>
              <w:spacing w:before="27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799,075</w:t>
            </w:r>
          </w:p>
        </w:tc>
        <w:tc>
          <w:tcPr>
            <w:shd w:val="clear" w:fill="DBE5F1"/>
            <w:tcW w:w="1508" w:type="dxa"/>
            <w:vAlign w:val="top"/>
            <w:tcBorders>
              <w:bottom w:val="single" w:color="000000" w:sz="2" w:space="0"/>
              <w:top w:val="single" w:color="000000" w:sz="2" w:space="0"/>
            </w:tcBorders>
          </w:tcPr>
          <w:p>
            <w:pPr>
              <w:ind w:left="1049"/>
              <w:spacing w:before="27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20.20</w:t>
            </w:r>
          </w:p>
        </w:tc>
        <w:tc>
          <w:tcPr>
            <w:tcW w:w="1956" w:type="dxa"/>
            <w:vAlign w:val="top"/>
            <w:tcBorders>
              <w:bottom w:val="single" w:color="000000" w:sz="2" w:space="0"/>
              <w:top w:val="single" w:color="000000" w:sz="2" w:space="0"/>
            </w:tcBorders>
          </w:tcPr>
          <w:p>
            <w:pPr>
              <w:ind w:left="869"/>
              <w:spacing w:before="27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681,729</w:t>
            </w:r>
          </w:p>
        </w:tc>
        <w:tc>
          <w:tcPr>
            <w:tcW w:w="1044" w:type="dxa"/>
            <w:vAlign w:val="top"/>
            <w:tcBorders>
              <w:bottom w:val="single" w:color="000000" w:sz="2" w:space="0"/>
              <w:top w:val="single" w:color="000000" w:sz="2" w:space="0"/>
            </w:tcBorders>
          </w:tcPr>
          <w:p>
            <w:pPr>
              <w:ind w:left="605"/>
              <w:spacing w:before="27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19.35</w:t>
            </w:r>
          </w:p>
        </w:tc>
      </w:tr>
      <w:tr>
        <w:trPr>
          <w:trHeight w:val="383" w:hRule="atLeast"/>
        </w:trPr>
        <w:tc>
          <w:tcPr>
            <w:tcW w:w="3644" w:type="dxa"/>
            <w:vAlign w:val="top"/>
            <w:tcBorders>
              <w:bottom w:val="single" w:color="000000" w:sz="2" w:space="0"/>
              <w:top w:val="single" w:color="000000" w:sz="2" w:space="0"/>
            </w:tcBorders>
          </w:tcPr>
          <w:p>
            <w:pPr>
              <w:pStyle w:val="TableText"/>
              <w:ind w:left="79"/>
              <w:spacing w:before="113" w:line="222" w:lineRule="auto"/>
              <w:rPr>
                <w:sz w:val="18"/>
                <w:szCs w:val="18"/>
              </w:rPr>
            </w:pPr>
            <w:r>
              <w:rPr>
                <w:sz w:val="18"/>
                <w:szCs w:val="18"/>
                <w:b/>
                <w:bCs/>
                <w:spacing w:val="-4"/>
              </w:rPr>
              <w:t>合计</w:t>
            </w:r>
          </w:p>
        </w:tc>
        <w:tc>
          <w:tcPr>
            <w:shd w:val="clear" w:fill="DBE5F1"/>
            <w:tcW w:w="1502" w:type="dxa"/>
            <w:vAlign w:val="top"/>
            <w:tcBorders>
              <w:bottom w:val="single" w:color="000000" w:sz="2" w:space="0"/>
              <w:top w:val="single" w:color="000000" w:sz="2" w:space="0"/>
            </w:tcBorders>
          </w:tcPr>
          <w:p>
            <w:pPr>
              <w:ind w:left="730"/>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3,955,207</w:t>
            </w:r>
          </w:p>
        </w:tc>
        <w:tc>
          <w:tcPr>
            <w:shd w:val="clear" w:fill="DBE5F1"/>
            <w:tcW w:w="1508" w:type="dxa"/>
            <w:vAlign w:val="top"/>
            <w:tcBorders>
              <w:bottom w:val="single" w:color="000000" w:sz="2" w:space="0"/>
              <w:top w:val="single" w:color="000000" w:sz="2" w:space="0"/>
            </w:tcBorders>
          </w:tcPr>
          <w:p>
            <w:pPr>
              <w:ind w:left="968"/>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100.00</w:t>
            </w:r>
          </w:p>
        </w:tc>
        <w:tc>
          <w:tcPr>
            <w:tcW w:w="1956" w:type="dxa"/>
            <w:vAlign w:val="top"/>
            <w:tcBorders>
              <w:bottom w:val="single" w:color="000000" w:sz="2" w:space="0"/>
              <w:top w:val="single" w:color="000000" w:sz="2" w:space="0"/>
            </w:tcBorders>
          </w:tcPr>
          <w:p>
            <w:pPr>
              <w:ind w:left="734"/>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3,523,249</w:t>
            </w:r>
          </w:p>
        </w:tc>
        <w:tc>
          <w:tcPr>
            <w:tcW w:w="1044" w:type="dxa"/>
            <w:vAlign w:val="top"/>
            <w:tcBorders>
              <w:bottom w:val="single" w:color="000000" w:sz="2" w:space="0"/>
              <w:top w:val="single" w:color="000000" w:sz="2" w:space="0"/>
            </w:tcBorders>
          </w:tcPr>
          <w:p>
            <w:pPr>
              <w:ind w:left="516"/>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100.00</w:t>
            </w:r>
          </w:p>
        </w:tc>
      </w:tr>
    </w:tbl>
    <w:p>
      <w:pPr>
        <w:ind w:left="23" w:firstLine="417"/>
        <w:spacing w:before="265" w:line="300" w:lineRule="auto"/>
        <w:rPr>
          <w:rFonts w:ascii="SimSun" w:hAnsi="SimSun" w:eastAsia="SimSun" w:cs="SimSun"/>
          <w:sz w:val="21"/>
          <w:szCs w:val="21"/>
        </w:rPr>
      </w:pPr>
      <w:r>
        <w:rPr>
          <w:rFonts w:ascii="SimSun" w:hAnsi="SimSun" w:eastAsia="SimSun" w:cs="SimSun"/>
          <w:sz w:val="21"/>
          <w:szCs w:val="21"/>
        </w:rPr>
        <w:t>报告期末,</w:t>
      </w:r>
      <w:r>
        <w:rPr>
          <w:rFonts w:ascii="SimSun" w:hAnsi="SimSun" w:eastAsia="SimSun" w:cs="SimSun"/>
          <w:sz w:val="21"/>
          <w:szCs w:val="21"/>
          <w:spacing w:val="30"/>
        </w:rPr>
        <w:t xml:space="preserve"> </w:t>
      </w:r>
      <w:r>
        <w:rPr>
          <w:rFonts w:ascii="SimSun" w:hAnsi="SimSun" w:eastAsia="SimSun" w:cs="SimSun"/>
          <w:sz w:val="21"/>
          <w:szCs w:val="21"/>
        </w:rPr>
        <w:t>本集团债券投资余额</w:t>
      </w:r>
      <w:r>
        <w:rPr>
          <w:rFonts w:ascii="SimSun" w:hAnsi="SimSun" w:eastAsia="SimSun" w:cs="SimSun"/>
          <w:sz w:val="21"/>
          <w:szCs w:val="21"/>
          <w:spacing w:val="-31"/>
        </w:rPr>
        <w:t xml:space="preserve"> </w:t>
      </w:r>
      <w:r>
        <w:rPr>
          <w:rFonts w:ascii="Times New Roman" w:hAnsi="Times New Roman" w:eastAsia="Times New Roman" w:cs="Times New Roman"/>
          <w:sz w:val="21"/>
          <w:szCs w:val="21"/>
        </w:rPr>
        <w:t>34,166.32</w:t>
      </w:r>
      <w:r>
        <w:rPr>
          <w:rFonts w:ascii="Times New Roman" w:hAnsi="Times New Roman" w:eastAsia="Times New Roman" w:cs="Times New Roman"/>
          <w:sz w:val="21"/>
          <w:szCs w:val="21"/>
          <w:spacing w:val="21"/>
        </w:rPr>
        <w:t xml:space="preserve"> </w:t>
      </w:r>
      <w:r>
        <w:rPr>
          <w:rFonts w:ascii="SimSun" w:hAnsi="SimSun" w:eastAsia="SimSun" w:cs="SimSun"/>
          <w:sz w:val="21"/>
          <w:szCs w:val="21"/>
        </w:rPr>
        <w:t>亿元</w:t>
      </w:r>
      <w:r>
        <w:rPr>
          <w:rFonts w:ascii="Times New Roman" w:hAnsi="Times New Roman" w:eastAsia="Times New Roman" w:cs="Times New Roman"/>
          <w:sz w:val="21"/>
          <w:szCs w:val="21"/>
        </w:rPr>
        <w:t>,  </w:t>
      </w:r>
      <w:r>
        <w:rPr>
          <w:rFonts w:ascii="SimSun" w:hAnsi="SimSun" w:eastAsia="SimSun" w:cs="SimSun"/>
          <w:sz w:val="21"/>
          <w:szCs w:val="21"/>
        </w:rPr>
        <w:t>较上年末增加</w:t>
      </w:r>
      <w:r>
        <w:rPr>
          <w:rFonts w:ascii="SimSun" w:hAnsi="SimSun" w:eastAsia="SimSun" w:cs="SimSun"/>
          <w:sz w:val="21"/>
          <w:szCs w:val="21"/>
          <w:spacing w:val="-31"/>
        </w:rPr>
        <w:t xml:space="preserve"> </w:t>
      </w:r>
      <w:r>
        <w:rPr>
          <w:rFonts w:ascii="Times New Roman" w:hAnsi="Times New Roman" w:eastAsia="Times New Roman" w:cs="Times New Roman"/>
          <w:sz w:val="21"/>
          <w:szCs w:val="21"/>
        </w:rPr>
        <w:t>3,9</w:t>
      </w:r>
      <w:r>
        <w:rPr>
          <w:rFonts w:ascii="Times New Roman" w:hAnsi="Times New Roman" w:eastAsia="Times New Roman" w:cs="Times New Roman"/>
          <w:sz w:val="21"/>
          <w:szCs w:val="21"/>
          <w:spacing w:val="-1"/>
        </w:rPr>
        <w:t>53.60</w:t>
      </w:r>
      <w:r>
        <w:rPr>
          <w:rFonts w:ascii="Times New Roman" w:hAnsi="Times New Roman" w:eastAsia="Times New Roman" w:cs="Times New Roman"/>
          <w:sz w:val="21"/>
          <w:szCs w:val="21"/>
          <w:spacing w:val="21"/>
        </w:rPr>
        <w:t xml:space="preserve"> </w:t>
      </w:r>
      <w:r>
        <w:rPr>
          <w:rFonts w:ascii="SimSun" w:hAnsi="SimSun" w:eastAsia="SimSun" w:cs="SimSun"/>
          <w:sz w:val="21"/>
          <w:szCs w:val="21"/>
          <w:spacing w:val="-1"/>
        </w:rPr>
        <w:t>亿元,增幅 </w:t>
      </w:r>
      <w:r>
        <w:rPr>
          <w:rFonts w:ascii="Times New Roman" w:hAnsi="Times New Roman" w:eastAsia="Times New Roman" w:cs="Times New Roman"/>
          <w:sz w:val="21"/>
          <w:szCs w:val="21"/>
          <w:spacing w:val="-1"/>
        </w:rPr>
        <w:t>13.09%</w:t>
      </w:r>
      <w:r>
        <w:rPr>
          <w:rFonts w:ascii="SimSun" w:hAnsi="SimSun" w:eastAsia="SimSun" w:cs="SimSun"/>
          <w:sz w:val="21"/>
          <w:szCs w:val="21"/>
          <w:spacing w:val="-1"/>
        </w:rPr>
        <w:t>。未来,</w:t>
      </w:r>
      <w:r>
        <w:rPr>
          <w:rFonts w:ascii="SimSun" w:hAnsi="SimSun" w:eastAsia="SimSun" w:cs="SimSun"/>
          <w:sz w:val="21"/>
          <w:szCs w:val="21"/>
        </w:rPr>
        <w:t xml:space="preserve">  </w:t>
      </w:r>
      <w:r>
        <w:rPr>
          <w:rFonts w:ascii="SimSun" w:hAnsi="SimSun" w:eastAsia="SimSun" w:cs="SimSun"/>
          <w:sz w:val="21"/>
          <w:szCs w:val="21"/>
        </w:rPr>
        <w:t>本行将强化对经济金融形势的研判, 着力做好证</w:t>
      </w:r>
      <w:r>
        <w:rPr>
          <w:rFonts w:ascii="SimSun" w:hAnsi="SimSun" w:eastAsia="SimSun" w:cs="SimSun"/>
          <w:sz w:val="21"/>
          <w:szCs w:val="21"/>
          <w:spacing w:val="-1"/>
        </w:rPr>
        <w:t>券投资增量配置和存量优化。一是维持以利率债投资为主</w:t>
      </w:r>
      <w:r>
        <w:rPr>
          <w:rFonts w:ascii="SimSun" w:hAnsi="SimSun" w:eastAsia="SimSun" w:cs="SimSun"/>
          <w:sz w:val="21"/>
          <w:szCs w:val="21"/>
        </w:rPr>
        <w:t xml:space="preserve"> </w:t>
      </w:r>
      <w:r>
        <w:rPr>
          <w:rFonts w:ascii="SimSun" w:hAnsi="SimSun" w:eastAsia="SimSun" w:cs="SimSun"/>
          <w:sz w:val="21"/>
          <w:szCs w:val="21"/>
        </w:rPr>
        <w:t>的总体策略, 做好国债、地方债等投资安排。二</w:t>
      </w:r>
      <w:r>
        <w:rPr>
          <w:rFonts w:ascii="SimSun" w:hAnsi="SimSun" w:eastAsia="SimSun" w:cs="SimSun"/>
          <w:sz w:val="21"/>
          <w:szCs w:val="21"/>
          <w:spacing w:val="-1"/>
        </w:rPr>
        <w:t>是服务新发展格局, 积极对接科技创新、绿色发展、基础</w:t>
      </w:r>
      <w:r>
        <w:rPr>
          <w:rFonts w:ascii="SimSun" w:hAnsi="SimSun" w:eastAsia="SimSun" w:cs="SimSun"/>
          <w:sz w:val="21"/>
          <w:szCs w:val="21"/>
        </w:rPr>
        <w:t xml:space="preserve"> </w:t>
      </w:r>
      <w:r>
        <w:rPr>
          <w:rFonts w:ascii="SimSun" w:hAnsi="SimSun" w:eastAsia="SimSun" w:cs="SimSun"/>
          <w:sz w:val="21"/>
          <w:szCs w:val="21"/>
        </w:rPr>
        <w:t>设施建设等领域发债主体的融资需求, 做好信用</w:t>
      </w:r>
      <w:r>
        <w:rPr>
          <w:rFonts w:ascii="SimSun" w:hAnsi="SimSun" w:eastAsia="SimSun" w:cs="SimSun"/>
          <w:sz w:val="21"/>
          <w:szCs w:val="21"/>
          <w:spacing w:val="-1"/>
        </w:rPr>
        <w:t>债项目储备和投资安排。三是做大债券交易流量, 加快国</w:t>
      </w:r>
      <w:r>
        <w:rPr>
          <w:rFonts w:ascii="SimSun" w:hAnsi="SimSun" w:eastAsia="SimSun" w:cs="SimSun"/>
          <w:sz w:val="21"/>
          <w:szCs w:val="21"/>
        </w:rPr>
        <w:t xml:space="preserve"> </w:t>
      </w:r>
      <w:r>
        <w:rPr>
          <w:rFonts w:ascii="SimSun" w:hAnsi="SimSun" w:eastAsia="SimSun" w:cs="SimSun"/>
          <w:sz w:val="21"/>
          <w:szCs w:val="21"/>
        </w:rPr>
        <w:t>债和政策性银行金融债周转速度。四是抓住美债收</w:t>
      </w:r>
      <w:r>
        <w:rPr>
          <w:rFonts w:ascii="SimSun" w:hAnsi="SimSun" w:eastAsia="SimSun" w:cs="SimSun"/>
          <w:sz w:val="21"/>
          <w:szCs w:val="21"/>
          <w:spacing w:val="-1"/>
        </w:rPr>
        <w:t>益率较高的市场时机, 在做好流动性管理的基础上, 提</w:t>
      </w:r>
      <w:r>
        <w:rPr>
          <w:rFonts w:ascii="SimSun" w:hAnsi="SimSun" w:eastAsia="SimSun" w:cs="SimSun"/>
          <w:sz w:val="21"/>
          <w:szCs w:val="21"/>
        </w:rPr>
        <w:t xml:space="preserve"> </w:t>
      </w:r>
      <w:r>
        <w:rPr>
          <w:rFonts w:ascii="SimSun" w:hAnsi="SimSun" w:eastAsia="SimSun" w:cs="SimSun"/>
          <w:sz w:val="21"/>
          <w:szCs w:val="21"/>
          <w:spacing w:val="-1"/>
        </w:rPr>
        <w:t>升外币债券价值贡献。</w:t>
      </w:r>
    </w:p>
    <w:p>
      <w:pPr>
        <w:pStyle w:val="BodyText"/>
        <w:spacing w:line="242" w:lineRule="auto"/>
        <w:rPr/>
      </w:pPr>
      <w:r/>
    </w:p>
    <w:p>
      <w:pPr>
        <w:ind w:left="552"/>
        <w:spacing w:before="68" w:line="221" w:lineRule="auto"/>
        <w:rPr>
          <w:rFonts w:ascii="SimSun" w:hAnsi="SimSun" w:eastAsia="SimSun" w:cs="SimSun"/>
          <w:sz w:val="21"/>
          <w:szCs w:val="21"/>
        </w:rPr>
      </w:pPr>
      <w:r>
        <w:rPr>
          <w:rFonts w:ascii="SimSun" w:hAnsi="SimSun" w:eastAsia="SimSun" w:cs="SimSun"/>
          <w:sz w:val="21"/>
          <w:szCs w:val="21"/>
          <w:b/>
          <w:bCs/>
          <w:spacing w:val="-3"/>
        </w:rPr>
        <w:t>按发行主体划分的债券投资结构</w:t>
      </w:r>
    </w:p>
    <w:p>
      <w:pPr>
        <w:pStyle w:val="BodyText"/>
        <w:spacing w:line="247" w:lineRule="auto"/>
        <w:rPr/>
      </w:pPr>
      <w:r/>
    </w:p>
    <w:p>
      <w:pPr>
        <w:ind w:right="4"/>
        <w:spacing w:before="59" w:line="250" w:lineRule="exact"/>
        <w:jc w:val="right"/>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position w:val="2"/>
        </w:rPr>
        <w:t>(</w:t>
      </w:r>
      <w:r>
        <w:rPr>
          <w:rFonts w:ascii="SimSun" w:hAnsi="SimSun" w:eastAsia="SimSun" w:cs="SimSun"/>
          <w:sz w:val="18"/>
          <w:szCs w:val="18"/>
          <w:spacing w:val="5"/>
          <w:position w:val="2"/>
        </w:rPr>
        <w:t>除另有标明外,人民币百万元</w:t>
      </w:r>
      <w:r>
        <w:rPr>
          <w:rFonts w:ascii="Times New Roman" w:hAnsi="Times New Roman" w:eastAsia="Times New Roman" w:cs="Times New Roman"/>
          <w:sz w:val="18"/>
          <w:szCs w:val="18"/>
          <w:spacing w:val="5"/>
          <w:position w:val="2"/>
        </w:rPr>
        <w:t>)</w:t>
      </w:r>
    </w:p>
    <w:p>
      <w:pPr>
        <w:spacing w:line="31" w:lineRule="auto"/>
        <w:rPr>
          <w:rFonts w:ascii="Arial"/>
          <w:sz w:val="2"/>
        </w:rPr>
      </w:pPr>
      <w:r>
        <w:rPr>
          <w:rFonts w:ascii="Arial"/>
          <w:sz w:val="2"/>
        </w:rPr>
      </w:r>
    </w:p>
    <w:tbl>
      <w:tblPr>
        <w:tblStyle w:val="TableNormal"/>
        <w:tblW w:w="9654"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766"/>
        <w:gridCol w:w="1721"/>
        <w:gridCol w:w="1723"/>
        <w:gridCol w:w="2615"/>
        <w:gridCol w:w="829"/>
      </w:tblGrid>
      <w:tr>
        <w:trPr>
          <w:trHeight w:val="383" w:hRule="atLeast"/>
        </w:trPr>
        <w:tc>
          <w:tcPr>
            <w:tcW w:w="2766" w:type="dxa"/>
            <w:vAlign w:val="top"/>
            <w:vMerge w:val="restart"/>
            <w:tcBorders>
              <w:bottom w:val="nil"/>
              <w:top w:val="single" w:color="000000" w:sz="2" w:space="0"/>
            </w:tcBorders>
          </w:tcPr>
          <w:p>
            <w:pPr>
              <w:rPr>
                <w:rFonts w:ascii="Arial"/>
                <w:sz w:val="21"/>
              </w:rPr>
            </w:pPr>
            <w:r/>
          </w:p>
        </w:tc>
        <w:tc>
          <w:tcPr>
            <w:shd w:val="clear" w:fill="DBE5F1"/>
            <w:tcW w:w="3444" w:type="dxa"/>
            <w:vAlign w:val="top"/>
            <w:gridSpan w:val="2"/>
            <w:tcBorders>
              <w:bottom w:val="single" w:color="000000" w:sz="2" w:space="0"/>
              <w:top w:val="single" w:color="000000" w:sz="2" w:space="0"/>
            </w:tcBorders>
          </w:tcPr>
          <w:p>
            <w:pPr>
              <w:pStyle w:val="TableText"/>
              <w:ind w:left="980"/>
              <w:spacing w:before="114" w:line="220" w:lineRule="auto"/>
              <w:rPr>
                <w:sz w:val="18"/>
                <w:szCs w:val="18"/>
              </w:rPr>
            </w:pPr>
            <w:r>
              <w:rPr>
                <w:rFonts w:ascii="Times New Roman" w:hAnsi="Times New Roman" w:eastAsia="Times New Roman" w:cs="Times New Roman"/>
                <w:sz w:val="18"/>
                <w:szCs w:val="18"/>
                <w:b/>
                <w:bCs/>
                <w:spacing w:val="-3"/>
              </w:rPr>
              <w:t>2022 </w:t>
            </w:r>
            <w:r>
              <w:rPr>
                <w:sz w:val="18"/>
                <w:szCs w:val="18"/>
                <w:b/>
                <w:bCs/>
                <w:spacing w:val="-3"/>
              </w:rPr>
              <w:t>年</w:t>
            </w:r>
            <w:r>
              <w:rPr>
                <w:sz w:val="18"/>
                <w:szCs w:val="18"/>
                <w:spacing w:val="-33"/>
              </w:rPr>
              <w:t xml:space="preserve"> </w:t>
            </w:r>
            <w:r>
              <w:rPr>
                <w:rFonts w:ascii="Times New Roman" w:hAnsi="Times New Roman" w:eastAsia="Times New Roman" w:cs="Times New Roman"/>
                <w:sz w:val="18"/>
                <w:szCs w:val="18"/>
                <w:b/>
                <w:bCs/>
                <w:spacing w:val="-3"/>
              </w:rPr>
              <w:t>12</w:t>
            </w:r>
            <w:r>
              <w:rPr>
                <w:rFonts w:ascii="Times New Roman" w:hAnsi="Times New Roman" w:eastAsia="Times New Roman" w:cs="Times New Roman"/>
                <w:sz w:val="18"/>
                <w:szCs w:val="18"/>
                <w:b/>
                <w:bCs/>
                <w:spacing w:val="11"/>
                <w:w w:val="101"/>
              </w:rPr>
              <w:t xml:space="preserve"> </w:t>
            </w:r>
            <w:r>
              <w:rPr>
                <w:sz w:val="18"/>
                <w:szCs w:val="18"/>
                <w:b/>
                <w:bCs/>
                <w:spacing w:val="-3"/>
              </w:rPr>
              <w:t>月</w:t>
            </w:r>
            <w:r>
              <w:rPr>
                <w:sz w:val="18"/>
                <w:szCs w:val="18"/>
                <w:spacing w:val="-42"/>
              </w:rPr>
              <w:t xml:space="preserve"> </w:t>
            </w:r>
            <w:r>
              <w:rPr>
                <w:rFonts w:ascii="Times New Roman" w:hAnsi="Times New Roman" w:eastAsia="Times New Roman" w:cs="Times New Roman"/>
                <w:sz w:val="18"/>
                <w:szCs w:val="18"/>
                <w:b/>
                <w:bCs/>
                <w:spacing w:val="-3"/>
              </w:rPr>
              <w:t>31  </w:t>
            </w:r>
            <w:r>
              <w:rPr>
                <w:sz w:val="18"/>
                <w:szCs w:val="18"/>
                <w:b/>
                <w:bCs/>
                <w:spacing w:val="-3"/>
              </w:rPr>
              <w:t>日</w:t>
            </w:r>
          </w:p>
        </w:tc>
        <w:tc>
          <w:tcPr>
            <w:tcW w:w="2615" w:type="dxa"/>
            <w:vAlign w:val="top"/>
            <w:tcBorders>
              <w:bottom w:val="single" w:color="000000" w:sz="2" w:space="0"/>
              <w:top w:val="single" w:color="000000" w:sz="2" w:space="0"/>
            </w:tcBorders>
          </w:tcPr>
          <w:p>
            <w:pPr>
              <w:pStyle w:val="TableText"/>
              <w:ind w:left="983"/>
              <w:spacing w:before="114" w:line="220" w:lineRule="auto"/>
              <w:rPr>
                <w:sz w:val="18"/>
                <w:szCs w:val="18"/>
              </w:rPr>
            </w:pPr>
            <w:r>
              <w:rPr>
                <w:rFonts w:ascii="Times New Roman" w:hAnsi="Times New Roman" w:eastAsia="Times New Roman" w:cs="Times New Roman"/>
                <w:sz w:val="18"/>
                <w:szCs w:val="18"/>
                <w:spacing w:val="-5"/>
              </w:rPr>
              <w:t>2021</w:t>
            </w:r>
            <w:r>
              <w:rPr>
                <w:rFonts w:ascii="Times New Roman" w:hAnsi="Times New Roman" w:eastAsia="Times New Roman" w:cs="Times New Roman"/>
                <w:sz w:val="18"/>
                <w:szCs w:val="18"/>
                <w:spacing w:val="11"/>
              </w:rPr>
              <w:t xml:space="preserve"> </w:t>
            </w:r>
            <w:r>
              <w:rPr>
                <w:sz w:val="18"/>
                <w:szCs w:val="18"/>
                <w:spacing w:val="-5"/>
              </w:rPr>
              <w:t>年</w:t>
            </w:r>
            <w:r>
              <w:rPr>
                <w:sz w:val="18"/>
                <w:szCs w:val="18"/>
                <w:spacing w:val="-26"/>
              </w:rPr>
              <w:t xml:space="preserve"> </w:t>
            </w:r>
            <w:r>
              <w:rPr>
                <w:rFonts w:ascii="Times New Roman" w:hAnsi="Times New Roman" w:eastAsia="Times New Roman" w:cs="Times New Roman"/>
                <w:sz w:val="18"/>
                <w:szCs w:val="18"/>
                <w:spacing w:val="-5"/>
              </w:rPr>
              <w:t>12</w:t>
            </w:r>
            <w:r>
              <w:rPr>
                <w:rFonts w:ascii="Times New Roman" w:hAnsi="Times New Roman" w:eastAsia="Times New Roman" w:cs="Times New Roman"/>
                <w:sz w:val="18"/>
                <w:szCs w:val="18"/>
                <w:spacing w:val="14"/>
              </w:rPr>
              <w:t xml:space="preserve"> </w:t>
            </w:r>
            <w:r>
              <w:rPr>
                <w:sz w:val="18"/>
                <w:szCs w:val="18"/>
                <w:spacing w:val="-5"/>
              </w:rPr>
              <w:t>月</w:t>
            </w:r>
            <w:r>
              <w:rPr>
                <w:sz w:val="18"/>
                <w:szCs w:val="18"/>
                <w:spacing w:val="-37"/>
              </w:rPr>
              <w:t xml:space="preserve"> </w:t>
            </w:r>
            <w:r>
              <w:rPr>
                <w:rFonts w:ascii="Times New Roman" w:hAnsi="Times New Roman" w:eastAsia="Times New Roman" w:cs="Times New Roman"/>
                <w:sz w:val="18"/>
                <w:szCs w:val="18"/>
                <w:spacing w:val="-5"/>
              </w:rPr>
              <w:t>31</w:t>
            </w:r>
            <w:r>
              <w:rPr>
                <w:rFonts w:ascii="Times New Roman" w:hAnsi="Times New Roman" w:eastAsia="Times New Roman" w:cs="Times New Roman"/>
                <w:sz w:val="18"/>
                <w:szCs w:val="18"/>
                <w:spacing w:val="39"/>
                <w:w w:val="101"/>
              </w:rPr>
              <w:t xml:space="preserve"> </w:t>
            </w:r>
            <w:r>
              <w:rPr>
                <w:sz w:val="18"/>
                <w:szCs w:val="18"/>
                <w:spacing w:val="-5"/>
              </w:rPr>
              <w:t>日</w:t>
            </w:r>
          </w:p>
        </w:tc>
        <w:tc>
          <w:tcPr>
            <w:tcW w:w="829" w:type="dxa"/>
            <w:vAlign w:val="top"/>
            <w:tcBorders>
              <w:bottom w:val="single" w:color="000000" w:sz="2" w:space="0"/>
              <w:top w:val="single" w:color="000000" w:sz="2" w:space="0"/>
            </w:tcBorders>
          </w:tcPr>
          <w:p>
            <w:pPr>
              <w:rPr>
                <w:rFonts w:ascii="Arial"/>
                <w:sz w:val="21"/>
              </w:rPr>
            </w:pPr>
            <w:r/>
          </w:p>
        </w:tc>
      </w:tr>
      <w:tr>
        <w:trPr>
          <w:trHeight w:val="379" w:hRule="atLeast"/>
        </w:trPr>
        <w:tc>
          <w:tcPr>
            <w:tcW w:w="2766" w:type="dxa"/>
            <w:vAlign w:val="top"/>
            <w:vMerge w:val="continue"/>
            <w:tcBorders>
              <w:bottom w:val="single" w:color="000000" w:sz="2" w:space="0"/>
              <w:top w:val="nil"/>
            </w:tcBorders>
          </w:tcPr>
          <w:p>
            <w:pPr>
              <w:rPr>
                <w:rFonts w:ascii="Arial"/>
                <w:sz w:val="21"/>
              </w:rPr>
            </w:pPr>
            <w:r/>
          </w:p>
        </w:tc>
        <w:tc>
          <w:tcPr>
            <w:shd w:val="clear" w:fill="DBE5F1"/>
            <w:tcW w:w="3444" w:type="dxa"/>
            <w:vAlign w:val="top"/>
            <w:gridSpan w:val="2"/>
            <w:tcBorders>
              <w:bottom w:val="single" w:color="000000" w:sz="2" w:space="0"/>
              <w:top w:val="single" w:color="000000" w:sz="2" w:space="0"/>
            </w:tcBorders>
          </w:tcPr>
          <w:p>
            <w:pPr>
              <w:pStyle w:val="TableText"/>
              <w:ind w:left="1310"/>
              <w:spacing w:before="110" w:line="212" w:lineRule="auto"/>
              <w:rPr>
                <w:rFonts w:ascii="Times New Roman" w:hAnsi="Times New Roman" w:eastAsia="Times New Roman" w:cs="Times New Roman"/>
                <w:sz w:val="18"/>
                <w:szCs w:val="18"/>
              </w:rPr>
            </w:pPr>
            <w:r>
              <w:rPr>
                <w:sz w:val="18"/>
                <w:szCs w:val="18"/>
                <w:b/>
                <w:bCs/>
                <w:spacing w:val="-7"/>
              </w:rPr>
              <w:t>余额</w:t>
            </w:r>
            <w:r>
              <w:rPr>
                <w:sz w:val="18"/>
                <w:szCs w:val="18"/>
                <w:spacing w:val="1"/>
              </w:rPr>
              <w:t xml:space="preserve">            </w:t>
            </w:r>
            <w:r>
              <w:rPr>
                <w:sz w:val="18"/>
                <w:szCs w:val="18"/>
                <w:b/>
                <w:bCs/>
                <w:spacing w:val="-7"/>
              </w:rPr>
              <w:t>占比</w:t>
            </w:r>
            <w:r>
              <w:rPr>
                <w:rFonts w:ascii="Times New Roman" w:hAnsi="Times New Roman" w:eastAsia="Times New Roman" w:cs="Times New Roman"/>
                <w:sz w:val="18"/>
                <w:szCs w:val="18"/>
                <w:b/>
                <w:bCs/>
                <w:spacing w:val="-7"/>
              </w:rPr>
              <w:t>(%)</w:t>
            </w:r>
          </w:p>
        </w:tc>
        <w:tc>
          <w:tcPr>
            <w:tcW w:w="2615" w:type="dxa"/>
            <w:vAlign w:val="top"/>
            <w:tcBorders>
              <w:bottom w:val="single" w:color="000000" w:sz="2" w:space="0"/>
              <w:top w:val="single" w:color="000000" w:sz="2" w:space="0"/>
            </w:tcBorders>
          </w:tcPr>
          <w:p>
            <w:pPr>
              <w:pStyle w:val="TableText"/>
              <w:ind w:left="1313"/>
              <w:spacing w:before="110" w:line="220" w:lineRule="auto"/>
              <w:rPr>
                <w:sz w:val="18"/>
                <w:szCs w:val="18"/>
              </w:rPr>
            </w:pPr>
            <w:r>
              <w:rPr>
                <w:sz w:val="18"/>
                <w:szCs w:val="18"/>
                <w:spacing w:val="-2"/>
              </w:rPr>
              <w:t>余额</w:t>
            </w:r>
          </w:p>
        </w:tc>
        <w:tc>
          <w:tcPr>
            <w:tcW w:w="829" w:type="dxa"/>
            <w:vAlign w:val="top"/>
            <w:tcBorders>
              <w:bottom w:val="single" w:color="000000" w:sz="2" w:space="0"/>
              <w:top w:val="single" w:color="000000" w:sz="2" w:space="0"/>
            </w:tcBorders>
          </w:tcPr>
          <w:p>
            <w:pPr>
              <w:pStyle w:val="TableText"/>
              <w:ind w:left="179"/>
              <w:spacing w:before="83" w:line="251" w:lineRule="exact"/>
              <w:rPr>
                <w:rFonts w:ascii="Times New Roman" w:hAnsi="Times New Roman" w:eastAsia="Times New Roman" w:cs="Times New Roman"/>
                <w:sz w:val="18"/>
                <w:szCs w:val="18"/>
              </w:rPr>
            </w:pPr>
            <w:r>
              <w:rPr>
                <w:sz w:val="18"/>
                <w:szCs w:val="18"/>
                <w:spacing w:val="-8"/>
                <w:position w:val="2"/>
              </w:rPr>
              <w:t>占比</w:t>
            </w:r>
            <w:r>
              <w:rPr>
                <w:rFonts w:ascii="Times New Roman" w:hAnsi="Times New Roman" w:eastAsia="Times New Roman" w:cs="Times New Roman"/>
                <w:sz w:val="18"/>
                <w:szCs w:val="18"/>
                <w:spacing w:val="-8"/>
                <w:position w:val="2"/>
              </w:rPr>
              <w:t>(%)</w:t>
            </w:r>
          </w:p>
        </w:tc>
      </w:tr>
      <w:tr>
        <w:trPr>
          <w:trHeight w:val="378" w:hRule="atLeast"/>
        </w:trPr>
        <w:tc>
          <w:tcPr>
            <w:tcW w:w="2766" w:type="dxa"/>
            <w:vAlign w:val="top"/>
            <w:tcBorders>
              <w:bottom w:val="single" w:color="000000" w:sz="2" w:space="0"/>
              <w:top w:val="single" w:color="000000" w:sz="2" w:space="0"/>
            </w:tcBorders>
          </w:tcPr>
          <w:p>
            <w:pPr>
              <w:pStyle w:val="TableText"/>
              <w:ind w:left="78"/>
              <w:spacing w:before="109" w:line="220" w:lineRule="auto"/>
              <w:rPr>
                <w:sz w:val="18"/>
                <w:szCs w:val="18"/>
              </w:rPr>
            </w:pPr>
            <w:r>
              <w:rPr>
                <w:sz w:val="18"/>
                <w:szCs w:val="18"/>
                <w:spacing w:val="-1"/>
              </w:rPr>
              <w:t>政府及中央银行</w:t>
            </w:r>
          </w:p>
        </w:tc>
        <w:tc>
          <w:tcPr>
            <w:shd w:val="clear" w:fill="DBE5F1"/>
            <w:tcW w:w="1721" w:type="dxa"/>
            <w:vAlign w:val="top"/>
            <w:tcBorders>
              <w:bottom w:val="single" w:color="000000" w:sz="2" w:space="0"/>
              <w:top w:val="single" w:color="000000" w:sz="2" w:space="0"/>
            </w:tcBorders>
          </w:tcPr>
          <w:p>
            <w:pPr>
              <w:ind w:left="949"/>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2,626,005</w:t>
            </w:r>
          </w:p>
        </w:tc>
        <w:tc>
          <w:tcPr>
            <w:shd w:val="clear" w:fill="DBE5F1"/>
            <w:tcW w:w="1723" w:type="dxa"/>
            <w:vAlign w:val="top"/>
            <w:tcBorders>
              <w:bottom w:val="single" w:color="000000" w:sz="2" w:space="0"/>
              <w:top w:val="single" w:color="000000" w:sz="2" w:space="0"/>
            </w:tcBorders>
          </w:tcPr>
          <w:p>
            <w:pPr>
              <w:ind w:left="1266"/>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76.86</w:t>
            </w:r>
          </w:p>
        </w:tc>
        <w:tc>
          <w:tcPr>
            <w:tcW w:w="2615" w:type="dxa"/>
            <w:vAlign w:val="top"/>
            <w:tcBorders>
              <w:bottom w:val="single" w:color="000000" w:sz="2" w:space="0"/>
              <w:top w:val="single" w:color="000000" w:sz="2" w:space="0"/>
            </w:tcBorders>
          </w:tcPr>
          <w:p>
            <w:pPr>
              <w:ind w:left="949"/>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2,325,896</w:t>
            </w:r>
          </w:p>
        </w:tc>
        <w:tc>
          <w:tcPr>
            <w:tcW w:w="829" w:type="dxa"/>
            <w:vAlign w:val="top"/>
            <w:tcBorders>
              <w:bottom w:val="single" w:color="000000" w:sz="2" w:space="0"/>
              <w:top w:val="single" w:color="000000" w:sz="2" w:space="0"/>
            </w:tcBorders>
          </w:tcPr>
          <w:p>
            <w:pPr>
              <w:ind w:left="373"/>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76.98</w:t>
            </w:r>
          </w:p>
        </w:tc>
      </w:tr>
      <w:tr>
        <w:trPr>
          <w:trHeight w:val="378" w:hRule="atLeast"/>
        </w:trPr>
        <w:tc>
          <w:tcPr>
            <w:tcW w:w="2766" w:type="dxa"/>
            <w:vAlign w:val="top"/>
            <w:tcBorders>
              <w:bottom w:val="single" w:color="000000" w:sz="2" w:space="0"/>
              <w:top w:val="single" w:color="000000" w:sz="2" w:space="0"/>
            </w:tcBorders>
          </w:tcPr>
          <w:p>
            <w:pPr>
              <w:pStyle w:val="TableText"/>
              <w:ind w:left="84"/>
              <w:spacing w:before="111" w:line="220" w:lineRule="auto"/>
              <w:rPr>
                <w:sz w:val="18"/>
                <w:szCs w:val="18"/>
              </w:rPr>
            </w:pPr>
            <w:r>
              <w:rPr>
                <w:sz w:val="18"/>
                <w:szCs w:val="18"/>
                <w:spacing w:val="-3"/>
              </w:rPr>
              <w:t>公共实体</w:t>
            </w:r>
          </w:p>
        </w:tc>
        <w:tc>
          <w:tcPr>
            <w:shd w:val="clear" w:fill="DBE5F1"/>
            <w:tcW w:w="1721" w:type="dxa"/>
            <w:vAlign w:val="top"/>
            <w:tcBorders>
              <w:bottom w:val="single" w:color="000000" w:sz="2" w:space="0"/>
              <w:top w:val="single" w:color="000000" w:sz="2" w:space="0"/>
            </w:tcBorders>
          </w:tcPr>
          <w:p>
            <w:pPr>
              <w:ind w:left="1173"/>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37,930</w:t>
            </w:r>
          </w:p>
        </w:tc>
        <w:tc>
          <w:tcPr>
            <w:shd w:val="clear" w:fill="DBE5F1"/>
            <w:tcW w:w="1723" w:type="dxa"/>
            <w:vAlign w:val="top"/>
            <w:tcBorders>
              <w:bottom w:val="single" w:color="000000" w:sz="2" w:space="0"/>
              <w:top w:val="single" w:color="000000" w:sz="2" w:space="0"/>
            </w:tcBorders>
          </w:tcPr>
          <w:p>
            <w:pPr>
              <w:ind w:left="1370"/>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1.11</w:t>
            </w:r>
          </w:p>
        </w:tc>
        <w:tc>
          <w:tcPr>
            <w:tcW w:w="2615" w:type="dxa"/>
            <w:vAlign w:val="top"/>
            <w:tcBorders>
              <w:bottom w:val="single" w:color="000000" w:sz="2" w:space="0"/>
              <w:top w:val="single" w:color="000000" w:sz="2" w:space="0"/>
            </w:tcBorders>
          </w:tcPr>
          <w:p>
            <w:pPr>
              <w:ind w:left="1175"/>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27,073</w:t>
            </w:r>
          </w:p>
        </w:tc>
        <w:tc>
          <w:tcPr>
            <w:tcW w:w="829" w:type="dxa"/>
            <w:vAlign w:val="top"/>
            <w:tcBorders>
              <w:bottom w:val="single" w:color="000000" w:sz="2" w:space="0"/>
              <w:top w:val="single" w:color="000000" w:sz="2" w:space="0"/>
            </w:tcBorders>
          </w:tcPr>
          <w:p>
            <w:pPr>
              <w:ind w:left="464"/>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0.90</w:t>
            </w:r>
          </w:p>
        </w:tc>
      </w:tr>
      <w:tr>
        <w:trPr>
          <w:trHeight w:val="378" w:hRule="atLeast"/>
        </w:trPr>
        <w:tc>
          <w:tcPr>
            <w:tcW w:w="2766" w:type="dxa"/>
            <w:vAlign w:val="top"/>
            <w:tcBorders>
              <w:bottom w:val="single" w:color="000000" w:sz="2" w:space="0"/>
              <w:top w:val="single" w:color="000000" w:sz="2" w:space="0"/>
            </w:tcBorders>
          </w:tcPr>
          <w:p>
            <w:pPr>
              <w:pStyle w:val="TableText"/>
              <w:ind w:left="96"/>
              <w:spacing w:before="111" w:line="220" w:lineRule="auto"/>
              <w:rPr>
                <w:sz w:val="18"/>
                <w:szCs w:val="18"/>
              </w:rPr>
            </w:pPr>
            <w:r>
              <w:rPr>
                <w:sz w:val="18"/>
                <w:szCs w:val="18"/>
                <w:spacing w:val="-3"/>
              </w:rPr>
              <w:t>同业和其他金融机构</w:t>
            </w:r>
          </w:p>
        </w:tc>
        <w:tc>
          <w:tcPr>
            <w:shd w:val="clear" w:fill="DBE5F1"/>
            <w:tcW w:w="1721" w:type="dxa"/>
            <w:vAlign w:val="top"/>
            <w:tcBorders>
              <w:bottom w:val="single" w:color="000000" w:sz="2" w:space="0"/>
              <w:top w:val="single" w:color="000000" w:sz="2" w:space="0"/>
            </w:tcBorders>
          </w:tcPr>
          <w:p>
            <w:pPr>
              <w:ind w:left="1085"/>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539,009</w:t>
            </w:r>
          </w:p>
        </w:tc>
        <w:tc>
          <w:tcPr>
            <w:shd w:val="clear" w:fill="DBE5F1"/>
            <w:tcW w:w="1723" w:type="dxa"/>
            <w:vAlign w:val="top"/>
            <w:tcBorders>
              <w:bottom w:val="single" w:color="000000" w:sz="2" w:space="0"/>
              <w:top w:val="single" w:color="000000" w:sz="2" w:space="0"/>
            </w:tcBorders>
          </w:tcPr>
          <w:p>
            <w:pPr>
              <w:ind w:left="1271"/>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15.78</w:t>
            </w:r>
          </w:p>
        </w:tc>
        <w:tc>
          <w:tcPr>
            <w:tcW w:w="2615" w:type="dxa"/>
            <w:vAlign w:val="top"/>
            <w:tcBorders>
              <w:bottom w:val="single" w:color="000000" w:sz="2" w:space="0"/>
              <w:top w:val="single" w:color="000000" w:sz="2" w:space="0"/>
            </w:tcBorders>
          </w:tcPr>
          <w:p>
            <w:pPr>
              <w:ind w:left="1083"/>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472,688</w:t>
            </w:r>
          </w:p>
        </w:tc>
        <w:tc>
          <w:tcPr>
            <w:tcW w:w="829" w:type="dxa"/>
            <w:vAlign w:val="top"/>
            <w:tcBorders>
              <w:bottom w:val="single" w:color="000000" w:sz="2" w:space="0"/>
              <w:top w:val="single" w:color="000000" w:sz="2" w:space="0"/>
            </w:tcBorders>
          </w:tcPr>
          <w:p>
            <w:pPr>
              <w:ind w:left="387"/>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15.65</w:t>
            </w:r>
          </w:p>
        </w:tc>
      </w:tr>
      <w:tr>
        <w:trPr>
          <w:trHeight w:val="378" w:hRule="atLeast"/>
        </w:trPr>
        <w:tc>
          <w:tcPr>
            <w:tcW w:w="2766" w:type="dxa"/>
            <w:vAlign w:val="top"/>
            <w:tcBorders>
              <w:bottom w:val="single" w:color="000000" w:sz="2" w:space="0"/>
              <w:top w:val="single" w:color="000000" w:sz="2" w:space="0"/>
            </w:tcBorders>
          </w:tcPr>
          <w:p>
            <w:pPr>
              <w:pStyle w:val="TableText"/>
              <w:ind w:left="79"/>
              <w:spacing w:before="113" w:line="221" w:lineRule="auto"/>
              <w:rPr>
                <w:sz w:val="18"/>
                <w:szCs w:val="18"/>
              </w:rPr>
            </w:pPr>
            <w:r>
              <w:rPr>
                <w:sz w:val="18"/>
                <w:szCs w:val="18"/>
                <w:spacing w:val="-2"/>
              </w:rPr>
              <w:t>法人实体</w:t>
            </w:r>
          </w:p>
        </w:tc>
        <w:tc>
          <w:tcPr>
            <w:shd w:val="clear" w:fill="DBE5F1"/>
            <w:tcW w:w="1721" w:type="dxa"/>
            <w:vAlign w:val="top"/>
            <w:tcBorders>
              <w:bottom w:val="single" w:color="000000" w:sz="2" w:space="0"/>
              <w:top w:val="single" w:color="000000" w:sz="2" w:space="0"/>
            </w:tcBorders>
          </w:tcPr>
          <w:p>
            <w:pPr>
              <w:ind w:left="1084"/>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213,688</w:t>
            </w:r>
          </w:p>
        </w:tc>
        <w:tc>
          <w:tcPr>
            <w:shd w:val="clear" w:fill="DBE5F1"/>
            <w:tcW w:w="1723" w:type="dxa"/>
            <w:vAlign w:val="top"/>
            <w:tcBorders>
              <w:bottom w:val="single" w:color="000000" w:sz="2" w:space="0"/>
              <w:top w:val="single" w:color="000000" w:sz="2" w:space="0"/>
            </w:tcBorders>
          </w:tcPr>
          <w:p>
            <w:pPr>
              <w:ind w:left="1355"/>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6.25</w:t>
            </w:r>
          </w:p>
        </w:tc>
        <w:tc>
          <w:tcPr>
            <w:tcW w:w="2615" w:type="dxa"/>
            <w:vAlign w:val="top"/>
            <w:tcBorders>
              <w:bottom w:val="single" w:color="000000" w:sz="2" w:space="0"/>
              <w:top w:val="single" w:color="000000" w:sz="2" w:space="0"/>
            </w:tcBorders>
          </w:tcPr>
          <w:p>
            <w:pPr>
              <w:ind w:left="1101"/>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195,615</w:t>
            </w:r>
          </w:p>
        </w:tc>
        <w:tc>
          <w:tcPr>
            <w:tcW w:w="829" w:type="dxa"/>
            <w:vAlign w:val="top"/>
            <w:tcBorders>
              <w:bottom w:val="single" w:color="000000" w:sz="2" w:space="0"/>
              <w:top w:val="single" w:color="000000" w:sz="2" w:space="0"/>
            </w:tcBorders>
          </w:tcPr>
          <w:p>
            <w:pPr>
              <w:ind w:left="465"/>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6.47</w:t>
            </w:r>
          </w:p>
        </w:tc>
      </w:tr>
      <w:tr>
        <w:trPr>
          <w:trHeight w:val="383" w:hRule="atLeast"/>
        </w:trPr>
        <w:tc>
          <w:tcPr>
            <w:tcW w:w="2766" w:type="dxa"/>
            <w:vAlign w:val="top"/>
            <w:tcBorders>
              <w:bottom w:val="single" w:color="000000" w:sz="2" w:space="0"/>
              <w:top w:val="single" w:color="000000" w:sz="2" w:space="0"/>
            </w:tcBorders>
          </w:tcPr>
          <w:p>
            <w:pPr>
              <w:pStyle w:val="TableText"/>
              <w:ind w:left="79"/>
              <w:spacing w:before="114" w:line="222" w:lineRule="auto"/>
              <w:rPr>
                <w:sz w:val="18"/>
                <w:szCs w:val="18"/>
              </w:rPr>
            </w:pPr>
            <w:r>
              <w:rPr>
                <w:sz w:val="18"/>
                <w:szCs w:val="18"/>
                <w:b/>
                <w:bCs/>
                <w:spacing w:val="-4"/>
              </w:rPr>
              <w:t>合计</w:t>
            </w:r>
          </w:p>
        </w:tc>
        <w:tc>
          <w:tcPr>
            <w:shd w:val="clear" w:fill="DBE5F1"/>
            <w:tcW w:w="1721" w:type="dxa"/>
            <w:vAlign w:val="top"/>
            <w:tcBorders>
              <w:bottom w:val="single" w:color="000000" w:sz="2" w:space="0"/>
              <w:top w:val="single" w:color="000000" w:sz="2" w:space="0"/>
            </w:tcBorders>
          </w:tcPr>
          <w:p>
            <w:pPr>
              <w:ind w:left="948"/>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3,416,632</w:t>
            </w:r>
          </w:p>
        </w:tc>
        <w:tc>
          <w:tcPr>
            <w:shd w:val="clear" w:fill="DBE5F1"/>
            <w:tcW w:w="1723" w:type="dxa"/>
            <w:vAlign w:val="top"/>
            <w:tcBorders>
              <w:bottom w:val="single" w:color="000000" w:sz="2" w:space="0"/>
              <w:top w:val="single" w:color="000000" w:sz="2" w:space="0"/>
            </w:tcBorders>
          </w:tcPr>
          <w:p>
            <w:pPr>
              <w:ind w:left="1183"/>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100.00</w:t>
            </w:r>
          </w:p>
        </w:tc>
        <w:tc>
          <w:tcPr>
            <w:tcW w:w="2615" w:type="dxa"/>
            <w:vAlign w:val="top"/>
            <w:tcBorders>
              <w:bottom w:val="single" w:color="000000" w:sz="2" w:space="0"/>
              <w:top w:val="single" w:color="000000" w:sz="2" w:space="0"/>
            </w:tcBorders>
          </w:tcPr>
          <w:p>
            <w:pPr>
              <w:ind w:left="953"/>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3,021,272</w:t>
            </w:r>
          </w:p>
        </w:tc>
        <w:tc>
          <w:tcPr>
            <w:tcW w:w="829" w:type="dxa"/>
            <w:vAlign w:val="top"/>
            <w:tcBorders>
              <w:bottom w:val="single" w:color="000000" w:sz="2" w:space="0"/>
              <w:top w:val="single" w:color="000000" w:sz="2" w:space="0"/>
            </w:tcBorders>
          </w:tcPr>
          <w:p>
            <w:pPr>
              <w:ind w:left="298"/>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100.00</w:t>
            </w:r>
          </w:p>
        </w:tc>
      </w:tr>
    </w:tbl>
    <w:p>
      <w:pPr>
        <w:ind w:left="24" w:right="187" w:firstLine="417"/>
        <w:spacing w:before="264" w:line="266" w:lineRule="auto"/>
        <w:rPr>
          <w:rFonts w:ascii="SimSun" w:hAnsi="SimSun" w:eastAsia="SimSun" w:cs="SimSun"/>
          <w:sz w:val="21"/>
          <w:szCs w:val="21"/>
        </w:rPr>
      </w:pPr>
      <w:r>
        <w:rPr>
          <w:rFonts w:ascii="SimSun" w:hAnsi="SimSun" w:eastAsia="SimSun" w:cs="SimSun"/>
          <w:sz w:val="21"/>
          <w:szCs w:val="21"/>
          <w:spacing w:val="1"/>
        </w:rPr>
        <w:t>报告期末,</w:t>
      </w:r>
      <w:r>
        <w:rPr>
          <w:rFonts w:ascii="SimSun" w:hAnsi="SimSun" w:eastAsia="SimSun" w:cs="SimSun"/>
          <w:sz w:val="21"/>
          <w:szCs w:val="21"/>
          <w:spacing w:val="30"/>
        </w:rPr>
        <w:t xml:space="preserve"> </w:t>
      </w:r>
      <w:r>
        <w:rPr>
          <w:rFonts w:ascii="SimSun" w:hAnsi="SimSun" w:eastAsia="SimSun" w:cs="SimSun"/>
          <w:sz w:val="21"/>
          <w:szCs w:val="21"/>
          <w:spacing w:val="1"/>
        </w:rPr>
        <w:t>本集团持有金融债券</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1"/>
        </w:rPr>
        <w:t>5,390.09 </w:t>
      </w:r>
      <w:r>
        <w:rPr>
          <w:rFonts w:ascii="SimSun" w:hAnsi="SimSun" w:eastAsia="SimSun" w:cs="SimSun"/>
          <w:sz w:val="21"/>
          <w:szCs w:val="21"/>
          <w:spacing w:val="1"/>
        </w:rPr>
        <w:t>亿元,包括政策性银行债券</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1"/>
        </w:rPr>
        <w:t>1,158.</w:t>
      </w:r>
      <w:r>
        <w:rPr>
          <w:rFonts w:ascii="Times New Roman" w:hAnsi="Times New Roman" w:eastAsia="Times New Roman" w:cs="Times New Roman"/>
          <w:sz w:val="21"/>
          <w:szCs w:val="21"/>
        </w:rPr>
        <w:t>03 </w:t>
      </w:r>
      <w:r>
        <w:rPr>
          <w:rFonts w:ascii="SimSun" w:hAnsi="SimSun" w:eastAsia="SimSun" w:cs="SimSun"/>
          <w:sz w:val="21"/>
          <w:szCs w:val="21"/>
        </w:rPr>
        <w:t>亿元和同业及非银行 </w:t>
      </w:r>
      <w:r>
        <w:rPr>
          <w:rFonts w:ascii="SimSun" w:hAnsi="SimSun" w:eastAsia="SimSun" w:cs="SimSun"/>
          <w:sz w:val="21"/>
          <w:szCs w:val="21"/>
          <w:spacing w:val="2"/>
        </w:rPr>
        <w:t>金融机构债券</w:t>
      </w:r>
      <w:r>
        <w:rPr>
          <w:rFonts w:ascii="SimSun" w:hAnsi="SimSun" w:eastAsia="SimSun" w:cs="SimSun"/>
          <w:sz w:val="21"/>
          <w:szCs w:val="21"/>
          <w:spacing w:val="-37"/>
        </w:rPr>
        <w:t xml:space="preserve"> </w:t>
      </w:r>
      <w:r>
        <w:rPr>
          <w:rFonts w:ascii="Times New Roman" w:hAnsi="Times New Roman" w:eastAsia="Times New Roman" w:cs="Times New Roman"/>
          <w:sz w:val="21"/>
          <w:szCs w:val="21"/>
          <w:spacing w:val="2"/>
        </w:rPr>
        <w:t>4,232.06 </w:t>
      </w:r>
      <w:r>
        <w:rPr>
          <w:rFonts w:ascii="SimSun" w:hAnsi="SimSun" w:eastAsia="SimSun" w:cs="SimSun"/>
          <w:sz w:val="21"/>
          <w:szCs w:val="21"/>
          <w:spacing w:val="2"/>
        </w:rPr>
        <w:t>亿元,占比分别为</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2"/>
        </w:rPr>
        <w:t>21.48%</w:t>
      </w:r>
      <w:r>
        <w:rPr>
          <w:rFonts w:ascii="SimSun" w:hAnsi="SimSun" w:eastAsia="SimSun" w:cs="SimSun"/>
          <w:sz w:val="21"/>
          <w:szCs w:val="21"/>
          <w:spacing w:val="2"/>
        </w:rPr>
        <w:t>和</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2"/>
        </w:rPr>
        <w:t>78.52%</w:t>
      </w:r>
      <w:r>
        <w:rPr>
          <w:rFonts w:ascii="SimSun" w:hAnsi="SimSun" w:eastAsia="SimSun" w:cs="SimSun"/>
          <w:sz w:val="21"/>
          <w:szCs w:val="21"/>
          <w:spacing w:val="2"/>
        </w:rPr>
        <w:t>。</w:t>
      </w:r>
    </w:p>
    <w:p>
      <w:pPr>
        <w:pStyle w:val="BodyText"/>
        <w:spacing w:line="247" w:lineRule="auto"/>
        <w:rPr/>
      </w:pPr>
      <w:r/>
    </w:p>
    <w:p>
      <w:pPr>
        <w:ind w:left="446"/>
        <w:spacing w:before="69" w:line="221" w:lineRule="auto"/>
        <w:rPr>
          <w:rFonts w:ascii="SimSun" w:hAnsi="SimSun" w:eastAsia="SimSun" w:cs="SimSun"/>
          <w:sz w:val="21"/>
          <w:szCs w:val="21"/>
        </w:rPr>
      </w:pPr>
      <w:r>
        <w:rPr>
          <w:rFonts w:ascii="SimSun" w:hAnsi="SimSun" w:eastAsia="SimSun" w:cs="SimSun"/>
          <w:sz w:val="21"/>
          <w:szCs w:val="21"/>
          <w:b/>
          <w:bCs/>
          <w:spacing w:val="-2"/>
        </w:rPr>
        <w:t>本集团持有的最大十只金融债券</w:t>
      </w:r>
    </w:p>
    <w:p>
      <w:pPr>
        <w:pStyle w:val="BodyText"/>
        <w:spacing w:line="277" w:lineRule="auto"/>
        <w:rPr/>
      </w:pPr>
      <w:r/>
    </w:p>
    <w:p>
      <w:pPr>
        <w:ind w:left="7056"/>
        <w:spacing w:before="59" w:line="217" w:lineRule="auto"/>
        <w:rPr>
          <w:rFonts w:ascii="SimSun" w:hAnsi="SimSun" w:eastAsia="SimSun" w:cs="SimSun"/>
          <w:sz w:val="18"/>
          <w:szCs w:val="18"/>
        </w:rPr>
      </w:pPr>
      <w:r>
        <w:rPr>
          <w:rFonts w:ascii="SimSun" w:hAnsi="SimSun" w:eastAsia="SimSun" w:cs="SimSun"/>
          <w:sz w:val="18"/>
          <w:szCs w:val="18"/>
          <w:spacing w:val="6"/>
        </w:rPr>
        <w:t>(除另有标明外,人民币百万元)</w:t>
      </w:r>
    </w:p>
    <w:p>
      <w:pPr>
        <w:spacing w:line="14" w:lineRule="exact"/>
        <w:rPr/>
      </w:pPr>
      <w:r/>
    </w:p>
    <w:tbl>
      <w:tblPr>
        <w:tblStyle w:val="TableNormal"/>
        <w:tblW w:w="9654"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4107"/>
        <w:gridCol w:w="1075"/>
        <w:gridCol w:w="1400"/>
        <w:gridCol w:w="1649"/>
        <w:gridCol w:w="1423"/>
      </w:tblGrid>
      <w:tr>
        <w:trPr>
          <w:trHeight w:val="383" w:hRule="atLeast"/>
        </w:trPr>
        <w:tc>
          <w:tcPr>
            <w:shd w:val="clear" w:fill="DBE5F1"/>
            <w:tcW w:w="4107" w:type="dxa"/>
            <w:vAlign w:val="top"/>
            <w:tcBorders>
              <w:bottom w:val="single" w:color="000000" w:sz="2" w:space="0"/>
              <w:top w:val="single" w:color="000000" w:sz="2" w:space="0"/>
            </w:tcBorders>
          </w:tcPr>
          <w:p>
            <w:pPr>
              <w:pStyle w:val="TableText"/>
              <w:ind w:left="79"/>
              <w:spacing w:before="114" w:line="220" w:lineRule="auto"/>
              <w:rPr>
                <w:sz w:val="18"/>
                <w:szCs w:val="18"/>
              </w:rPr>
            </w:pPr>
            <w:r>
              <w:rPr>
                <w:sz w:val="18"/>
                <w:szCs w:val="18"/>
                <w:b/>
                <w:bCs/>
                <w:spacing w:val="-4"/>
              </w:rPr>
              <w:t>债券名称</w:t>
            </w:r>
          </w:p>
        </w:tc>
        <w:tc>
          <w:tcPr>
            <w:shd w:val="clear" w:fill="DBE5F1"/>
            <w:tcW w:w="1075" w:type="dxa"/>
            <w:vAlign w:val="top"/>
            <w:tcBorders>
              <w:bottom w:val="single" w:color="000000" w:sz="2" w:space="0"/>
              <w:top w:val="single" w:color="000000" w:sz="2" w:space="0"/>
            </w:tcBorders>
          </w:tcPr>
          <w:p>
            <w:pPr>
              <w:pStyle w:val="TableText"/>
              <w:ind w:left="665"/>
              <w:spacing w:before="114" w:line="220" w:lineRule="auto"/>
              <w:rPr>
                <w:sz w:val="18"/>
                <w:szCs w:val="18"/>
              </w:rPr>
            </w:pPr>
            <w:r>
              <w:rPr>
                <w:sz w:val="18"/>
                <w:szCs w:val="18"/>
                <w:b/>
                <w:bCs/>
                <w:spacing w:val="-4"/>
              </w:rPr>
              <w:t>面值</w:t>
            </w:r>
          </w:p>
        </w:tc>
        <w:tc>
          <w:tcPr>
            <w:shd w:val="clear" w:fill="DBE5F1"/>
            <w:tcW w:w="1400" w:type="dxa"/>
            <w:vAlign w:val="top"/>
            <w:tcBorders>
              <w:bottom w:val="single" w:color="000000" w:sz="2" w:space="0"/>
              <w:top w:val="single" w:color="000000" w:sz="2" w:space="0"/>
            </w:tcBorders>
          </w:tcPr>
          <w:p>
            <w:pPr>
              <w:pStyle w:val="TableText"/>
              <w:ind w:left="507"/>
              <w:spacing w:before="113" w:line="212" w:lineRule="auto"/>
              <w:rPr>
                <w:rFonts w:ascii="Times New Roman" w:hAnsi="Times New Roman" w:eastAsia="Times New Roman" w:cs="Times New Roman"/>
                <w:sz w:val="18"/>
                <w:szCs w:val="18"/>
              </w:rPr>
            </w:pPr>
            <w:r>
              <w:rPr>
                <w:sz w:val="18"/>
                <w:szCs w:val="18"/>
                <w:b/>
                <w:bCs/>
                <w:spacing w:val="-2"/>
              </w:rPr>
              <w:t>年利率</w:t>
            </w:r>
            <w:r>
              <w:rPr>
                <w:rFonts w:ascii="Times New Roman" w:hAnsi="Times New Roman" w:eastAsia="Times New Roman" w:cs="Times New Roman"/>
                <w:sz w:val="18"/>
                <w:szCs w:val="18"/>
                <w:b/>
                <w:bCs/>
                <w:spacing w:val="-2"/>
              </w:rPr>
              <w:t>(%)</w:t>
            </w:r>
          </w:p>
        </w:tc>
        <w:tc>
          <w:tcPr>
            <w:shd w:val="clear" w:fill="DBE5F1"/>
            <w:tcW w:w="1649" w:type="dxa"/>
            <w:vAlign w:val="top"/>
            <w:tcBorders>
              <w:bottom w:val="single" w:color="000000" w:sz="2" w:space="0"/>
              <w:top w:val="single" w:color="000000" w:sz="2" w:space="0"/>
            </w:tcBorders>
          </w:tcPr>
          <w:p>
            <w:pPr>
              <w:pStyle w:val="TableText"/>
              <w:ind w:left="1060"/>
              <w:spacing w:before="113" w:line="221" w:lineRule="auto"/>
              <w:rPr>
                <w:sz w:val="18"/>
                <w:szCs w:val="18"/>
              </w:rPr>
            </w:pPr>
            <w:r>
              <w:rPr>
                <w:sz w:val="18"/>
                <w:szCs w:val="18"/>
                <w:b/>
                <w:bCs/>
                <w:spacing w:val="-6"/>
              </w:rPr>
              <w:t>到期日</w:t>
            </w:r>
          </w:p>
        </w:tc>
        <w:tc>
          <w:tcPr>
            <w:shd w:val="clear" w:fill="DBE5F1"/>
            <w:tcW w:w="1423" w:type="dxa"/>
            <w:vAlign w:val="top"/>
            <w:tcBorders>
              <w:bottom w:val="single" w:color="000000" w:sz="2" w:space="0"/>
              <w:top w:val="single" w:color="000000" w:sz="2" w:space="0"/>
            </w:tcBorders>
          </w:tcPr>
          <w:p>
            <w:pPr>
              <w:pStyle w:val="TableText"/>
              <w:ind w:left="653"/>
              <w:spacing w:before="114" w:line="220" w:lineRule="auto"/>
              <w:rPr>
                <w:sz w:val="18"/>
                <w:szCs w:val="18"/>
              </w:rPr>
            </w:pPr>
            <w:r>
              <w:rPr>
                <w:sz w:val="18"/>
                <w:szCs w:val="18"/>
                <w:b/>
                <w:bCs/>
                <w:spacing w:val="-4"/>
              </w:rPr>
              <w:t>计提减值</w:t>
            </w:r>
          </w:p>
        </w:tc>
      </w:tr>
      <w:tr>
        <w:trPr>
          <w:trHeight w:val="379" w:hRule="atLeast"/>
        </w:trPr>
        <w:tc>
          <w:tcPr>
            <w:tcW w:w="4107" w:type="dxa"/>
            <w:vAlign w:val="top"/>
            <w:tcBorders>
              <w:bottom w:val="single" w:color="000000" w:sz="2" w:space="0"/>
              <w:top w:val="single" w:color="000000" w:sz="2" w:space="0"/>
            </w:tcBorders>
          </w:tcPr>
          <w:p>
            <w:pPr>
              <w:pStyle w:val="TableText"/>
              <w:ind w:left="75"/>
              <w:spacing w:before="110" w:line="220" w:lineRule="auto"/>
              <w:rPr>
                <w:sz w:val="18"/>
                <w:szCs w:val="18"/>
              </w:rPr>
            </w:pPr>
            <w:r>
              <w:rPr>
                <w:rFonts w:ascii="Times New Roman" w:hAnsi="Times New Roman" w:eastAsia="Times New Roman" w:cs="Times New Roman"/>
                <w:sz w:val="18"/>
                <w:szCs w:val="18"/>
              </w:rPr>
              <w:t>2018 </w:t>
            </w:r>
            <w:r>
              <w:rPr>
                <w:sz w:val="18"/>
                <w:szCs w:val="18"/>
              </w:rPr>
              <w:t>年政策性银行债券</w:t>
            </w:r>
          </w:p>
        </w:tc>
        <w:tc>
          <w:tcPr>
            <w:tcW w:w="1075" w:type="dxa"/>
            <w:vAlign w:val="top"/>
            <w:tcBorders>
              <w:bottom w:val="single" w:color="000000" w:sz="2" w:space="0"/>
              <w:top w:val="single" w:color="000000" w:sz="2" w:space="0"/>
            </w:tcBorders>
          </w:tcPr>
          <w:p>
            <w:pPr>
              <w:ind w:left="622"/>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6,903</w:t>
            </w:r>
          </w:p>
        </w:tc>
        <w:tc>
          <w:tcPr>
            <w:tcW w:w="1400" w:type="dxa"/>
            <w:vAlign w:val="top"/>
            <w:tcBorders>
              <w:bottom w:val="single" w:color="000000" w:sz="2" w:space="0"/>
              <w:top w:val="single" w:color="000000" w:sz="2" w:space="0"/>
            </w:tcBorders>
          </w:tcPr>
          <w:p>
            <w:pPr>
              <w:ind w:left="1028"/>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4.99</w:t>
            </w:r>
          </w:p>
        </w:tc>
        <w:tc>
          <w:tcPr>
            <w:tcW w:w="1649" w:type="dxa"/>
            <w:vAlign w:val="top"/>
            <w:tcBorders>
              <w:bottom w:val="single" w:color="000000" w:sz="2" w:space="0"/>
              <w:top w:val="single" w:color="000000" w:sz="2" w:space="0"/>
            </w:tcBorders>
          </w:tcPr>
          <w:p>
            <w:pPr>
              <w:ind w:left="774"/>
              <w:spacing w:before="139"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24/01/2023</w:t>
            </w:r>
          </w:p>
        </w:tc>
        <w:tc>
          <w:tcPr>
            <w:tcW w:w="1423" w:type="dxa"/>
            <w:vAlign w:val="top"/>
            <w:tcBorders>
              <w:bottom w:val="single" w:color="000000" w:sz="2" w:space="0"/>
              <w:top w:val="single" w:color="000000" w:sz="2" w:space="0"/>
            </w:tcBorders>
          </w:tcPr>
          <w:p>
            <w:pPr>
              <w:ind w:left="1075"/>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1.58</w:t>
            </w:r>
          </w:p>
        </w:tc>
      </w:tr>
      <w:tr>
        <w:trPr>
          <w:trHeight w:val="378" w:hRule="atLeast"/>
        </w:trPr>
        <w:tc>
          <w:tcPr>
            <w:tcW w:w="4107" w:type="dxa"/>
            <w:vAlign w:val="top"/>
            <w:tcBorders>
              <w:bottom w:val="single" w:color="000000" w:sz="2" w:space="0"/>
              <w:top w:val="single" w:color="000000" w:sz="2" w:space="0"/>
            </w:tcBorders>
          </w:tcPr>
          <w:p>
            <w:pPr>
              <w:pStyle w:val="TableText"/>
              <w:ind w:left="75"/>
              <w:spacing w:before="110" w:line="220" w:lineRule="auto"/>
              <w:rPr>
                <w:sz w:val="18"/>
                <w:szCs w:val="18"/>
              </w:rPr>
            </w:pPr>
            <w:r>
              <w:rPr>
                <w:rFonts w:ascii="Times New Roman" w:hAnsi="Times New Roman" w:eastAsia="Times New Roman" w:cs="Times New Roman"/>
                <w:sz w:val="18"/>
                <w:szCs w:val="18"/>
              </w:rPr>
              <w:t>2017 </w:t>
            </w:r>
            <w:r>
              <w:rPr>
                <w:sz w:val="18"/>
                <w:szCs w:val="18"/>
              </w:rPr>
              <w:t>年政策性银行债券</w:t>
            </w:r>
          </w:p>
        </w:tc>
        <w:tc>
          <w:tcPr>
            <w:tcW w:w="1075" w:type="dxa"/>
            <w:vAlign w:val="top"/>
            <w:tcBorders>
              <w:bottom w:val="single" w:color="000000" w:sz="2" w:space="0"/>
              <w:top w:val="single" w:color="000000" w:sz="2" w:space="0"/>
            </w:tcBorders>
          </w:tcPr>
          <w:p>
            <w:pPr>
              <w:ind w:left="622"/>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6,330</w:t>
            </w:r>
          </w:p>
        </w:tc>
        <w:tc>
          <w:tcPr>
            <w:tcW w:w="1400" w:type="dxa"/>
            <w:vAlign w:val="top"/>
            <w:tcBorders>
              <w:bottom w:val="single" w:color="000000" w:sz="2" w:space="0"/>
              <w:top w:val="single" w:color="000000" w:sz="2" w:space="0"/>
            </w:tcBorders>
          </w:tcPr>
          <w:p>
            <w:pPr>
              <w:ind w:left="1028"/>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4.39</w:t>
            </w:r>
          </w:p>
        </w:tc>
        <w:tc>
          <w:tcPr>
            <w:tcW w:w="1649" w:type="dxa"/>
            <w:vAlign w:val="top"/>
            <w:tcBorders>
              <w:bottom w:val="single" w:color="000000" w:sz="2" w:space="0"/>
              <w:top w:val="single" w:color="000000" w:sz="2" w:space="0"/>
            </w:tcBorders>
          </w:tcPr>
          <w:p>
            <w:pPr>
              <w:ind w:left="777"/>
              <w:spacing w:before="139"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08/09/2027</w:t>
            </w:r>
          </w:p>
        </w:tc>
        <w:tc>
          <w:tcPr>
            <w:tcW w:w="1423" w:type="dxa"/>
            <w:vAlign w:val="top"/>
            <w:tcBorders>
              <w:bottom w:val="single" w:color="000000" w:sz="2" w:space="0"/>
              <w:top w:val="single" w:color="000000" w:sz="2" w:space="0"/>
            </w:tcBorders>
          </w:tcPr>
          <w:p>
            <w:pPr>
              <w:ind w:left="1075"/>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1.37</w:t>
            </w:r>
          </w:p>
        </w:tc>
      </w:tr>
      <w:tr>
        <w:trPr>
          <w:trHeight w:val="378" w:hRule="atLeast"/>
        </w:trPr>
        <w:tc>
          <w:tcPr>
            <w:tcW w:w="4107" w:type="dxa"/>
            <w:vAlign w:val="top"/>
            <w:tcBorders>
              <w:bottom w:val="single" w:color="000000" w:sz="2" w:space="0"/>
              <w:top w:val="single" w:color="000000" w:sz="2" w:space="0"/>
            </w:tcBorders>
          </w:tcPr>
          <w:p>
            <w:pPr>
              <w:pStyle w:val="TableText"/>
              <w:ind w:left="75"/>
              <w:spacing w:before="111" w:line="220" w:lineRule="auto"/>
              <w:rPr>
                <w:sz w:val="18"/>
                <w:szCs w:val="18"/>
              </w:rPr>
            </w:pPr>
            <w:r>
              <w:rPr>
                <w:rFonts w:ascii="Times New Roman" w:hAnsi="Times New Roman" w:eastAsia="Times New Roman" w:cs="Times New Roman"/>
                <w:sz w:val="18"/>
                <w:szCs w:val="18"/>
              </w:rPr>
              <w:t>2018 </w:t>
            </w:r>
            <w:r>
              <w:rPr>
                <w:sz w:val="18"/>
                <w:szCs w:val="18"/>
              </w:rPr>
              <w:t>年政策性银行债券</w:t>
            </w:r>
          </w:p>
        </w:tc>
        <w:tc>
          <w:tcPr>
            <w:tcW w:w="1075" w:type="dxa"/>
            <w:vAlign w:val="top"/>
            <w:tcBorders>
              <w:bottom w:val="single" w:color="000000" w:sz="2" w:space="0"/>
              <w:top w:val="single" w:color="000000" w:sz="2" w:space="0"/>
            </w:tcBorders>
          </w:tcPr>
          <w:p>
            <w:pPr>
              <w:ind w:left="623"/>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5,000</w:t>
            </w:r>
          </w:p>
        </w:tc>
        <w:tc>
          <w:tcPr>
            <w:tcW w:w="1400" w:type="dxa"/>
            <w:vAlign w:val="top"/>
            <w:tcBorders>
              <w:bottom w:val="single" w:color="000000" w:sz="2" w:space="0"/>
              <w:top w:val="single" w:color="000000" w:sz="2" w:space="0"/>
            </w:tcBorders>
          </w:tcPr>
          <w:p>
            <w:pPr>
              <w:ind w:left="1028"/>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4.98</w:t>
            </w:r>
          </w:p>
        </w:tc>
        <w:tc>
          <w:tcPr>
            <w:tcW w:w="1649" w:type="dxa"/>
            <w:vAlign w:val="top"/>
            <w:tcBorders>
              <w:bottom w:val="single" w:color="000000" w:sz="2" w:space="0"/>
              <w:top w:val="single" w:color="000000" w:sz="2" w:space="0"/>
            </w:tcBorders>
          </w:tcPr>
          <w:p>
            <w:pPr>
              <w:ind w:left="791"/>
              <w:spacing w:before="140"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12/01/2025</w:t>
            </w:r>
          </w:p>
        </w:tc>
        <w:tc>
          <w:tcPr>
            <w:tcW w:w="1423" w:type="dxa"/>
            <w:vAlign w:val="top"/>
            <w:tcBorders>
              <w:bottom w:val="single" w:color="000000" w:sz="2" w:space="0"/>
              <w:top w:val="single" w:color="000000" w:sz="2" w:space="0"/>
            </w:tcBorders>
          </w:tcPr>
          <w:p>
            <w:pPr>
              <w:ind w:left="1075"/>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1.15</w:t>
            </w:r>
          </w:p>
        </w:tc>
      </w:tr>
      <w:tr>
        <w:trPr>
          <w:trHeight w:val="378" w:hRule="atLeast"/>
        </w:trPr>
        <w:tc>
          <w:tcPr>
            <w:tcW w:w="4107" w:type="dxa"/>
            <w:vAlign w:val="top"/>
            <w:tcBorders>
              <w:bottom w:val="single" w:color="000000" w:sz="2" w:space="0"/>
              <w:top w:val="single" w:color="000000" w:sz="2" w:space="0"/>
            </w:tcBorders>
          </w:tcPr>
          <w:p>
            <w:pPr>
              <w:pStyle w:val="TableText"/>
              <w:ind w:left="75"/>
              <w:spacing w:before="112" w:line="220" w:lineRule="auto"/>
              <w:rPr>
                <w:sz w:val="18"/>
                <w:szCs w:val="18"/>
              </w:rPr>
            </w:pPr>
            <w:r>
              <w:rPr>
                <w:rFonts w:ascii="Times New Roman" w:hAnsi="Times New Roman" w:eastAsia="Times New Roman" w:cs="Times New Roman"/>
                <w:sz w:val="18"/>
                <w:szCs w:val="18"/>
              </w:rPr>
              <w:t>2018 </w:t>
            </w:r>
            <w:r>
              <w:rPr>
                <w:sz w:val="18"/>
                <w:szCs w:val="18"/>
              </w:rPr>
              <w:t>年政策性银行债券</w:t>
            </w:r>
          </w:p>
        </w:tc>
        <w:tc>
          <w:tcPr>
            <w:tcW w:w="1075" w:type="dxa"/>
            <w:vAlign w:val="top"/>
            <w:tcBorders>
              <w:bottom w:val="single" w:color="000000" w:sz="2" w:space="0"/>
              <w:top w:val="single" w:color="000000" w:sz="2" w:space="0"/>
            </w:tcBorders>
          </w:tcPr>
          <w:p>
            <w:pPr>
              <w:ind w:left="617"/>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4,400</w:t>
            </w:r>
          </w:p>
        </w:tc>
        <w:tc>
          <w:tcPr>
            <w:tcW w:w="1400" w:type="dxa"/>
            <w:vAlign w:val="top"/>
            <w:tcBorders>
              <w:bottom w:val="single" w:color="000000" w:sz="2" w:space="0"/>
              <w:top w:val="single" w:color="000000" w:sz="2" w:space="0"/>
            </w:tcBorders>
          </w:tcPr>
          <w:p>
            <w:pPr>
              <w:ind w:left="1028"/>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4.97</w:t>
            </w:r>
          </w:p>
        </w:tc>
        <w:tc>
          <w:tcPr>
            <w:tcW w:w="1649" w:type="dxa"/>
            <w:vAlign w:val="top"/>
            <w:tcBorders>
              <w:bottom w:val="single" w:color="000000" w:sz="2" w:space="0"/>
              <w:top w:val="single" w:color="000000" w:sz="2" w:space="0"/>
            </w:tcBorders>
          </w:tcPr>
          <w:p>
            <w:pPr>
              <w:ind w:left="774"/>
              <w:spacing w:before="141"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29/01/2023</w:t>
            </w:r>
          </w:p>
        </w:tc>
        <w:tc>
          <w:tcPr>
            <w:tcW w:w="1423" w:type="dxa"/>
            <w:vAlign w:val="top"/>
            <w:tcBorders>
              <w:bottom w:val="single" w:color="000000" w:sz="2" w:space="0"/>
              <w:top w:val="single" w:color="000000" w:sz="2" w:space="0"/>
            </w:tcBorders>
          </w:tcPr>
          <w:p>
            <w:pPr>
              <w:ind w:left="1075"/>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1.01</w:t>
            </w:r>
          </w:p>
        </w:tc>
      </w:tr>
      <w:tr>
        <w:trPr>
          <w:trHeight w:val="379" w:hRule="atLeast"/>
        </w:trPr>
        <w:tc>
          <w:tcPr>
            <w:tcW w:w="4107" w:type="dxa"/>
            <w:vAlign w:val="top"/>
            <w:tcBorders>
              <w:bottom w:val="single" w:color="000000" w:sz="2" w:space="0"/>
              <w:top w:val="single" w:color="000000" w:sz="2" w:space="0"/>
            </w:tcBorders>
          </w:tcPr>
          <w:p>
            <w:pPr>
              <w:pStyle w:val="TableText"/>
              <w:ind w:left="75"/>
              <w:spacing w:before="113" w:line="220" w:lineRule="auto"/>
              <w:rPr>
                <w:sz w:val="18"/>
                <w:szCs w:val="18"/>
              </w:rPr>
            </w:pPr>
            <w:r>
              <w:rPr>
                <w:rFonts w:ascii="Times New Roman" w:hAnsi="Times New Roman" w:eastAsia="Times New Roman" w:cs="Times New Roman"/>
                <w:sz w:val="18"/>
                <w:szCs w:val="18"/>
                <w:spacing w:val="-1"/>
              </w:rPr>
              <w:t>2022 </w:t>
            </w:r>
            <w:r>
              <w:rPr>
                <w:sz w:val="18"/>
                <w:szCs w:val="18"/>
                <w:spacing w:val="-1"/>
              </w:rPr>
              <w:t>年商业银行次级债券</w:t>
            </w:r>
          </w:p>
        </w:tc>
        <w:tc>
          <w:tcPr>
            <w:tcW w:w="1075" w:type="dxa"/>
            <w:vAlign w:val="top"/>
            <w:tcBorders>
              <w:bottom w:val="single" w:color="000000" w:sz="2" w:space="0"/>
              <w:top w:val="single" w:color="000000" w:sz="2" w:space="0"/>
            </w:tcBorders>
          </w:tcPr>
          <w:p>
            <w:pPr>
              <w:ind w:left="622"/>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3,500</w:t>
            </w:r>
          </w:p>
        </w:tc>
        <w:tc>
          <w:tcPr>
            <w:tcW w:w="1400" w:type="dxa"/>
            <w:vAlign w:val="top"/>
            <w:tcBorders>
              <w:bottom w:val="single" w:color="000000" w:sz="2" w:space="0"/>
              <w:top w:val="single" w:color="000000" w:sz="2" w:space="0"/>
            </w:tcBorders>
          </w:tcPr>
          <w:p>
            <w:pPr>
              <w:ind w:left="1033"/>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3.00</w:t>
            </w:r>
          </w:p>
        </w:tc>
        <w:tc>
          <w:tcPr>
            <w:tcW w:w="1649" w:type="dxa"/>
            <w:vAlign w:val="top"/>
            <w:tcBorders>
              <w:bottom w:val="single" w:color="000000" w:sz="2" w:space="0"/>
              <w:top w:val="single" w:color="000000" w:sz="2" w:space="0"/>
            </w:tcBorders>
          </w:tcPr>
          <w:p>
            <w:pPr>
              <w:ind w:left="784"/>
              <w:spacing w:before="142"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07/11/2032</w:t>
            </w:r>
          </w:p>
        </w:tc>
        <w:tc>
          <w:tcPr>
            <w:tcW w:w="1423" w:type="dxa"/>
            <w:vAlign w:val="top"/>
            <w:tcBorders>
              <w:bottom w:val="single" w:color="000000" w:sz="2" w:space="0"/>
              <w:top w:val="single" w:color="000000" w:sz="2" w:space="0"/>
            </w:tcBorders>
          </w:tcPr>
          <w:p>
            <w:pPr>
              <w:ind w:left="1318"/>
              <w:spacing w:before="220" w:line="86"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position w:val="-1"/>
              </w:rPr>
              <w:t>-</w:t>
            </w:r>
          </w:p>
        </w:tc>
      </w:tr>
      <w:tr>
        <w:trPr>
          <w:trHeight w:val="383" w:hRule="atLeast"/>
        </w:trPr>
        <w:tc>
          <w:tcPr>
            <w:tcW w:w="4107" w:type="dxa"/>
            <w:vAlign w:val="top"/>
            <w:tcBorders>
              <w:bottom w:val="single" w:color="000000" w:sz="2" w:space="0"/>
              <w:top w:val="single" w:color="000000" w:sz="2" w:space="0"/>
            </w:tcBorders>
          </w:tcPr>
          <w:p>
            <w:pPr>
              <w:pStyle w:val="TableText"/>
              <w:ind w:left="75"/>
              <w:spacing w:before="113" w:line="220" w:lineRule="auto"/>
              <w:rPr>
                <w:sz w:val="18"/>
                <w:szCs w:val="18"/>
              </w:rPr>
            </w:pPr>
            <w:r>
              <w:rPr>
                <w:rFonts w:ascii="Times New Roman" w:hAnsi="Times New Roman" w:eastAsia="Times New Roman" w:cs="Times New Roman"/>
                <w:sz w:val="18"/>
                <w:szCs w:val="18"/>
              </w:rPr>
              <w:t>2022 </w:t>
            </w:r>
            <w:r>
              <w:rPr>
                <w:sz w:val="18"/>
                <w:szCs w:val="18"/>
              </w:rPr>
              <w:t>年商业银行债券</w:t>
            </w:r>
          </w:p>
        </w:tc>
        <w:tc>
          <w:tcPr>
            <w:tcW w:w="1075" w:type="dxa"/>
            <w:vAlign w:val="top"/>
            <w:tcBorders>
              <w:bottom w:val="single" w:color="000000" w:sz="2" w:space="0"/>
              <w:top w:val="single" w:color="000000" w:sz="2" w:space="0"/>
            </w:tcBorders>
          </w:tcPr>
          <w:p>
            <w:pPr>
              <w:ind w:left="622"/>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3,484</w:t>
            </w:r>
          </w:p>
        </w:tc>
        <w:tc>
          <w:tcPr>
            <w:tcW w:w="1400" w:type="dxa"/>
            <w:vAlign w:val="top"/>
            <w:tcBorders>
              <w:bottom w:val="single" w:color="000000" w:sz="2" w:space="0"/>
              <w:top w:val="single" w:color="000000" w:sz="2" w:space="0"/>
            </w:tcBorders>
          </w:tcPr>
          <w:p>
            <w:pPr>
              <w:ind w:left="487"/>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SOFR+1.06</w:t>
            </w:r>
          </w:p>
        </w:tc>
        <w:tc>
          <w:tcPr>
            <w:tcW w:w="1649" w:type="dxa"/>
            <w:vAlign w:val="top"/>
            <w:tcBorders>
              <w:bottom w:val="single" w:color="000000" w:sz="2" w:space="0"/>
              <w:top w:val="single" w:color="000000" w:sz="2" w:space="0"/>
            </w:tcBorders>
          </w:tcPr>
          <w:p>
            <w:pPr>
              <w:ind w:left="774"/>
              <w:spacing w:before="142"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29/09/2027</w:t>
            </w:r>
          </w:p>
        </w:tc>
        <w:tc>
          <w:tcPr>
            <w:tcW w:w="1423" w:type="dxa"/>
            <w:vAlign w:val="top"/>
            <w:tcBorders>
              <w:bottom w:val="single" w:color="000000" w:sz="2" w:space="0"/>
              <w:top w:val="single" w:color="000000" w:sz="2" w:space="0"/>
            </w:tcBorders>
          </w:tcPr>
          <w:p>
            <w:pPr>
              <w:ind w:left="1075"/>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1.99</w:t>
            </w:r>
          </w:p>
        </w:tc>
      </w:tr>
    </w:tbl>
    <w:p>
      <w:pPr>
        <w:pStyle w:val="BodyText"/>
        <w:rPr/>
      </w:pPr>
      <w:r/>
    </w:p>
    <w:p>
      <w:pPr>
        <w:sectPr>
          <w:footerReference w:type="default" r:id="rId29"/>
          <w:pgSz w:w="11907" w:h="16839"/>
          <w:pgMar w:top="1192" w:right="1128" w:bottom="1375" w:left="1118" w:header="0" w:footer="1211" w:gutter="0"/>
        </w:sectPr>
        <w:rPr/>
      </w:pPr>
    </w:p>
    <w:tbl>
      <w:tblPr>
        <w:tblStyle w:val="TableNormal"/>
        <w:tblW w:w="9654"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4608"/>
        <w:gridCol w:w="559"/>
        <w:gridCol w:w="1769"/>
        <w:gridCol w:w="2718"/>
      </w:tblGrid>
      <w:tr>
        <w:trPr>
          <w:trHeight w:val="386" w:hRule="atLeast"/>
        </w:trPr>
        <w:tc>
          <w:tcPr>
            <w:tcW w:w="4608" w:type="dxa"/>
            <w:vAlign w:val="top"/>
            <w:tcBorders>
              <w:bottom w:val="single" w:color="000000" w:sz="2" w:space="0"/>
              <w:top w:val="single" w:color="000000" w:sz="2" w:space="0"/>
            </w:tcBorders>
          </w:tcPr>
          <w:p>
            <w:pPr>
              <w:pStyle w:val="TableText"/>
              <w:ind w:left="75"/>
              <w:spacing w:before="116" w:line="220" w:lineRule="auto"/>
              <w:rPr>
                <w:sz w:val="18"/>
                <w:szCs w:val="18"/>
              </w:rPr>
            </w:pPr>
            <w:r>
              <w:rPr>
                <w:rFonts w:ascii="Times New Roman" w:hAnsi="Times New Roman" w:eastAsia="Times New Roman" w:cs="Times New Roman"/>
                <w:sz w:val="18"/>
                <w:szCs w:val="18"/>
              </w:rPr>
              <w:t>2022 </w:t>
            </w:r>
            <w:r>
              <w:rPr>
                <w:sz w:val="18"/>
                <w:szCs w:val="18"/>
              </w:rPr>
              <w:t>年商业银行次级债券</w:t>
            </w:r>
          </w:p>
        </w:tc>
        <w:tc>
          <w:tcPr>
            <w:tcW w:w="559" w:type="dxa"/>
            <w:vAlign w:val="top"/>
            <w:tcBorders>
              <w:bottom w:val="single" w:color="000000" w:sz="2" w:space="0"/>
              <w:top w:val="single" w:color="000000" w:sz="2" w:space="0"/>
            </w:tcBorders>
          </w:tcPr>
          <w:p>
            <w:pPr>
              <w:ind w:left="121"/>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3,360</w:t>
            </w:r>
          </w:p>
        </w:tc>
        <w:tc>
          <w:tcPr>
            <w:tcW w:w="1769" w:type="dxa"/>
            <w:vAlign w:val="top"/>
            <w:tcBorders>
              <w:bottom w:val="single" w:color="000000" w:sz="2" w:space="0"/>
              <w:top w:val="single" w:color="000000" w:sz="2" w:space="0"/>
            </w:tcBorders>
          </w:tcPr>
          <w:p>
            <w:pPr>
              <w:ind w:left="1048"/>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3.00</w:t>
            </w:r>
          </w:p>
        </w:tc>
        <w:tc>
          <w:tcPr>
            <w:tcW w:w="2718" w:type="dxa"/>
            <w:vAlign w:val="top"/>
            <w:tcBorders>
              <w:bottom w:val="single" w:color="000000" w:sz="2" w:space="0"/>
              <w:top w:val="single" w:color="000000" w:sz="2" w:space="0"/>
            </w:tcBorders>
          </w:tcPr>
          <w:p>
            <w:pPr>
              <w:ind w:left="444"/>
              <w:spacing w:before="145"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10/11/2032</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spacing w:val="-3"/>
              </w:rPr>
              <w:t>-</w:t>
            </w:r>
          </w:p>
        </w:tc>
      </w:tr>
      <w:tr>
        <w:trPr>
          <w:trHeight w:val="379" w:hRule="atLeast"/>
        </w:trPr>
        <w:tc>
          <w:tcPr>
            <w:tcW w:w="4608" w:type="dxa"/>
            <w:vAlign w:val="top"/>
            <w:tcBorders>
              <w:bottom w:val="single" w:color="000000" w:sz="2" w:space="0"/>
              <w:top w:val="single" w:color="000000" w:sz="2" w:space="0"/>
            </w:tcBorders>
          </w:tcPr>
          <w:p>
            <w:pPr>
              <w:pStyle w:val="TableText"/>
              <w:ind w:left="75"/>
              <w:spacing w:before="110" w:line="220" w:lineRule="auto"/>
              <w:rPr>
                <w:sz w:val="18"/>
                <w:szCs w:val="18"/>
              </w:rPr>
            </w:pPr>
            <w:r>
              <w:rPr>
                <w:rFonts w:ascii="Times New Roman" w:hAnsi="Times New Roman" w:eastAsia="Times New Roman" w:cs="Times New Roman"/>
                <w:sz w:val="18"/>
                <w:szCs w:val="18"/>
              </w:rPr>
              <w:t>2017 </w:t>
            </w:r>
            <w:r>
              <w:rPr>
                <w:sz w:val="18"/>
                <w:szCs w:val="18"/>
              </w:rPr>
              <w:t>年政策性银行债券</w:t>
            </w:r>
          </w:p>
        </w:tc>
        <w:tc>
          <w:tcPr>
            <w:tcW w:w="559" w:type="dxa"/>
            <w:vAlign w:val="top"/>
            <w:tcBorders>
              <w:bottom w:val="single" w:color="000000" w:sz="2" w:space="0"/>
              <w:top w:val="single" w:color="000000" w:sz="2" w:space="0"/>
            </w:tcBorders>
          </w:tcPr>
          <w:p>
            <w:pPr>
              <w:ind w:left="121"/>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3,332</w:t>
            </w:r>
          </w:p>
        </w:tc>
        <w:tc>
          <w:tcPr>
            <w:tcW w:w="1769" w:type="dxa"/>
            <w:vAlign w:val="top"/>
            <w:tcBorders>
              <w:bottom w:val="single" w:color="000000" w:sz="2" w:space="0"/>
              <w:top w:val="single" w:color="000000" w:sz="2" w:space="0"/>
            </w:tcBorders>
          </w:tcPr>
          <w:p>
            <w:pPr>
              <w:ind w:left="1043"/>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4.30</w:t>
            </w:r>
          </w:p>
        </w:tc>
        <w:tc>
          <w:tcPr>
            <w:tcW w:w="2718" w:type="dxa"/>
            <w:vAlign w:val="top"/>
            <w:tcBorders>
              <w:bottom w:val="single" w:color="000000" w:sz="2" w:space="0"/>
              <w:top w:val="single" w:color="000000" w:sz="2" w:space="0"/>
            </w:tcBorders>
          </w:tcPr>
          <w:p>
            <w:pPr>
              <w:ind w:left="420"/>
              <w:spacing w:before="139"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21/08/2024            </w:t>
            </w:r>
            <w:r>
              <w:rPr>
                <w:rFonts w:ascii="Times New Roman" w:hAnsi="Times New Roman" w:eastAsia="Times New Roman" w:cs="Times New Roman"/>
                <w:sz w:val="18"/>
                <w:szCs w:val="18"/>
                <w:spacing w:val="-1"/>
              </w:rPr>
              <w:t xml:space="preserve">             0.73</w:t>
            </w:r>
          </w:p>
        </w:tc>
      </w:tr>
      <w:tr>
        <w:trPr>
          <w:trHeight w:val="378" w:hRule="atLeast"/>
        </w:trPr>
        <w:tc>
          <w:tcPr>
            <w:tcW w:w="4608" w:type="dxa"/>
            <w:vAlign w:val="top"/>
            <w:tcBorders>
              <w:bottom w:val="single" w:color="000000" w:sz="2" w:space="0"/>
              <w:top w:val="single" w:color="000000" w:sz="2" w:space="0"/>
            </w:tcBorders>
          </w:tcPr>
          <w:p>
            <w:pPr>
              <w:pStyle w:val="TableText"/>
              <w:ind w:left="75"/>
              <w:spacing w:before="110" w:line="220" w:lineRule="auto"/>
              <w:rPr>
                <w:sz w:val="18"/>
                <w:szCs w:val="18"/>
              </w:rPr>
            </w:pPr>
            <w:r>
              <w:rPr>
                <w:rFonts w:ascii="Times New Roman" w:hAnsi="Times New Roman" w:eastAsia="Times New Roman" w:cs="Times New Roman"/>
                <w:sz w:val="18"/>
                <w:szCs w:val="18"/>
              </w:rPr>
              <w:t>2019 </w:t>
            </w:r>
            <w:r>
              <w:rPr>
                <w:sz w:val="18"/>
                <w:szCs w:val="18"/>
              </w:rPr>
              <w:t>年政策性银行债券</w:t>
            </w:r>
          </w:p>
        </w:tc>
        <w:tc>
          <w:tcPr>
            <w:tcW w:w="559" w:type="dxa"/>
            <w:vAlign w:val="top"/>
            <w:tcBorders>
              <w:bottom w:val="single" w:color="000000" w:sz="2" w:space="0"/>
              <w:top w:val="single" w:color="000000" w:sz="2" w:space="0"/>
            </w:tcBorders>
          </w:tcPr>
          <w:p>
            <w:pPr>
              <w:ind w:left="121"/>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3,126</w:t>
            </w:r>
          </w:p>
        </w:tc>
        <w:tc>
          <w:tcPr>
            <w:tcW w:w="1769" w:type="dxa"/>
            <w:vAlign w:val="top"/>
            <w:tcBorders>
              <w:bottom w:val="single" w:color="000000" w:sz="2" w:space="0"/>
              <w:top w:val="single" w:color="000000" w:sz="2" w:space="0"/>
            </w:tcBorders>
          </w:tcPr>
          <w:p>
            <w:pPr>
              <w:ind w:left="1044"/>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2.70</w:t>
            </w:r>
          </w:p>
        </w:tc>
        <w:tc>
          <w:tcPr>
            <w:tcW w:w="2718" w:type="dxa"/>
            <w:vAlign w:val="top"/>
            <w:tcBorders>
              <w:bottom w:val="single" w:color="000000" w:sz="2" w:space="0"/>
              <w:top w:val="single" w:color="000000" w:sz="2" w:space="0"/>
            </w:tcBorders>
          </w:tcPr>
          <w:p>
            <w:pPr>
              <w:ind w:left="437"/>
              <w:spacing w:before="139"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19/03/2024                         0.42</w:t>
            </w:r>
          </w:p>
        </w:tc>
      </w:tr>
      <w:tr>
        <w:trPr>
          <w:trHeight w:val="378" w:hRule="atLeast"/>
        </w:trPr>
        <w:tc>
          <w:tcPr>
            <w:tcW w:w="4608" w:type="dxa"/>
            <w:vAlign w:val="top"/>
            <w:tcBorders>
              <w:bottom w:val="single" w:color="000000" w:sz="2" w:space="0"/>
              <w:top w:val="single" w:color="000000" w:sz="2" w:space="0"/>
            </w:tcBorders>
          </w:tcPr>
          <w:p>
            <w:pPr>
              <w:pStyle w:val="TableText"/>
              <w:ind w:left="75"/>
              <w:spacing w:before="111" w:line="220" w:lineRule="auto"/>
              <w:rPr>
                <w:sz w:val="18"/>
                <w:szCs w:val="18"/>
              </w:rPr>
            </w:pPr>
            <w:r>
              <w:rPr>
                <w:rFonts w:ascii="Times New Roman" w:hAnsi="Times New Roman" w:eastAsia="Times New Roman" w:cs="Times New Roman"/>
                <w:sz w:val="18"/>
                <w:szCs w:val="18"/>
              </w:rPr>
              <w:t>2022 </w:t>
            </w:r>
            <w:r>
              <w:rPr>
                <w:sz w:val="18"/>
                <w:szCs w:val="18"/>
              </w:rPr>
              <w:t>年商业银行债券</w:t>
            </w:r>
          </w:p>
        </w:tc>
        <w:tc>
          <w:tcPr>
            <w:tcW w:w="559" w:type="dxa"/>
            <w:vAlign w:val="top"/>
            <w:tcBorders>
              <w:bottom w:val="single" w:color="000000" w:sz="2" w:space="0"/>
              <w:top w:val="single" w:color="000000" w:sz="2" w:space="0"/>
            </w:tcBorders>
          </w:tcPr>
          <w:p>
            <w:pPr>
              <w:ind w:left="121"/>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3,103</w:t>
            </w:r>
          </w:p>
        </w:tc>
        <w:tc>
          <w:tcPr>
            <w:tcW w:w="1769" w:type="dxa"/>
            <w:vAlign w:val="top"/>
            <w:tcBorders>
              <w:bottom w:val="single" w:color="000000" w:sz="2" w:space="0"/>
              <w:top w:val="single" w:color="000000" w:sz="2" w:space="0"/>
            </w:tcBorders>
          </w:tcPr>
          <w:p>
            <w:pPr>
              <w:ind w:left="502"/>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SOFR+0.78</w:t>
            </w:r>
          </w:p>
        </w:tc>
        <w:tc>
          <w:tcPr>
            <w:tcW w:w="2718" w:type="dxa"/>
            <w:vAlign w:val="top"/>
            <w:tcBorders>
              <w:bottom w:val="single" w:color="000000" w:sz="2" w:space="0"/>
              <w:top w:val="single" w:color="000000" w:sz="2" w:space="0"/>
            </w:tcBorders>
          </w:tcPr>
          <w:p>
            <w:pPr>
              <w:ind w:left="420"/>
              <w:spacing w:before="140"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28/04/2025            </w:t>
            </w:r>
            <w:r>
              <w:rPr>
                <w:rFonts w:ascii="Times New Roman" w:hAnsi="Times New Roman" w:eastAsia="Times New Roman" w:cs="Times New Roman"/>
                <w:sz w:val="18"/>
                <w:szCs w:val="18"/>
                <w:spacing w:val="-1"/>
              </w:rPr>
              <w:t xml:space="preserve">             0.37</w:t>
            </w:r>
          </w:p>
        </w:tc>
      </w:tr>
      <w:tr>
        <w:trPr>
          <w:trHeight w:val="1642" w:hRule="atLeast"/>
        </w:trPr>
        <w:tc>
          <w:tcPr>
            <w:tcW w:w="4608" w:type="dxa"/>
            <w:vAlign w:val="top"/>
            <w:tcBorders>
              <w:bottom w:val="single" w:color="000000" w:sz="2" w:space="0"/>
              <w:top w:val="single" w:color="000000" w:sz="2" w:space="0"/>
            </w:tcBorders>
          </w:tcPr>
          <w:p>
            <w:pPr>
              <w:pStyle w:val="TableText"/>
              <w:ind w:left="556"/>
              <w:spacing w:before="270" w:line="221" w:lineRule="auto"/>
              <w:rPr/>
            </w:pPr>
            <w:r>
              <w:rPr>
                <w:b/>
                <w:bCs/>
                <w:spacing w:val="12"/>
              </w:rPr>
              <w:t>(</w:t>
            </w:r>
            <w:r>
              <w:rPr>
                <w:rFonts w:ascii="Times New Roman" w:hAnsi="Times New Roman" w:eastAsia="Times New Roman" w:cs="Times New Roman"/>
                <w:b/>
                <w:bCs/>
                <w:spacing w:val="12"/>
              </w:rPr>
              <w:t>3</w:t>
            </w:r>
            <w:r>
              <w:rPr>
                <w:b/>
                <w:bCs/>
                <w:spacing w:val="12"/>
              </w:rPr>
              <w:t>)抵债资产</w:t>
            </w:r>
          </w:p>
          <w:p>
            <w:pPr>
              <w:pStyle w:val="TableText"/>
              <w:ind w:left="443"/>
              <w:spacing w:before="306" w:line="221" w:lineRule="auto"/>
              <w:rPr/>
            </w:pPr>
            <w:r>
              <w:rPr>
                <w:spacing w:val="-1"/>
              </w:rPr>
              <w:t>本集团在所示日期抵债资产的部分资料如下:</w:t>
            </w:r>
          </w:p>
        </w:tc>
        <w:tc>
          <w:tcPr>
            <w:tcW w:w="559" w:type="dxa"/>
            <w:vAlign w:val="top"/>
            <w:tcBorders>
              <w:bottom w:val="single" w:color="000000" w:sz="2" w:space="0"/>
              <w:top w:val="single" w:color="000000" w:sz="2" w:space="0"/>
            </w:tcBorders>
          </w:tcPr>
          <w:p>
            <w:pPr>
              <w:rPr>
                <w:rFonts w:ascii="Arial"/>
                <w:sz w:val="21"/>
              </w:rPr>
            </w:pPr>
            <w:r/>
          </w:p>
        </w:tc>
        <w:tc>
          <w:tcPr>
            <w:tcW w:w="1769" w:type="dxa"/>
            <w:vAlign w:val="top"/>
            <w:tcBorders>
              <w:bottom w:val="single" w:color="000000" w:sz="2" w:space="0"/>
              <w:top w:val="single" w:color="000000" w:sz="2" w:space="0"/>
            </w:tcBorders>
          </w:tcPr>
          <w:p>
            <w:pPr>
              <w:rPr>
                <w:rFonts w:ascii="Arial"/>
                <w:sz w:val="21"/>
              </w:rPr>
            </w:pPr>
            <w:r/>
          </w:p>
        </w:tc>
        <w:tc>
          <w:tcPr>
            <w:tcW w:w="2718" w:type="dxa"/>
            <w:vAlign w:val="top"/>
            <w:tcBorders>
              <w:bottom w:val="single" w:color="000000" w:sz="2" w:space="0"/>
              <w:top w:val="single" w:color="000000" w:sz="2" w:space="0"/>
            </w:tcBorders>
          </w:tcPr>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spacing w:line="270" w:lineRule="auto"/>
              <w:rPr>
                <w:rFonts w:ascii="Arial"/>
                <w:sz w:val="21"/>
              </w:rPr>
            </w:pPr>
            <w:r/>
          </w:p>
          <w:p>
            <w:pPr>
              <w:spacing w:line="270" w:lineRule="auto"/>
              <w:rPr>
                <w:rFonts w:ascii="Arial"/>
                <w:sz w:val="21"/>
              </w:rPr>
            </w:pPr>
            <w:r/>
          </w:p>
          <w:p>
            <w:pPr>
              <w:pStyle w:val="TableText"/>
              <w:ind w:left="1380"/>
              <w:spacing w:before="59" w:line="220" w:lineRule="auto"/>
              <w:rPr>
                <w:sz w:val="18"/>
                <w:szCs w:val="18"/>
              </w:rPr>
            </w:pPr>
            <w:r>
              <w:rPr>
                <w:sz w:val="18"/>
                <w:szCs w:val="18"/>
              </w:rPr>
              <w:t>(人民币百万元)</w:t>
            </w:r>
          </w:p>
        </w:tc>
      </w:tr>
      <w:tr>
        <w:trPr>
          <w:trHeight w:val="379" w:hRule="atLeast"/>
        </w:trPr>
        <w:tc>
          <w:tcPr>
            <w:tcW w:w="4608" w:type="dxa"/>
            <w:vAlign w:val="top"/>
            <w:tcBorders>
              <w:bottom w:val="single" w:color="000000" w:sz="2" w:space="0"/>
              <w:top w:val="single" w:color="000000" w:sz="2" w:space="0"/>
            </w:tcBorders>
          </w:tcPr>
          <w:p>
            <w:pPr>
              <w:rPr>
                <w:rFonts w:ascii="Arial"/>
                <w:sz w:val="21"/>
              </w:rPr>
            </w:pPr>
            <w:r/>
          </w:p>
        </w:tc>
        <w:tc>
          <w:tcPr>
            <w:tcW w:w="559" w:type="dxa"/>
            <w:vAlign w:val="top"/>
            <w:tcBorders>
              <w:bottom w:val="single" w:color="000000" w:sz="2" w:space="0"/>
              <w:top w:val="single" w:color="000000" w:sz="2" w:space="0"/>
            </w:tcBorders>
          </w:tcPr>
          <w:p>
            <w:pPr>
              <w:ind w:right="20"/>
              <w:spacing w:before="146" w:line="186" w:lineRule="auto"/>
              <w:jc w:val="right"/>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48352" behindDoc="1" locked="0" layoutInCell="1" allowOverlap="1">
                      <wp:simplePos x="0" y="0"/>
                      <wp:positionH relativeFrom="column">
                        <wp:posOffset>-1018921</wp:posOffset>
                      </wp:positionH>
                      <wp:positionV relativeFrom="paragraph">
                        <wp:posOffset>2718</wp:posOffset>
                      </wp:positionV>
                      <wp:extent cx="2112645" cy="238125"/>
                      <wp:effectExtent l="0" t="0" r="0" b="0"/>
                      <wp:wrapNone/>
                      <wp:docPr id="62" name="Rect 62"/>
                      <wp:cNvGraphicFramePr/>
                      <a:graphic>
                        <a:graphicData uri="http://schemas.microsoft.com/office/word/2010/wordprocessingShape">
                          <wps:wsp>
                            <wps:cNvPr id="62" name="Rect 62"/>
                            <wps:cNvSpPr/>
                            <wps:spPr>
                              <a:xfrm>
                                <a:off x="-1018921" y="2718"/>
                                <a:ext cx="2112645"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16" style="position:absolute;margin-left:-80.23pt;margin-top:0.214051pt;mso-position-vertical-relative:text;mso-position-horizontal-relative:text;width:166.35pt;height:18.75pt;z-index:-251568128;" fillcolor="#DBE5F1" filled="true" stroked="false"/>
                  </w:pict>
                </mc:Fallback>
              </mc:AlternateContent>
            </w:r>
            <w:r>
              <w:rPr>
                <w:rFonts w:ascii="Times New Roman" w:hAnsi="Times New Roman" w:eastAsia="Times New Roman" w:cs="Times New Roman"/>
                <w:sz w:val="18"/>
                <w:szCs w:val="18"/>
                <w:b/>
                <w:bCs/>
                <w:spacing w:val="-1"/>
              </w:rPr>
              <w:t>2022</w:t>
            </w:r>
          </w:p>
        </w:tc>
        <w:tc>
          <w:tcPr>
            <w:tcW w:w="1769" w:type="dxa"/>
            <w:vAlign w:val="top"/>
            <w:tcBorders>
              <w:bottom w:val="single" w:color="000000" w:sz="2" w:space="0"/>
              <w:top w:val="single" w:color="000000" w:sz="2" w:space="0"/>
            </w:tcBorders>
          </w:tcPr>
          <w:p>
            <w:pPr>
              <w:pStyle w:val="TableText"/>
              <w:ind w:left="30"/>
              <w:spacing w:before="113" w:line="220" w:lineRule="auto"/>
              <w:rPr>
                <w:sz w:val="18"/>
                <w:szCs w:val="18"/>
              </w:rPr>
            </w:pPr>
            <w:r>
              <w:rPr>
                <w:sz w:val="18"/>
                <w:szCs w:val="18"/>
                <w:b/>
                <w:bCs/>
                <w:spacing w:val="-6"/>
              </w:rPr>
              <w:t>年</w:t>
            </w:r>
            <w:r>
              <w:rPr>
                <w:sz w:val="18"/>
                <w:szCs w:val="18"/>
                <w:spacing w:val="-29"/>
              </w:rPr>
              <w:t xml:space="preserve"> </w:t>
            </w:r>
            <w:r>
              <w:rPr>
                <w:rFonts w:ascii="Times New Roman" w:hAnsi="Times New Roman" w:eastAsia="Times New Roman" w:cs="Times New Roman"/>
                <w:sz w:val="18"/>
                <w:szCs w:val="18"/>
                <w:b/>
                <w:bCs/>
                <w:spacing w:val="-6"/>
              </w:rPr>
              <w:t>12</w:t>
            </w:r>
            <w:r>
              <w:rPr>
                <w:rFonts w:ascii="Times New Roman" w:hAnsi="Times New Roman" w:eastAsia="Times New Roman" w:cs="Times New Roman"/>
                <w:sz w:val="18"/>
                <w:szCs w:val="18"/>
                <w:b/>
                <w:bCs/>
                <w:spacing w:val="11"/>
                <w:w w:val="101"/>
              </w:rPr>
              <w:t xml:space="preserve"> </w:t>
            </w:r>
            <w:r>
              <w:rPr>
                <w:sz w:val="18"/>
                <w:szCs w:val="18"/>
                <w:b/>
                <w:bCs/>
                <w:spacing w:val="-6"/>
              </w:rPr>
              <w:t>月</w:t>
            </w:r>
            <w:r>
              <w:rPr>
                <w:sz w:val="18"/>
                <w:szCs w:val="18"/>
                <w:spacing w:val="-42"/>
              </w:rPr>
              <w:t xml:space="preserve"> </w:t>
            </w:r>
            <w:r>
              <w:rPr>
                <w:rFonts w:ascii="Times New Roman" w:hAnsi="Times New Roman" w:eastAsia="Times New Roman" w:cs="Times New Roman"/>
                <w:sz w:val="18"/>
                <w:szCs w:val="18"/>
                <w:b/>
                <w:bCs/>
                <w:spacing w:val="-6"/>
              </w:rPr>
              <w:t>31</w:t>
            </w:r>
            <w:r>
              <w:rPr>
                <w:rFonts w:ascii="Times New Roman" w:hAnsi="Times New Roman" w:eastAsia="Times New Roman" w:cs="Times New Roman"/>
                <w:sz w:val="18"/>
                <w:szCs w:val="18"/>
                <w:b/>
                <w:bCs/>
                <w:spacing w:val="37"/>
                <w:w w:val="102"/>
              </w:rPr>
              <w:t xml:space="preserve"> </w:t>
            </w:r>
            <w:r>
              <w:rPr>
                <w:sz w:val="18"/>
                <w:szCs w:val="18"/>
                <w:b/>
                <w:bCs/>
                <w:spacing w:val="-6"/>
              </w:rPr>
              <w:t>日</w:t>
            </w:r>
          </w:p>
        </w:tc>
        <w:tc>
          <w:tcPr>
            <w:tcW w:w="2718" w:type="dxa"/>
            <w:vAlign w:val="top"/>
            <w:tcBorders>
              <w:bottom w:val="single" w:color="000000" w:sz="2" w:space="0"/>
              <w:top w:val="single" w:color="000000" w:sz="2" w:space="0"/>
            </w:tcBorders>
          </w:tcPr>
          <w:p>
            <w:pPr>
              <w:pStyle w:val="TableText"/>
              <w:ind w:right="14"/>
              <w:spacing w:before="113" w:line="220" w:lineRule="auto"/>
              <w:jc w:val="right"/>
              <w:rPr>
                <w:sz w:val="18"/>
                <w:szCs w:val="18"/>
              </w:rPr>
            </w:pPr>
            <w:r>
              <w:rPr>
                <w:rFonts w:ascii="Times New Roman" w:hAnsi="Times New Roman" w:eastAsia="Times New Roman" w:cs="Times New Roman"/>
                <w:sz w:val="18"/>
                <w:szCs w:val="18"/>
                <w:spacing w:val="-5"/>
              </w:rPr>
              <w:t>2021</w:t>
            </w:r>
            <w:r>
              <w:rPr>
                <w:rFonts w:ascii="Times New Roman" w:hAnsi="Times New Roman" w:eastAsia="Times New Roman" w:cs="Times New Roman"/>
                <w:sz w:val="18"/>
                <w:szCs w:val="18"/>
                <w:spacing w:val="11"/>
              </w:rPr>
              <w:t xml:space="preserve"> </w:t>
            </w:r>
            <w:r>
              <w:rPr>
                <w:sz w:val="18"/>
                <w:szCs w:val="18"/>
                <w:spacing w:val="-5"/>
              </w:rPr>
              <w:t>年</w:t>
            </w:r>
            <w:r>
              <w:rPr>
                <w:sz w:val="18"/>
                <w:szCs w:val="18"/>
                <w:spacing w:val="-26"/>
              </w:rPr>
              <w:t xml:space="preserve"> </w:t>
            </w:r>
            <w:r>
              <w:rPr>
                <w:rFonts w:ascii="Times New Roman" w:hAnsi="Times New Roman" w:eastAsia="Times New Roman" w:cs="Times New Roman"/>
                <w:sz w:val="18"/>
                <w:szCs w:val="18"/>
                <w:spacing w:val="-5"/>
              </w:rPr>
              <w:t>12</w:t>
            </w:r>
            <w:r>
              <w:rPr>
                <w:rFonts w:ascii="Times New Roman" w:hAnsi="Times New Roman" w:eastAsia="Times New Roman" w:cs="Times New Roman"/>
                <w:sz w:val="18"/>
                <w:szCs w:val="18"/>
                <w:spacing w:val="13"/>
              </w:rPr>
              <w:t xml:space="preserve"> </w:t>
            </w:r>
            <w:r>
              <w:rPr>
                <w:sz w:val="18"/>
                <w:szCs w:val="18"/>
                <w:spacing w:val="-5"/>
              </w:rPr>
              <w:t>月</w:t>
            </w:r>
            <w:r>
              <w:rPr>
                <w:sz w:val="18"/>
                <w:szCs w:val="18"/>
                <w:spacing w:val="-37"/>
              </w:rPr>
              <w:t xml:space="preserve"> </w:t>
            </w:r>
            <w:r>
              <w:rPr>
                <w:rFonts w:ascii="Times New Roman" w:hAnsi="Times New Roman" w:eastAsia="Times New Roman" w:cs="Times New Roman"/>
                <w:sz w:val="18"/>
                <w:szCs w:val="18"/>
                <w:spacing w:val="-5"/>
              </w:rPr>
              <w:t>31</w:t>
            </w:r>
            <w:r>
              <w:rPr>
                <w:rFonts w:ascii="Times New Roman" w:hAnsi="Times New Roman" w:eastAsia="Times New Roman" w:cs="Times New Roman"/>
                <w:sz w:val="18"/>
                <w:szCs w:val="18"/>
                <w:spacing w:val="40"/>
              </w:rPr>
              <w:t xml:space="preserve"> </w:t>
            </w:r>
            <w:r>
              <w:rPr>
                <w:sz w:val="18"/>
                <w:szCs w:val="18"/>
                <w:spacing w:val="-5"/>
              </w:rPr>
              <w:t>日</w:t>
            </w:r>
          </w:p>
        </w:tc>
      </w:tr>
      <w:tr>
        <w:trPr>
          <w:trHeight w:val="379" w:hRule="atLeast"/>
        </w:trPr>
        <w:tc>
          <w:tcPr>
            <w:tcW w:w="4608" w:type="dxa"/>
            <w:vAlign w:val="top"/>
            <w:tcBorders>
              <w:bottom w:val="single" w:color="000000" w:sz="2" w:space="0"/>
              <w:top w:val="single" w:color="000000" w:sz="2" w:space="0"/>
            </w:tcBorders>
          </w:tcPr>
          <w:p>
            <w:pPr>
              <w:pStyle w:val="TableText"/>
              <w:ind w:left="78"/>
              <w:spacing w:before="114" w:line="220" w:lineRule="auto"/>
              <w:rPr>
                <w:sz w:val="18"/>
                <w:szCs w:val="18"/>
              </w:rPr>
            </w:pPr>
            <w:r>
              <w:rPr>
                <w:sz w:val="18"/>
                <w:szCs w:val="18"/>
                <w:spacing w:val="-1"/>
              </w:rPr>
              <w:t>抵债资产原值</w:t>
            </w:r>
          </w:p>
        </w:tc>
        <w:tc>
          <w:tcPr>
            <w:tcW w:w="559" w:type="dxa"/>
            <w:vAlign w:val="top"/>
            <w:tcBorders>
              <w:bottom w:val="single" w:color="000000" w:sz="2" w:space="0"/>
              <w:top w:val="single" w:color="000000" w:sz="2" w:space="0"/>
            </w:tcBorders>
          </w:tcPr>
          <w:p>
            <w:pPr>
              <w:rPr>
                <w:rFonts w:ascii="Arial"/>
                <w:sz w:val="21"/>
              </w:rPr>
            </w:pPr>
            <w:r/>
          </w:p>
        </w:tc>
        <w:tc>
          <w:tcPr>
            <w:tcW w:w="1769" w:type="dxa"/>
            <w:vAlign w:val="top"/>
            <w:tcBorders>
              <w:bottom w:val="single" w:color="000000" w:sz="2" w:space="0"/>
              <w:top w:val="single" w:color="000000" w:sz="2" w:space="0"/>
            </w:tcBorders>
          </w:tcPr>
          <w:p>
            <w:pPr>
              <w:ind w:left="711"/>
              <w:spacing w:before="147"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49376" behindDoc="1" locked="0" layoutInCell="1" allowOverlap="1">
                      <wp:simplePos x="0" y="0"/>
                      <wp:positionH relativeFrom="column">
                        <wp:posOffset>-1373886</wp:posOffset>
                      </wp:positionH>
                      <wp:positionV relativeFrom="paragraph">
                        <wp:posOffset>2723</wp:posOffset>
                      </wp:positionV>
                      <wp:extent cx="2112645" cy="238125"/>
                      <wp:effectExtent l="0" t="0" r="0" b="0"/>
                      <wp:wrapNone/>
                      <wp:docPr id="64" name="Rect 64"/>
                      <wp:cNvGraphicFramePr/>
                      <a:graphic>
                        <a:graphicData uri="http://schemas.microsoft.com/office/word/2010/wordprocessingShape">
                          <wps:wsp>
                            <wps:cNvPr id="64" name="Rect 64"/>
                            <wps:cNvSpPr/>
                            <wps:spPr>
                              <a:xfrm>
                                <a:off x="-1373886" y="2723"/>
                                <a:ext cx="2112645"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18" style="position:absolute;margin-left:-108.18pt;margin-top:0.214417pt;mso-position-vertical-relative:text;mso-position-horizontal-relative:text;width:166.35pt;height:18.75pt;z-index:-251567104;" fillcolor="#DBE5F1" filled="true" stroked="false"/>
                  </w:pict>
                </mc:Fallback>
              </mc:AlternateContent>
            </w:r>
            <w:r>
              <w:rPr>
                <w:rFonts w:ascii="Times New Roman" w:hAnsi="Times New Roman" w:eastAsia="Times New Roman" w:cs="Times New Roman"/>
                <w:sz w:val="18"/>
                <w:szCs w:val="18"/>
                <w:b/>
                <w:bCs/>
                <w:spacing w:val="-3"/>
              </w:rPr>
              <w:t>1,412</w:t>
            </w:r>
          </w:p>
        </w:tc>
        <w:tc>
          <w:tcPr>
            <w:tcW w:w="2718" w:type="dxa"/>
            <w:vAlign w:val="top"/>
            <w:tcBorders>
              <w:bottom w:val="single" w:color="000000" w:sz="2" w:space="0"/>
              <w:top w:val="single" w:color="000000" w:sz="2" w:space="0"/>
            </w:tcBorders>
          </w:tcPr>
          <w:p>
            <w:pPr>
              <w:ind w:left="2279"/>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1,437</w:t>
            </w:r>
          </w:p>
        </w:tc>
      </w:tr>
      <w:tr>
        <w:trPr>
          <w:trHeight w:val="379" w:hRule="atLeast"/>
        </w:trPr>
        <w:tc>
          <w:tcPr>
            <w:tcW w:w="4608" w:type="dxa"/>
            <w:vAlign w:val="top"/>
            <w:tcBorders>
              <w:bottom w:val="single" w:color="000000" w:sz="2" w:space="0"/>
              <w:top w:val="single" w:color="000000" w:sz="2" w:space="0"/>
            </w:tcBorders>
          </w:tcPr>
          <w:p>
            <w:pPr>
              <w:pStyle w:val="TableText"/>
              <w:ind w:left="79"/>
              <w:spacing w:before="114" w:line="220" w:lineRule="auto"/>
              <w:rPr>
                <w:sz w:val="18"/>
                <w:szCs w:val="18"/>
              </w:rPr>
            </w:pPr>
            <w:r>
              <w:rPr>
                <w:sz w:val="18"/>
                <w:szCs w:val="18"/>
                <w:spacing w:val="8"/>
              </w:rPr>
              <w:t>减:抵债资产减值准备</w:t>
            </w:r>
          </w:p>
        </w:tc>
        <w:tc>
          <w:tcPr>
            <w:tcW w:w="559" w:type="dxa"/>
            <w:vAlign w:val="top"/>
            <w:tcBorders>
              <w:bottom w:val="single" w:color="000000" w:sz="2" w:space="0"/>
              <w:top w:val="single" w:color="000000" w:sz="2" w:space="0"/>
            </w:tcBorders>
          </w:tcPr>
          <w:p>
            <w:pPr>
              <w:rPr>
                <w:rFonts w:ascii="Arial"/>
                <w:sz w:val="21"/>
              </w:rPr>
            </w:pPr>
            <w:r/>
          </w:p>
        </w:tc>
        <w:tc>
          <w:tcPr>
            <w:tcW w:w="1769" w:type="dxa"/>
            <w:vAlign w:val="top"/>
            <w:tcBorders>
              <w:bottom w:val="single" w:color="000000" w:sz="2" w:space="0"/>
              <w:top w:val="single" w:color="000000" w:sz="2" w:space="0"/>
            </w:tcBorders>
          </w:tcPr>
          <w:p>
            <w:pPr>
              <w:ind w:left="723"/>
              <w:spacing w:before="147"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47328" behindDoc="1" locked="0" layoutInCell="1" allowOverlap="1">
                      <wp:simplePos x="0" y="0"/>
                      <wp:positionH relativeFrom="column">
                        <wp:posOffset>-1373886</wp:posOffset>
                      </wp:positionH>
                      <wp:positionV relativeFrom="paragraph">
                        <wp:posOffset>3154</wp:posOffset>
                      </wp:positionV>
                      <wp:extent cx="2112645" cy="238125"/>
                      <wp:effectExtent l="0" t="0" r="0" b="0"/>
                      <wp:wrapNone/>
                      <wp:docPr id="66" name="Rect 66"/>
                      <wp:cNvGraphicFramePr/>
                      <a:graphic>
                        <a:graphicData uri="http://schemas.microsoft.com/office/word/2010/wordprocessingShape">
                          <wps:wsp>
                            <wps:cNvPr id="66" name="Rect 66"/>
                            <wps:cNvSpPr/>
                            <wps:spPr>
                              <a:xfrm>
                                <a:off x="-1373886" y="3154"/>
                                <a:ext cx="2112645"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20" style="position:absolute;margin-left:-108.18pt;margin-top:0.248414pt;mso-position-vertical-relative:text;mso-position-horizontal-relative:text;width:166.35pt;height:18.75pt;z-index:-251569152;" fillcolor="#DBE5F1" filled="true" stroked="false"/>
                  </w:pict>
                </mc:Fallback>
              </mc:AlternateContent>
            </w:r>
            <w:r>
              <w:rPr>
                <w:rFonts w:ascii="Times New Roman" w:hAnsi="Times New Roman" w:eastAsia="Times New Roman" w:cs="Times New Roman"/>
                <w:sz w:val="18"/>
                <w:szCs w:val="18"/>
                <w:b/>
                <w:bCs/>
                <w:spacing w:val="-2"/>
              </w:rPr>
              <w:t>(412)</w:t>
            </w:r>
          </w:p>
        </w:tc>
        <w:tc>
          <w:tcPr>
            <w:tcW w:w="2718" w:type="dxa"/>
            <w:vAlign w:val="top"/>
            <w:tcBorders>
              <w:bottom w:val="single" w:color="000000" w:sz="2" w:space="0"/>
              <w:top w:val="single" w:color="000000" w:sz="2" w:space="0"/>
            </w:tcBorders>
          </w:tcPr>
          <w:p>
            <w:pPr>
              <w:ind w:left="2282"/>
              <w:spacing w:before="143"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(407)</w:t>
            </w:r>
          </w:p>
        </w:tc>
      </w:tr>
      <w:tr>
        <w:trPr>
          <w:trHeight w:val="383" w:hRule="atLeast"/>
        </w:trPr>
        <w:tc>
          <w:tcPr>
            <w:tcW w:w="4608" w:type="dxa"/>
            <w:vAlign w:val="top"/>
            <w:tcBorders>
              <w:bottom w:val="single" w:color="000000" w:sz="2" w:space="0"/>
              <w:top w:val="single" w:color="000000" w:sz="2" w:space="0"/>
            </w:tcBorders>
          </w:tcPr>
          <w:p>
            <w:pPr>
              <w:pStyle w:val="TableText"/>
              <w:ind w:left="78"/>
              <w:spacing w:before="114" w:line="220" w:lineRule="auto"/>
              <w:rPr>
                <w:sz w:val="18"/>
                <w:szCs w:val="18"/>
              </w:rPr>
            </w:pPr>
            <w:r>
              <w:rPr>
                <w:sz w:val="18"/>
                <w:szCs w:val="18"/>
                <w:b/>
                <w:bCs/>
                <w:spacing w:val="-3"/>
              </w:rPr>
              <w:t>抵债资产净值</w:t>
            </w:r>
          </w:p>
        </w:tc>
        <w:tc>
          <w:tcPr>
            <w:tcW w:w="559" w:type="dxa"/>
            <w:vAlign w:val="top"/>
            <w:tcBorders>
              <w:bottom w:val="single" w:color="000000" w:sz="2" w:space="0"/>
              <w:top w:val="single" w:color="000000" w:sz="2" w:space="0"/>
            </w:tcBorders>
          </w:tcPr>
          <w:p>
            <w:pPr>
              <w:rPr>
                <w:rFonts w:ascii="Arial"/>
                <w:sz w:val="21"/>
              </w:rPr>
            </w:pPr>
            <w:r/>
          </w:p>
        </w:tc>
        <w:tc>
          <w:tcPr>
            <w:tcW w:w="1769" w:type="dxa"/>
            <w:vAlign w:val="top"/>
            <w:tcBorders>
              <w:bottom w:val="single" w:color="000000" w:sz="2" w:space="0"/>
              <w:top w:val="single" w:color="000000" w:sz="2" w:space="0"/>
            </w:tcBorders>
          </w:tcPr>
          <w:p>
            <w:pPr>
              <w:ind w:left="711"/>
              <w:spacing w:before="147"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50400" behindDoc="1" locked="0" layoutInCell="1" allowOverlap="1">
                      <wp:simplePos x="0" y="0"/>
                      <wp:positionH relativeFrom="column">
                        <wp:posOffset>-1373886</wp:posOffset>
                      </wp:positionH>
                      <wp:positionV relativeFrom="paragraph">
                        <wp:posOffset>3027</wp:posOffset>
                      </wp:positionV>
                      <wp:extent cx="2112645" cy="238125"/>
                      <wp:effectExtent l="0" t="0" r="0" b="0"/>
                      <wp:wrapNone/>
                      <wp:docPr id="68" name="Rect 68"/>
                      <wp:cNvGraphicFramePr/>
                      <a:graphic>
                        <a:graphicData uri="http://schemas.microsoft.com/office/word/2010/wordprocessingShape">
                          <wps:wsp>
                            <wps:cNvPr id="68" name="Rect 68"/>
                            <wps:cNvSpPr/>
                            <wps:spPr>
                              <a:xfrm>
                                <a:off x="-1373886" y="3027"/>
                                <a:ext cx="2112645" cy="2381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22" style="position:absolute;margin-left:-108.18pt;margin-top:0.238404pt;mso-position-vertical-relative:text;mso-position-horizontal-relative:text;width:166.35pt;height:18.75pt;z-index:-251566080;" fillcolor="#DBE5F1" filled="true" stroked="false"/>
                  </w:pict>
                </mc:Fallback>
              </mc:AlternateContent>
            </w:r>
            <w:r>
              <w:rPr>
                <w:rFonts w:ascii="Times New Roman" w:hAnsi="Times New Roman" w:eastAsia="Times New Roman" w:cs="Times New Roman"/>
                <w:sz w:val="18"/>
                <w:szCs w:val="18"/>
                <w:b/>
                <w:bCs/>
                <w:spacing w:val="-3"/>
              </w:rPr>
              <w:t>1,000</w:t>
            </w:r>
          </w:p>
        </w:tc>
        <w:tc>
          <w:tcPr>
            <w:tcW w:w="2718" w:type="dxa"/>
            <w:vAlign w:val="top"/>
            <w:tcBorders>
              <w:bottom w:val="single" w:color="000000" w:sz="2" w:space="0"/>
              <w:top w:val="single" w:color="000000" w:sz="2" w:space="0"/>
            </w:tcBorders>
          </w:tcPr>
          <w:p>
            <w:pPr>
              <w:ind w:left="2279"/>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1,030</w:t>
            </w:r>
          </w:p>
        </w:tc>
      </w:tr>
    </w:tbl>
    <w:p>
      <w:pPr>
        <w:ind w:left="442"/>
        <w:spacing w:before="267"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3"/>
        </w:rPr>
        <w:t>2.</w:t>
      </w:r>
      <w:r>
        <w:rPr>
          <w:rFonts w:ascii="SimSun" w:hAnsi="SimSun" w:eastAsia="SimSun" w:cs="SimSun"/>
          <w:sz w:val="21"/>
          <w:szCs w:val="21"/>
          <w:b/>
          <w:bCs/>
          <w:spacing w:val="-3"/>
        </w:rPr>
        <w:t>负债</w:t>
      </w:r>
    </w:p>
    <w:p>
      <w:pPr>
        <w:ind w:left="22" w:firstLine="421"/>
        <w:spacing w:before="307" w:line="292" w:lineRule="auto"/>
        <w:jc w:val="both"/>
        <w:rPr>
          <w:rFonts w:ascii="SimSun" w:hAnsi="SimSun" w:eastAsia="SimSun" w:cs="SimSun"/>
          <w:sz w:val="21"/>
          <w:szCs w:val="21"/>
        </w:rPr>
      </w:pPr>
      <w:r>
        <w:rPr>
          <w:rFonts w:ascii="SimSun" w:hAnsi="SimSun" w:eastAsia="SimSun" w:cs="SimSun"/>
          <w:sz w:val="21"/>
          <w:szCs w:val="21"/>
          <w:spacing w:val="-1"/>
        </w:rPr>
        <w:t>本集团认真落实银保监会《商业银行负债质量管理办法》要求,</w:t>
      </w:r>
      <w:r>
        <w:rPr>
          <w:rFonts w:ascii="SimSun" w:hAnsi="SimSun" w:eastAsia="SimSun" w:cs="SimSun"/>
          <w:sz w:val="21"/>
          <w:szCs w:val="21"/>
          <w:spacing w:val="28"/>
        </w:rPr>
        <w:t xml:space="preserve"> </w:t>
      </w:r>
      <w:r>
        <w:rPr>
          <w:rFonts w:ascii="SimSun" w:hAnsi="SimSun" w:eastAsia="SimSun" w:cs="SimSun"/>
          <w:sz w:val="21"/>
          <w:szCs w:val="21"/>
          <w:spacing w:val="-1"/>
        </w:rPr>
        <w:t>按照与经</w:t>
      </w:r>
      <w:r>
        <w:rPr>
          <w:rFonts w:ascii="SimSun" w:hAnsi="SimSun" w:eastAsia="SimSun" w:cs="SimSun"/>
          <w:sz w:val="21"/>
          <w:szCs w:val="21"/>
          <w:spacing w:val="-2"/>
        </w:rPr>
        <w:t>营战略、风险偏好和总体业</w:t>
      </w:r>
      <w:r>
        <w:rPr>
          <w:rFonts w:ascii="SimSun" w:hAnsi="SimSun" w:eastAsia="SimSun" w:cs="SimSun"/>
          <w:sz w:val="21"/>
          <w:szCs w:val="21"/>
        </w:rPr>
        <w:t xml:space="preserve"> </w:t>
      </w:r>
      <w:r>
        <w:rPr>
          <w:rFonts w:ascii="SimSun" w:hAnsi="SimSun" w:eastAsia="SimSun" w:cs="SimSun"/>
          <w:sz w:val="21"/>
          <w:szCs w:val="21"/>
        </w:rPr>
        <w:t>务特征相适应的原则, 建立建全与全行负债规模和</w:t>
      </w:r>
      <w:r>
        <w:rPr>
          <w:rFonts w:ascii="SimSun" w:hAnsi="SimSun" w:eastAsia="SimSun" w:cs="SimSun"/>
          <w:sz w:val="21"/>
          <w:szCs w:val="21"/>
          <w:spacing w:val="-1"/>
        </w:rPr>
        <w:t>复杂程度相适应的负债质量管理体系, 持续提高负债质</w:t>
      </w:r>
      <w:r>
        <w:rPr>
          <w:rFonts w:ascii="SimSun" w:hAnsi="SimSun" w:eastAsia="SimSun" w:cs="SimSun"/>
          <w:sz w:val="21"/>
          <w:szCs w:val="21"/>
        </w:rPr>
        <w:t xml:space="preserve"> </w:t>
      </w:r>
      <w:r>
        <w:rPr>
          <w:rFonts w:ascii="SimSun" w:hAnsi="SimSun" w:eastAsia="SimSun" w:cs="SimSun"/>
          <w:sz w:val="21"/>
          <w:szCs w:val="21"/>
          <w:spacing w:val="1"/>
        </w:rPr>
        <w:t>量管理水平。报告期内, 本集团认真落实负债质量"六性"</w:t>
      </w:r>
      <w:r>
        <w:rPr>
          <w:rFonts w:ascii="SimSun" w:hAnsi="SimSun" w:eastAsia="SimSun" w:cs="SimSun"/>
          <w:sz w:val="21"/>
          <w:szCs w:val="21"/>
          <w:spacing w:val="-13"/>
        </w:rPr>
        <w:t xml:space="preserve"> </w:t>
      </w:r>
      <w:r>
        <w:rPr>
          <w:rFonts w:ascii="SimSun" w:hAnsi="SimSun" w:eastAsia="SimSun" w:cs="SimSun"/>
          <w:sz w:val="21"/>
          <w:szCs w:val="21"/>
          <w:spacing w:val="1"/>
        </w:rPr>
        <w:t>管理要求, 着力夯实负债业务发展基础,</w:t>
      </w:r>
      <w:r>
        <w:rPr>
          <w:rFonts w:ascii="SimSun" w:hAnsi="SimSun" w:eastAsia="SimSun" w:cs="SimSun"/>
          <w:sz w:val="21"/>
          <w:szCs w:val="21"/>
          <w:spacing w:val="45"/>
        </w:rPr>
        <w:t xml:space="preserve"> </w:t>
      </w:r>
      <w:r>
        <w:rPr>
          <w:rFonts w:ascii="SimSun" w:hAnsi="SimSun" w:eastAsia="SimSun" w:cs="SimSun"/>
          <w:sz w:val="21"/>
          <w:szCs w:val="21"/>
          <w:spacing w:val="1"/>
        </w:rPr>
        <w:t>同时</w:t>
      </w:r>
      <w:r>
        <w:rPr>
          <w:rFonts w:ascii="SimSun" w:hAnsi="SimSun" w:eastAsia="SimSun" w:cs="SimSun"/>
          <w:sz w:val="21"/>
          <w:szCs w:val="21"/>
        </w:rPr>
        <w:t xml:space="preserve"> </w:t>
      </w:r>
      <w:r>
        <w:rPr>
          <w:rFonts w:ascii="SimSun" w:hAnsi="SimSun" w:eastAsia="SimSun" w:cs="SimSun"/>
          <w:sz w:val="21"/>
          <w:szCs w:val="21"/>
          <w:spacing w:val="3"/>
        </w:rPr>
        <w:t>加强对负债来源、结构、成本的监测、分析与管理,整体负债业务稳健发展。</w:t>
      </w:r>
    </w:p>
    <w:p>
      <w:pPr>
        <w:pStyle w:val="BodyText"/>
        <w:spacing w:line="242" w:lineRule="auto"/>
        <w:rPr/>
      </w:pPr>
      <w:r/>
    </w:p>
    <w:p>
      <w:pPr>
        <w:ind w:left="23" w:right="2" w:firstLine="417"/>
        <w:spacing w:before="68" w:line="293" w:lineRule="auto"/>
        <w:jc w:val="both"/>
        <w:rPr>
          <w:rFonts w:ascii="SimSun" w:hAnsi="SimSun" w:eastAsia="SimSun" w:cs="SimSun"/>
          <w:sz w:val="21"/>
          <w:szCs w:val="21"/>
        </w:rPr>
      </w:pPr>
      <w:r>
        <w:rPr>
          <w:rFonts w:ascii="SimSun" w:hAnsi="SimSun" w:eastAsia="SimSun" w:cs="SimSun"/>
          <w:sz w:val="21"/>
          <w:szCs w:val="21"/>
          <w:spacing w:val="-1"/>
        </w:rPr>
        <w:t>报告期末,</w:t>
      </w:r>
      <w:r>
        <w:rPr>
          <w:rFonts w:ascii="SimSun" w:hAnsi="SimSun" w:eastAsia="SimSun" w:cs="SimSun"/>
          <w:sz w:val="21"/>
          <w:szCs w:val="21"/>
          <w:spacing w:val="30"/>
        </w:rPr>
        <w:t xml:space="preserve"> </w:t>
      </w:r>
      <w:r>
        <w:rPr>
          <w:rFonts w:ascii="SimSun" w:hAnsi="SimSun" w:eastAsia="SimSun" w:cs="SimSun"/>
          <w:sz w:val="21"/>
          <w:szCs w:val="21"/>
          <w:spacing w:val="-1"/>
        </w:rPr>
        <w:t>本集团负债总额</w:t>
      </w:r>
      <w:r>
        <w:rPr>
          <w:rFonts w:ascii="SimSun" w:hAnsi="SimSun" w:eastAsia="SimSun" w:cs="SimSun"/>
          <w:sz w:val="21"/>
          <w:szCs w:val="21"/>
          <w:spacing w:val="-23"/>
        </w:rPr>
        <w:t xml:space="preserve"> </w:t>
      </w:r>
      <w:r>
        <w:rPr>
          <w:rFonts w:ascii="Times New Roman" w:hAnsi="Times New Roman" w:eastAsia="Times New Roman" w:cs="Times New Roman"/>
          <w:sz w:val="21"/>
          <w:szCs w:val="21"/>
          <w:spacing w:val="-1"/>
        </w:rPr>
        <w:t>119,566.79 </w:t>
      </w:r>
      <w:r>
        <w:rPr>
          <w:rFonts w:ascii="SimSun" w:hAnsi="SimSun" w:eastAsia="SimSun" w:cs="SimSun"/>
          <w:sz w:val="21"/>
          <w:szCs w:val="21"/>
          <w:spacing w:val="-1"/>
        </w:rPr>
        <w:t>亿元,较上年末增加</w:t>
      </w:r>
      <w:r>
        <w:rPr>
          <w:rFonts w:ascii="SimSun" w:hAnsi="SimSun" w:eastAsia="SimSun" w:cs="SimSun"/>
          <w:sz w:val="21"/>
          <w:szCs w:val="21"/>
          <w:spacing w:val="-22"/>
        </w:rPr>
        <w:t xml:space="preserve"> </w:t>
      </w:r>
      <w:r>
        <w:rPr>
          <w:rFonts w:ascii="Times New Roman" w:hAnsi="Times New Roman" w:eastAsia="Times New Roman" w:cs="Times New Roman"/>
          <w:sz w:val="21"/>
          <w:szCs w:val="21"/>
          <w:spacing w:val="-1"/>
        </w:rPr>
        <w:t>12,681.58 </w:t>
      </w:r>
      <w:r>
        <w:rPr>
          <w:rFonts w:ascii="SimSun" w:hAnsi="SimSun" w:eastAsia="SimSun" w:cs="SimSun"/>
          <w:sz w:val="21"/>
          <w:szCs w:val="21"/>
          <w:spacing w:val="-1"/>
        </w:rPr>
        <w:t>亿元,</w:t>
      </w:r>
      <w:r>
        <w:rPr>
          <w:rFonts w:ascii="SimSun" w:hAnsi="SimSun" w:eastAsia="SimSun" w:cs="SimSun"/>
          <w:sz w:val="21"/>
          <w:szCs w:val="21"/>
          <w:spacing w:val="30"/>
        </w:rPr>
        <w:t xml:space="preserve"> </w:t>
      </w:r>
      <w:r>
        <w:rPr>
          <w:rFonts w:ascii="SimSun" w:hAnsi="SimSun" w:eastAsia="SimSun" w:cs="SimSun"/>
          <w:sz w:val="21"/>
          <w:szCs w:val="21"/>
          <w:spacing w:val="-1"/>
        </w:rPr>
        <w:t>增幅</w:t>
      </w:r>
      <w:r>
        <w:rPr>
          <w:rFonts w:ascii="SimSun" w:hAnsi="SimSun" w:eastAsia="SimSun" w:cs="SimSun"/>
          <w:sz w:val="21"/>
          <w:szCs w:val="21"/>
          <w:spacing w:val="-23"/>
        </w:rPr>
        <w:t xml:space="preserve"> </w:t>
      </w:r>
      <w:r>
        <w:rPr>
          <w:rFonts w:ascii="Times New Roman" w:hAnsi="Times New Roman" w:eastAsia="Times New Roman" w:cs="Times New Roman"/>
          <w:sz w:val="21"/>
          <w:szCs w:val="21"/>
          <w:spacing w:val="-1"/>
        </w:rPr>
        <w:t>11.</w:t>
      </w:r>
      <w:r>
        <w:rPr>
          <w:rFonts w:ascii="Times New Roman" w:hAnsi="Times New Roman" w:eastAsia="Times New Roman" w:cs="Times New Roman"/>
          <w:sz w:val="21"/>
          <w:szCs w:val="21"/>
          <w:spacing w:val="-2"/>
        </w:rPr>
        <w:t>86%</w:t>
      </w:r>
      <w:r>
        <w:rPr>
          <w:rFonts w:ascii="SimSun" w:hAnsi="SimSun" w:eastAsia="SimSun" w:cs="SimSun"/>
          <w:sz w:val="21"/>
          <w:szCs w:val="21"/>
          <w:spacing w:val="-2"/>
        </w:rPr>
        <w:t>。其中,</w:t>
      </w:r>
      <w:r>
        <w:rPr>
          <w:rFonts w:ascii="SimSun" w:hAnsi="SimSun" w:eastAsia="SimSun" w:cs="SimSun"/>
          <w:sz w:val="21"/>
          <w:szCs w:val="21"/>
          <w:spacing w:val="31"/>
        </w:rPr>
        <w:t xml:space="preserve"> </w:t>
      </w:r>
      <w:r>
        <w:rPr>
          <w:rFonts w:ascii="SimSun" w:hAnsi="SimSun" w:eastAsia="SimSun" w:cs="SimSun"/>
          <w:sz w:val="21"/>
          <w:szCs w:val="21"/>
          <w:spacing w:val="-2"/>
        </w:rPr>
        <w:t>客</w:t>
      </w:r>
      <w:r>
        <w:rPr>
          <w:rFonts w:ascii="SimSun" w:hAnsi="SimSun" w:eastAsia="SimSun" w:cs="SimSun"/>
          <w:sz w:val="21"/>
          <w:szCs w:val="21"/>
        </w:rPr>
        <w:t xml:space="preserve"> </w:t>
      </w:r>
      <w:r>
        <w:rPr>
          <w:rFonts w:ascii="SimSun" w:hAnsi="SimSun" w:eastAsia="SimSun" w:cs="SimSun"/>
          <w:sz w:val="21"/>
          <w:szCs w:val="21"/>
          <w:spacing w:val="-2"/>
        </w:rPr>
        <w:t>户存款较上年末增加</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2"/>
        </w:rPr>
        <w:t>9,092.95 </w:t>
      </w:r>
      <w:r>
        <w:rPr>
          <w:rFonts w:ascii="SimSun" w:hAnsi="SimSun" w:eastAsia="SimSun" w:cs="SimSun"/>
          <w:sz w:val="21"/>
          <w:szCs w:val="21"/>
          <w:spacing w:val="-2"/>
        </w:rPr>
        <w:t>亿元,</w:t>
      </w:r>
      <w:r>
        <w:rPr>
          <w:rFonts w:ascii="SimSun" w:hAnsi="SimSun" w:eastAsia="SimSun" w:cs="SimSun"/>
          <w:sz w:val="21"/>
          <w:szCs w:val="21"/>
          <w:spacing w:val="29"/>
        </w:rPr>
        <w:t xml:space="preserve"> </w:t>
      </w:r>
      <w:r>
        <w:rPr>
          <w:rFonts w:ascii="SimSun" w:hAnsi="SimSun" w:eastAsia="SimSun" w:cs="SimSun"/>
          <w:sz w:val="21"/>
          <w:szCs w:val="21"/>
          <w:spacing w:val="-2"/>
        </w:rPr>
        <w:t>增幅</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2"/>
        </w:rPr>
        <w:t>12.92%</w:t>
      </w:r>
      <w:r>
        <w:rPr>
          <w:rFonts w:ascii="SimSun" w:hAnsi="SimSun" w:eastAsia="SimSun" w:cs="SimSun"/>
          <w:sz w:val="21"/>
          <w:szCs w:val="21"/>
          <w:spacing w:val="-2"/>
        </w:rPr>
        <w:t>,</w:t>
      </w:r>
      <w:r>
        <w:rPr>
          <w:rFonts w:ascii="SimSun" w:hAnsi="SimSun" w:eastAsia="SimSun" w:cs="SimSun"/>
          <w:sz w:val="21"/>
          <w:szCs w:val="21"/>
          <w:spacing w:val="25"/>
        </w:rPr>
        <w:t xml:space="preserve"> </w:t>
      </w:r>
      <w:r>
        <w:rPr>
          <w:rFonts w:ascii="SimSun" w:hAnsi="SimSun" w:eastAsia="SimSun" w:cs="SimSun"/>
          <w:sz w:val="21"/>
          <w:szCs w:val="21"/>
          <w:spacing w:val="-2"/>
        </w:rPr>
        <w:t>在</w:t>
      </w:r>
      <w:r>
        <w:rPr>
          <w:rFonts w:ascii="SimSun" w:hAnsi="SimSun" w:eastAsia="SimSun" w:cs="SimSun"/>
          <w:sz w:val="21"/>
          <w:szCs w:val="21"/>
          <w:spacing w:val="-3"/>
        </w:rPr>
        <w:t>负债总额中占比</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3"/>
        </w:rPr>
        <w:t>66.48%</w:t>
      </w:r>
      <w:r>
        <w:rPr>
          <w:rFonts w:ascii="SimSun" w:hAnsi="SimSun" w:eastAsia="SimSun" w:cs="SimSun"/>
          <w:sz w:val="21"/>
          <w:szCs w:val="21"/>
          <w:spacing w:val="-3"/>
        </w:rPr>
        <w:t>,</w:t>
      </w:r>
      <w:r>
        <w:rPr>
          <w:rFonts w:ascii="SimSun" w:hAnsi="SimSun" w:eastAsia="SimSun" w:cs="SimSun"/>
          <w:sz w:val="21"/>
          <w:szCs w:val="21"/>
          <w:spacing w:val="29"/>
        </w:rPr>
        <w:t xml:space="preserve"> </w:t>
      </w:r>
      <w:r>
        <w:rPr>
          <w:rFonts w:ascii="SimSun" w:hAnsi="SimSun" w:eastAsia="SimSun" w:cs="SimSun"/>
          <w:sz w:val="21"/>
          <w:szCs w:val="21"/>
          <w:spacing w:val="-3"/>
        </w:rPr>
        <w:t>较上年末上升</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3"/>
        </w:rPr>
        <w:t>0.62 </w:t>
      </w:r>
      <w:r>
        <w:rPr>
          <w:rFonts w:ascii="SimSun" w:hAnsi="SimSun" w:eastAsia="SimSun" w:cs="SimSun"/>
          <w:sz w:val="21"/>
          <w:szCs w:val="21"/>
          <w:spacing w:val="-3"/>
        </w:rPr>
        <w:t>个百分</w:t>
      </w:r>
      <w:r>
        <w:rPr>
          <w:rFonts w:ascii="SimSun" w:hAnsi="SimSun" w:eastAsia="SimSun" w:cs="SimSun"/>
          <w:sz w:val="21"/>
          <w:szCs w:val="21"/>
        </w:rPr>
        <w:t xml:space="preserve"> </w:t>
      </w:r>
      <w:r>
        <w:rPr>
          <w:rFonts w:ascii="SimSun" w:hAnsi="SimSun" w:eastAsia="SimSun" w:cs="SimSun"/>
          <w:sz w:val="21"/>
          <w:szCs w:val="21"/>
          <w:spacing w:val="1"/>
        </w:rPr>
        <w:t>点;</w:t>
      </w:r>
      <w:r>
        <w:rPr>
          <w:rFonts w:ascii="SimSun" w:hAnsi="SimSun" w:eastAsia="SimSun" w:cs="SimSun"/>
          <w:sz w:val="21"/>
          <w:szCs w:val="21"/>
          <w:spacing w:val="58"/>
        </w:rPr>
        <w:t xml:space="preserve"> </w:t>
      </w:r>
      <w:r>
        <w:rPr>
          <w:rFonts w:ascii="SimSun" w:hAnsi="SimSun" w:eastAsia="SimSun" w:cs="SimSun"/>
          <w:sz w:val="21"/>
          <w:szCs w:val="21"/>
          <w:spacing w:val="1"/>
        </w:rPr>
        <w:t>同业及其他金融机构存放款项较上年末减少</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1"/>
        </w:rPr>
        <w:t>180.47 </w:t>
      </w:r>
      <w:r>
        <w:rPr>
          <w:rFonts w:ascii="SimSun" w:hAnsi="SimSun" w:eastAsia="SimSun" w:cs="SimSun"/>
          <w:sz w:val="21"/>
          <w:szCs w:val="21"/>
          <w:spacing w:val="1"/>
        </w:rPr>
        <w:t>亿元,降幅</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1"/>
        </w:rPr>
        <w:t>1.65%</w:t>
      </w:r>
      <w:r>
        <w:rPr>
          <w:rFonts w:ascii="SimSun" w:hAnsi="SimSun" w:eastAsia="SimSun" w:cs="SimSun"/>
          <w:sz w:val="21"/>
          <w:szCs w:val="21"/>
          <w:spacing w:val="1"/>
        </w:rPr>
        <w:t>,</w:t>
      </w:r>
      <w:r>
        <w:rPr>
          <w:rFonts w:ascii="SimSun" w:hAnsi="SimSun" w:eastAsia="SimSun" w:cs="SimSun"/>
          <w:sz w:val="21"/>
          <w:szCs w:val="21"/>
          <w:spacing w:val="28"/>
        </w:rPr>
        <w:t xml:space="preserve"> </w:t>
      </w:r>
      <w:r>
        <w:rPr>
          <w:rFonts w:ascii="SimSun" w:hAnsi="SimSun" w:eastAsia="SimSun" w:cs="SimSun"/>
          <w:sz w:val="21"/>
          <w:szCs w:val="21"/>
          <w:spacing w:val="1"/>
        </w:rPr>
        <w:t>在负债总额中占比</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1"/>
        </w:rPr>
        <w:t>9.02%</w:t>
      </w:r>
      <w:r>
        <w:rPr>
          <w:rFonts w:ascii="SimSun" w:hAnsi="SimSun" w:eastAsia="SimSun" w:cs="SimSun"/>
          <w:sz w:val="21"/>
          <w:szCs w:val="21"/>
          <w:spacing w:val="1"/>
        </w:rPr>
        <w:t>,较</w:t>
      </w:r>
      <w:r>
        <w:rPr>
          <w:rFonts w:ascii="SimSun" w:hAnsi="SimSun" w:eastAsia="SimSun" w:cs="SimSun"/>
          <w:sz w:val="21"/>
          <w:szCs w:val="21"/>
        </w:rPr>
        <w:t xml:space="preserve"> </w:t>
      </w:r>
      <w:r>
        <w:rPr>
          <w:rFonts w:ascii="SimSun" w:hAnsi="SimSun" w:eastAsia="SimSun" w:cs="SimSun"/>
          <w:sz w:val="21"/>
          <w:szCs w:val="21"/>
          <w:spacing w:val="-4"/>
        </w:rPr>
        <w:t>上年末下降</w:t>
      </w:r>
      <w:r>
        <w:rPr>
          <w:rFonts w:ascii="SimSun" w:hAnsi="SimSun" w:eastAsia="SimSun" w:cs="SimSun"/>
          <w:sz w:val="21"/>
          <w:szCs w:val="21"/>
          <w:spacing w:val="-16"/>
        </w:rPr>
        <w:t xml:space="preserve"> </w:t>
      </w:r>
      <w:r>
        <w:rPr>
          <w:rFonts w:ascii="Times New Roman" w:hAnsi="Times New Roman" w:eastAsia="Times New Roman" w:cs="Times New Roman"/>
          <w:sz w:val="21"/>
          <w:szCs w:val="21"/>
          <w:spacing w:val="-4"/>
        </w:rPr>
        <w:t>1.24 </w:t>
      </w:r>
      <w:r>
        <w:rPr>
          <w:rFonts w:ascii="SimSun" w:hAnsi="SimSun" w:eastAsia="SimSun" w:cs="SimSun"/>
          <w:sz w:val="21"/>
          <w:szCs w:val="21"/>
          <w:spacing w:val="-4"/>
        </w:rPr>
        <w:t>个百分点。</w:t>
      </w:r>
    </w:p>
    <w:p>
      <w:pPr>
        <w:ind w:left="447"/>
        <w:spacing w:before="307" w:line="221" w:lineRule="auto"/>
        <w:rPr>
          <w:rFonts w:ascii="SimSun" w:hAnsi="SimSun" w:eastAsia="SimSun" w:cs="SimSun"/>
          <w:sz w:val="21"/>
          <w:szCs w:val="21"/>
        </w:rPr>
      </w:pPr>
      <w:r>
        <w:rPr>
          <w:rFonts w:ascii="SimSun" w:hAnsi="SimSun" w:eastAsia="SimSun" w:cs="SimSun"/>
          <w:sz w:val="21"/>
          <w:szCs w:val="21"/>
          <w:b/>
          <w:bCs/>
          <w:spacing w:val="-4"/>
        </w:rPr>
        <w:t>客户存款</w:t>
      </w:r>
    </w:p>
    <w:p>
      <w:pPr>
        <w:ind w:left="22" w:firstLine="422"/>
        <w:spacing w:before="308" w:line="292" w:lineRule="auto"/>
        <w:jc w:val="both"/>
        <w:rPr>
          <w:rFonts w:ascii="SimSun" w:hAnsi="SimSun" w:eastAsia="SimSun" w:cs="SimSun"/>
          <w:sz w:val="21"/>
          <w:szCs w:val="21"/>
        </w:rPr>
      </w:pPr>
      <w:r>
        <w:rPr>
          <w:rFonts w:ascii="SimSun" w:hAnsi="SimSun" w:eastAsia="SimSun" w:cs="SimSun"/>
          <w:sz w:val="21"/>
          <w:szCs w:val="21"/>
          <w:spacing w:val="-2"/>
        </w:rPr>
        <w:t>客户存款是本集团最主要的资金来源。报告期末,</w:t>
      </w:r>
      <w:r>
        <w:rPr>
          <w:rFonts w:ascii="SimSun" w:hAnsi="SimSun" w:eastAsia="SimSun" w:cs="SimSun"/>
          <w:sz w:val="21"/>
          <w:szCs w:val="21"/>
          <w:spacing w:val="44"/>
        </w:rPr>
        <w:t xml:space="preserve"> </w:t>
      </w:r>
      <w:r>
        <w:rPr>
          <w:rFonts w:ascii="SimSun" w:hAnsi="SimSun" w:eastAsia="SimSun" w:cs="SimSun"/>
          <w:sz w:val="21"/>
          <w:szCs w:val="21"/>
          <w:spacing w:val="-2"/>
        </w:rPr>
        <w:t>本集团客户存款余额 </w:t>
      </w:r>
      <w:r>
        <w:rPr>
          <w:rFonts w:ascii="Times New Roman" w:hAnsi="Times New Roman" w:eastAsia="Times New Roman" w:cs="Times New Roman"/>
          <w:sz w:val="21"/>
          <w:szCs w:val="21"/>
          <w:spacing w:val="-2"/>
        </w:rPr>
        <w:t>79,490.72</w:t>
      </w:r>
      <w:r>
        <w:rPr>
          <w:rFonts w:ascii="Times New Roman" w:hAnsi="Times New Roman" w:eastAsia="Times New Roman" w:cs="Times New Roman"/>
          <w:sz w:val="21"/>
          <w:szCs w:val="21"/>
          <w:spacing w:val="51"/>
          <w:w w:val="101"/>
        </w:rPr>
        <w:t xml:space="preserve"> </w:t>
      </w:r>
      <w:r>
        <w:rPr>
          <w:rFonts w:ascii="SimSun" w:hAnsi="SimSun" w:eastAsia="SimSun" w:cs="SimSun"/>
          <w:sz w:val="21"/>
          <w:szCs w:val="21"/>
          <w:spacing w:val="-2"/>
        </w:rPr>
        <w:t>亿元,</w:t>
      </w:r>
      <w:r>
        <w:rPr>
          <w:rFonts w:ascii="SimSun" w:hAnsi="SimSun" w:eastAsia="SimSun" w:cs="SimSun"/>
          <w:sz w:val="21"/>
          <w:szCs w:val="21"/>
          <w:spacing w:val="29"/>
        </w:rPr>
        <w:t xml:space="preserve"> </w:t>
      </w:r>
      <w:r>
        <w:rPr>
          <w:rFonts w:ascii="SimSun" w:hAnsi="SimSun" w:eastAsia="SimSun" w:cs="SimSun"/>
          <w:sz w:val="21"/>
          <w:szCs w:val="21"/>
          <w:spacing w:val="-2"/>
        </w:rPr>
        <w:t>较上年末增</w:t>
      </w:r>
      <w:r>
        <w:rPr>
          <w:rFonts w:ascii="SimSun" w:hAnsi="SimSun" w:eastAsia="SimSun" w:cs="SimSun"/>
          <w:sz w:val="21"/>
          <w:szCs w:val="21"/>
        </w:rPr>
        <w:t xml:space="preserve"> </w:t>
      </w:r>
      <w:r>
        <w:rPr>
          <w:rFonts w:ascii="SimSun" w:hAnsi="SimSun" w:eastAsia="SimSun" w:cs="SimSun"/>
          <w:sz w:val="21"/>
          <w:szCs w:val="21"/>
          <w:spacing w:val="1"/>
        </w:rPr>
        <w:t>加</w:t>
      </w:r>
      <w:r>
        <w:rPr>
          <w:rFonts w:ascii="SimSun" w:hAnsi="SimSun" w:eastAsia="SimSun" w:cs="SimSun"/>
          <w:sz w:val="21"/>
          <w:szCs w:val="21"/>
          <w:spacing w:val="-18"/>
        </w:rPr>
        <w:t xml:space="preserve"> </w:t>
      </w:r>
      <w:r>
        <w:rPr>
          <w:rFonts w:ascii="Times New Roman" w:hAnsi="Times New Roman" w:eastAsia="Times New Roman" w:cs="Times New Roman"/>
          <w:sz w:val="21"/>
          <w:szCs w:val="21"/>
          <w:spacing w:val="1"/>
        </w:rPr>
        <w:t>9,092.95</w:t>
      </w:r>
      <w:r>
        <w:rPr>
          <w:rFonts w:ascii="Times New Roman" w:hAnsi="Times New Roman" w:eastAsia="Times New Roman" w:cs="Times New Roman"/>
          <w:sz w:val="21"/>
          <w:szCs w:val="21"/>
          <w:spacing w:val="23"/>
          <w:w w:val="101"/>
        </w:rPr>
        <w:t xml:space="preserve"> </w:t>
      </w:r>
      <w:r>
        <w:rPr>
          <w:rFonts w:ascii="SimSun" w:hAnsi="SimSun" w:eastAsia="SimSun" w:cs="SimSun"/>
          <w:sz w:val="21"/>
          <w:szCs w:val="21"/>
          <w:spacing w:val="1"/>
        </w:rPr>
        <w:t>亿元,增幅 </w:t>
      </w:r>
      <w:r>
        <w:rPr>
          <w:rFonts w:ascii="Times New Roman" w:hAnsi="Times New Roman" w:eastAsia="Times New Roman" w:cs="Times New Roman"/>
          <w:sz w:val="21"/>
          <w:szCs w:val="21"/>
          <w:spacing w:val="1"/>
        </w:rPr>
        <w:t>12.92%</w:t>
      </w:r>
      <w:r>
        <w:rPr>
          <w:rFonts w:ascii="SimSun" w:hAnsi="SimSun" w:eastAsia="SimSun" w:cs="SimSun"/>
          <w:sz w:val="21"/>
          <w:szCs w:val="21"/>
          <w:spacing w:val="1"/>
        </w:rPr>
        <w:t>。从客户结构上看,</w:t>
      </w:r>
      <w:r>
        <w:rPr>
          <w:rFonts w:ascii="SimSun" w:hAnsi="SimSun" w:eastAsia="SimSun" w:cs="SimSun"/>
          <w:sz w:val="21"/>
          <w:szCs w:val="21"/>
          <w:spacing w:val="35"/>
        </w:rPr>
        <w:t xml:space="preserve"> </w:t>
      </w:r>
      <w:r>
        <w:rPr>
          <w:rFonts w:ascii="SimSun" w:hAnsi="SimSun" w:eastAsia="SimSun" w:cs="SimSun"/>
          <w:sz w:val="21"/>
          <w:szCs w:val="21"/>
          <w:spacing w:val="1"/>
        </w:rPr>
        <w:t>公司存款占比</w:t>
      </w:r>
      <w:r>
        <w:rPr>
          <w:rFonts w:ascii="SimSun" w:hAnsi="SimSun" w:eastAsia="SimSun" w:cs="SimSun"/>
          <w:sz w:val="21"/>
          <w:szCs w:val="21"/>
          <w:spacing w:val="-26"/>
        </w:rPr>
        <w:t xml:space="preserve"> </w:t>
      </w:r>
      <w:r>
        <w:rPr>
          <w:rFonts w:ascii="Times New Roman" w:hAnsi="Times New Roman" w:eastAsia="Times New Roman" w:cs="Times New Roman"/>
          <w:sz w:val="21"/>
          <w:szCs w:val="21"/>
          <w:spacing w:val="1"/>
        </w:rPr>
        <w:t>61.36%</w:t>
      </w:r>
      <w:r>
        <w:rPr>
          <w:rFonts w:ascii="SimSun" w:hAnsi="SimSun" w:eastAsia="SimSun" w:cs="SimSun"/>
          <w:sz w:val="21"/>
          <w:szCs w:val="21"/>
          <w:spacing w:val="1"/>
        </w:rPr>
        <w:t>,较上年末下降</w:t>
      </w:r>
      <w:r>
        <w:rPr>
          <w:rFonts w:ascii="SimSun" w:hAnsi="SimSun" w:eastAsia="SimSun" w:cs="SimSun"/>
          <w:sz w:val="21"/>
          <w:szCs w:val="21"/>
          <w:spacing w:val="-26"/>
        </w:rPr>
        <w:t xml:space="preserve"> </w:t>
      </w:r>
      <w:r>
        <w:rPr>
          <w:rFonts w:ascii="Times New Roman" w:hAnsi="Times New Roman" w:eastAsia="Times New Roman" w:cs="Times New Roman"/>
          <w:sz w:val="21"/>
          <w:szCs w:val="21"/>
          <w:spacing w:val="1"/>
        </w:rPr>
        <w:t>3.27</w:t>
      </w:r>
      <w:r>
        <w:rPr>
          <w:rFonts w:ascii="Times New Roman" w:hAnsi="Times New Roman" w:eastAsia="Times New Roman" w:cs="Times New Roman"/>
          <w:sz w:val="21"/>
          <w:szCs w:val="21"/>
          <w:spacing w:val="25"/>
        </w:rPr>
        <w:t xml:space="preserve"> </w:t>
      </w:r>
      <w:r>
        <w:rPr>
          <w:rFonts w:ascii="SimSun" w:hAnsi="SimSun" w:eastAsia="SimSun" w:cs="SimSun"/>
          <w:sz w:val="21"/>
          <w:szCs w:val="21"/>
          <w:spacing w:val="1"/>
        </w:rPr>
        <w:t>个百分点;</w:t>
      </w:r>
      <w:r>
        <w:rPr>
          <w:rFonts w:ascii="SimSun" w:hAnsi="SimSun" w:eastAsia="SimSun" w:cs="SimSun"/>
          <w:sz w:val="21"/>
          <w:szCs w:val="21"/>
        </w:rPr>
        <w:t xml:space="preserve"> </w:t>
      </w:r>
      <w:r>
        <w:rPr>
          <w:rFonts w:ascii="SimSun" w:hAnsi="SimSun" w:eastAsia="SimSun" w:cs="SimSun"/>
          <w:sz w:val="21"/>
          <w:szCs w:val="21"/>
          <w:spacing w:val="-2"/>
        </w:rPr>
        <w:t>个人存款占比</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2"/>
        </w:rPr>
        <w:t>37.18%</w:t>
      </w:r>
      <w:r>
        <w:rPr>
          <w:rFonts w:ascii="SimSun" w:hAnsi="SimSun" w:eastAsia="SimSun" w:cs="SimSun"/>
          <w:sz w:val="21"/>
          <w:szCs w:val="21"/>
          <w:spacing w:val="-2"/>
        </w:rPr>
        <w:t>,</w:t>
      </w:r>
      <w:r>
        <w:rPr>
          <w:rFonts w:ascii="SimSun" w:hAnsi="SimSun" w:eastAsia="SimSun" w:cs="SimSun"/>
          <w:sz w:val="21"/>
          <w:szCs w:val="21"/>
          <w:spacing w:val="28"/>
        </w:rPr>
        <w:t xml:space="preserve"> </w:t>
      </w:r>
      <w:r>
        <w:rPr>
          <w:rFonts w:ascii="SimSun" w:hAnsi="SimSun" w:eastAsia="SimSun" w:cs="SimSun"/>
          <w:sz w:val="21"/>
          <w:szCs w:val="21"/>
          <w:spacing w:val="-2"/>
        </w:rPr>
        <w:t>较上年末上升</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2"/>
        </w:rPr>
        <w:t>3.05 </w:t>
      </w:r>
      <w:r>
        <w:rPr>
          <w:rFonts w:ascii="SimSun" w:hAnsi="SimSun" w:eastAsia="SimSun" w:cs="SimSun"/>
          <w:sz w:val="21"/>
          <w:szCs w:val="21"/>
          <w:spacing w:val="-2"/>
        </w:rPr>
        <w:t>个百分点。从期限结</w:t>
      </w:r>
      <w:r>
        <w:rPr>
          <w:rFonts w:ascii="SimSun" w:hAnsi="SimSun" w:eastAsia="SimSun" w:cs="SimSun"/>
          <w:sz w:val="21"/>
          <w:szCs w:val="21"/>
          <w:spacing w:val="-3"/>
        </w:rPr>
        <w:t>构上看,</w:t>
      </w:r>
      <w:r>
        <w:rPr>
          <w:rFonts w:ascii="SimSun" w:hAnsi="SimSun" w:eastAsia="SimSun" w:cs="SimSun"/>
          <w:sz w:val="21"/>
          <w:szCs w:val="21"/>
          <w:spacing w:val="32"/>
        </w:rPr>
        <w:t xml:space="preserve"> </w:t>
      </w:r>
      <w:r>
        <w:rPr>
          <w:rFonts w:ascii="SimSun" w:hAnsi="SimSun" w:eastAsia="SimSun" w:cs="SimSun"/>
          <w:sz w:val="21"/>
          <w:szCs w:val="21"/>
          <w:spacing w:val="-3"/>
        </w:rPr>
        <w:t>活期存款占比</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3"/>
        </w:rPr>
        <w:t>36.16%</w:t>
      </w:r>
      <w:r>
        <w:rPr>
          <w:rFonts w:ascii="SimSun" w:hAnsi="SimSun" w:eastAsia="SimSun" w:cs="SimSun"/>
          <w:sz w:val="21"/>
          <w:szCs w:val="21"/>
          <w:spacing w:val="-3"/>
        </w:rPr>
        <w:t>,</w:t>
      </w:r>
      <w:r>
        <w:rPr>
          <w:rFonts w:ascii="SimSun" w:hAnsi="SimSun" w:eastAsia="SimSun" w:cs="SimSun"/>
          <w:sz w:val="21"/>
          <w:szCs w:val="21"/>
          <w:spacing w:val="29"/>
        </w:rPr>
        <w:t xml:space="preserve"> </w:t>
      </w:r>
      <w:r>
        <w:rPr>
          <w:rFonts w:ascii="SimSun" w:hAnsi="SimSun" w:eastAsia="SimSun" w:cs="SimSun"/>
          <w:sz w:val="21"/>
          <w:szCs w:val="21"/>
          <w:spacing w:val="-3"/>
        </w:rPr>
        <w:t>较上年末</w:t>
      </w:r>
      <w:r>
        <w:rPr>
          <w:rFonts w:ascii="SimSun" w:hAnsi="SimSun" w:eastAsia="SimSun" w:cs="SimSun"/>
          <w:sz w:val="21"/>
          <w:szCs w:val="21"/>
        </w:rPr>
        <w:t xml:space="preserve"> </w:t>
      </w:r>
      <w:r>
        <w:rPr>
          <w:rFonts w:ascii="SimSun" w:hAnsi="SimSun" w:eastAsia="SimSun" w:cs="SimSun"/>
          <w:sz w:val="21"/>
          <w:szCs w:val="21"/>
          <w:spacing w:val="4"/>
        </w:rPr>
        <w:t>下降</w:t>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4"/>
        </w:rPr>
        <w:t>5.21 </w:t>
      </w:r>
      <w:r>
        <w:rPr>
          <w:rFonts w:ascii="SimSun" w:hAnsi="SimSun" w:eastAsia="SimSun" w:cs="SimSun"/>
          <w:sz w:val="21"/>
          <w:szCs w:val="21"/>
          <w:spacing w:val="4"/>
        </w:rPr>
        <w:t>个百分点;定期存款占比</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4"/>
        </w:rPr>
        <w:t>62.38%</w:t>
      </w:r>
      <w:r>
        <w:rPr>
          <w:rFonts w:ascii="SimSun" w:hAnsi="SimSun" w:eastAsia="SimSun" w:cs="SimSun"/>
          <w:sz w:val="21"/>
          <w:szCs w:val="21"/>
          <w:spacing w:val="4"/>
        </w:rPr>
        <w:t>,较上年末上升</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4"/>
        </w:rPr>
        <w:t>4.99 </w:t>
      </w:r>
      <w:r>
        <w:rPr>
          <w:rFonts w:ascii="SimSun" w:hAnsi="SimSun" w:eastAsia="SimSun" w:cs="SimSun"/>
          <w:sz w:val="21"/>
          <w:szCs w:val="21"/>
          <w:spacing w:val="4"/>
        </w:rPr>
        <w:t>个百分点。</w:t>
      </w:r>
    </w:p>
    <w:p>
      <w:pPr>
        <w:pStyle w:val="BodyText"/>
        <w:spacing w:line="242" w:lineRule="auto"/>
        <w:rPr/>
      </w:pPr>
      <w:r/>
    </w:p>
    <w:p>
      <w:pPr>
        <w:ind w:left="443"/>
        <w:spacing w:before="69" w:line="221" w:lineRule="auto"/>
        <w:rPr>
          <w:rFonts w:ascii="SimSun" w:hAnsi="SimSun" w:eastAsia="SimSun" w:cs="SimSun"/>
          <w:sz w:val="21"/>
          <w:szCs w:val="21"/>
        </w:rPr>
      </w:pPr>
      <w:r>
        <w:rPr>
          <w:rFonts w:ascii="SimSun" w:hAnsi="SimSun" w:eastAsia="SimSun" w:cs="SimSun"/>
          <w:sz w:val="21"/>
          <w:szCs w:val="21"/>
          <w:spacing w:val="-1"/>
        </w:rPr>
        <w:t>本集团在所示日期客户存款总额及构成情况如下:</w:t>
      </w:r>
    </w:p>
    <w:p>
      <w:pPr>
        <w:pStyle w:val="BodyText"/>
        <w:spacing w:line="275" w:lineRule="auto"/>
        <w:rPr/>
      </w:pPr>
      <w:r/>
    </w:p>
    <w:p>
      <w:pPr>
        <w:ind w:left="7056"/>
        <w:spacing w:before="59" w:line="217" w:lineRule="auto"/>
        <w:rPr>
          <w:rFonts w:ascii="SimSun" w:hAnsi="SimSun" w:eastAsia="SimSun" w:cs="SimSun"/>
          <w:sz w:val="18"/>
          <w:szCs w:val="18"/>
        </w:rPr>
      </w:pPr>
      <w:r>
        <w:rPr>
          <w:rFonts w:ascii="SimSun" w:hAnsi="SimSun" w:eastAsia="SimSun" w:cs="SimSun"/>
          <w:sz w:val="18"/>
          <w:szCs w:val="18"/>
          <w:spacing w:val="6"/>
        </w:rPr>
        <w:t>(除另有标明外,人民币百万元)</w:t>
      </w:r>
    </w:p>
    <w:p>
      <w:pPr>
        <w:spacing w:line="15" w:lineRule="exact"/>
        <w:rPr/>
      </w:pPr>
      <w:r/>
    </w:p>
    <w:tbl>
      <w:tblPr>
        <w:tblStyle w:val="TableNormal"/>
        <w:tblW w:w="9654"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362"/>
        <w:gridCol w:w="1215"/>
        <w:gridCol w:w="1216"/>
        <w:gridCol w:w="1746"/>
        <w:gridCol w:w="870"/>
        <w:gridCol w:w="1562"/>
        <w:gridCol w:w="683"/>
      </w:tblGrid>
      <w:tr>
        <w:trPr>
          <w:trHeight w:val="383" w:hRule="atLeast"/>
        </w:trPr>
        <w:tc>
          <w:tcPr>
            <w:tcW w:w="2362" w:type="dxa"/>
            <w:vAlign w:val="top"/>
            <w:vMerge w:val="restart"/>
            <w:tcBorders>
              <w:bottom w:val="nil"/>
              <w:top w:val="single" w:color="000000" w:sz="2" w:space="0"/>
            </w:tcBorders>
          </w:tcPr>
          <w:p>
            <w:pPr>
              <w:rPr>
                <w:rFonts w:ascii="Arial"/>
                <w:sz w:val="21"/>
              </w:rPr>
            </w:pPr>
            <w:r/>
          </w:p>
        </w:tc>
        <w:tc>
          <w:tcPr>
            <w:shd w:val="clear" w:fill="DBE5F1"/>
            <w:tcW w:w="2431" w:type="dxa"/>
            <w:vAlign w:val="top"/>
            <w:gridSpan w:val="2"/>
            <w:tcBorders>
              <w:bottom w:val="single" w:color="000000" w:sz="2" w:space="0"/>
              <w:top w:val="single" w:color="000000" w:sz="2" w:space="0"/>
            </w:tcBorders>
          </w:tcPr>
          <w:p>
            <w:pPr>
              <w:pStyle w:val="TableText"/>
              <w:ind w:left="475"/>
              <w:spacing w:before="114" w:line="220" w:lineRule="auto"/>
              <w:rPr>
                <w:sz w:val="18"/>
                <w:szCs w:val="18"/>
              </w:rPr>
            </w:pPr>
            <w:r>
              <w:rPr>
                <w:rFonts w:ascii="Times New Roman" w:hAnsi="Times New Roman" w:eastAsia="Times New Roman" w:cs="Times New Roman"/>
                <w:sz w:val="18"/>
                <w:szCs w:val="18"/>
                <w:b/>
                <w:bCs/>
                <w:spacing w:val="-3"/>
              </w:rPr>
              <w:t>2022 </w:t>
            </w:r>
            <w:r>
              <w:rPr>
                <w:sz w:val="18"/>
                <w:szCs w:val="18"/>
                <w:b/>
                <w:bCs/>
                <w:spacing w:val="-3"/>
              </w:rPr>
              <w:t>年</w:t>
            </w:r>
            <w:r>
              <w:rPr>
                <w:sz w:val="18"/>
                <w:szCs w:val="18"/>
                <w:spacing w:val="-33"/>
              </w:rPr>
              <w:t xml:space="preserve"> </w:t>
            </w:r>
            <w:r>
              <w:rPr>
                <w:rFonts w:ascii="Times New Roman" w:hAnsi="Times New Roman" w:eastAsia="Times New Roman" w:cs="Times New Roman"/>
                <w:sz w:val="18"/>
                <w:szCs w:val="18"/>
                <w:b/>
                <w:bCs/>
                <w:spacing w:val="-3"/>
              </w:rPr>
              <w:t>12</w:t>
            </w:r>
            <w:r>
              <w:rPr>
                <w:rFonts w:ascii="Times New Roman" w:hAnsi="Times New Roman" w:eastAsia="Times New Roman" w:cs="Times New Roman"/>
                <w:sz w:val="18"/>
                <w:szCs w:val="18"/>
                <w:b/>
                <w:bCs/>
                <w:spacing w:val="11"/>
                <w:w w:val="101"/>
              </w:rPr>
              <w:t xml:space="preserve"> </w:t>
            </w:r>
            <w:r>
              <w:rPr>
                <w:sz w:val="18"/>
                <w:szCs w:val="18"/>
                <w:b/>
                <w:bCs/>
                <w:spacing w:val="-3"/>
              </w:rPr>
              <w:t>月</w:t>
            </w:r>
            <w:r>
              <w:rPr>
                <w:sz w:val="18"/>
                <w:szCs w:val="18"/>
                <w:spacing w:val="-42"/>
              </w:rPr>
              <w:t xml:space="preserve"> </w:t>
            </w:r>
            <w:r>
              <w:rPr>
                <w:rFonts w:ascii="Times New Roman" w:hAnsi="Times New Roman" w:eastAsia="Times New Roman" w:cs="Times New Roman"/>
                <w:sz w:val="18"/>
                <w:szCs w:val="18"/>
                <w:b/>
                <w:bCs/>
                <w:spacing w:val="-3"/>
              </w:rPr>
              <w:t>31  </w:t>
            </w:r>
            <w:r>
              <w:rPr>
                <w:sz w:val="18"/>
                <w:szCs w:val="18"/>
                <w:b/>
                <w:bCs/>
                <w:spacing w:val="-3"/>
              </w:rPr>
              <w:t>日</w:t>
            </w:r>
          </w:p>
        </w:tc>
        <w:tc>
          <w:tcPr>
            <w:tcW w:w="1746" w:type="dxa"/>
            <w:vAlign w:val="top"/>
            <w:tcBorders>
              <w:bottom w:val="single" w:color="000000" w:sz="2" w:space="0"/>
              <w:top w:val="single" w:color="000000" w:sz="2" w:space="0"/>
            </w:tcBorders>
          </w:tcPr>
          <w:p>
            <w:pPr>
              <w:pStyle w:val="TableText"/>
              <w:ind w:right="6"/>
              <w:spacing w:before="114" w:line="220"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2021</w:t>
            </w:r>
            <w:r>
              <w:rPr>
                <w:rFonts w:ascii="Times New Roman" w:hAnsi="Times New Roman" w:eastAsia="Times New Roman" w:cs="Times New Roman"/>
                <w:sz w:val="18"/>
                <w:szCs w:val="18"/>
                <w:spacing w:val="10"/>
              </w:rPr>
              <w:t xml:space="preserve"> </w:t>
            </w:r>
            <w:r>
              <w:rPr>
                <w:sz w:val="18"/>
                <w:szCs w:val="18"/>
                <w:spacing w:val="-5"/>
              </w:rPr>
              <w:t>年</w:t>
            </w:r>
            <w:r>
              <w:rPr>
                <w:sz w:val="18"/>
                <w:szCs w:val="18"/>
                <w:spacing w:val="-26"/>
              </w:rPr>
              <w:t xml:space="preserve"> </w:t>
            </w:r>
            <w:r>
              <w:rPr>
                <w:rFonts w:ascii="Times New Roman" w:hAnsi="Times New Roman" w:eastAsia="Times New Roman" w:cs="Times New Roman"/>
                <w:sz w:val="18"/>
                <w:szCs w:val="18"/>
                <w:spacing w:val="-5"/>
              </w:rPr>
              <w:t>12</w:t>
            </w:r>
            <w:r>
              <w:rPr>
                <w:rFonts w:ascii="Times New Roman" w:hAnsi="Times New Roman" w:eastAsia="Times New Roman" w:cs="Times New Roman"/>
                <w:sz w:val="18"/>
                <w:szCs w:val="18"/>
                <w:spacing w:val="13"/>
                <w:w w:val="101"/>
              </w:rPr>
              <w:t xml:space="preserve"> </w:t>
            </w:r>
            <w:r>
              <w:rPr>
                <w:sz w:val="18"/>
                <w:szCs w:val="18"/>
                <w:spacing w:val="-5"/>
              </w:rPr>
              <w:t>月</w:t>
            </w:r>
            <w:r>
              <w:rPr>
                <w:sz w:val="18"/>
                <w:szCs w:val="18"/>
                <w:spacing w:val="-37"/>
              </w:rPr>
              <w:t xml:space="preserve"> </w:t>
            </w:r>
            <w:r>
              <w:rPr>
                <w:rFonts w:ascii="Times New Roman" w:hAnsi="Times New Roman" w:eastAsia="Times New Roman" w:cs="Times New Roman"/>
                <w:sz w:val="18"/>
                <w:szCs w:val="18"/>
                <w:spacing w:val="-5"/>
              </w:rPr>
              <w:t>31</w:t>
            </w:r>
          </w:p>
        </w:tc>
        <w:tc>
          <w:tcPr>
            <w:tcW w:w="870" w:type="dxa"/>
            <w:vAlign w:val="top"/>
            <w:tcBorders>
              <w:bottom w:val="single" w:color="000000" w:sz="2" w:space="0"/>
              <w:top w:val="single" w:color="000000" w:sz="2" w:space="0"/>
            </w:tcBorders>
          </w:tcPr>
          <w:p>
            <w:pPr>
              <w:pStyle w:val="TableText"/>
              <w:ind w:left="73"/>
              <w:spacing w:before="114" w:line="225" w:lineRule="auto"/>
              <w:rPr>
                <w:sz w:val="18"/>
                <w:szCs w:val="18"/>
              </w:rPr>
            </w:pPr>
            <w:r>
              <w:rPr>
                <w:sz w:val="18"/>
                <w:szCs w:val="18"/>
              </w:rPr>
              <w:t>日</w:t>
            </w:r>
          </w:p>
        </w:tc>
        <w:tc>
          <w:tcPr>
            <w:tcW w:w="1562" w:type="dxa"/>
            <w:vAlign w:val="top"/>
            <w:tcBorders>
              <w:bottom w:val="single" w:color="000000" w:sz="2" w:space="0"/>
              <w:top w:val="single" w:color="000000" w:sz="2" w:space="0"/>
            </w:tcBorders>
          </w:tcPr>
          <w:p>
            <w:pPr>
              <w:pStyle w:val="TableText"/>
              <w:ind w:right="9"/>
              <w:spacing w:before="114" w:line="220"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2020</w:t>
            </w:r>
            <w:r>
              <w:rPr>
                <w:rFonts w:ascii="Times New Roman" w:hAnsi="Times New Roman" w:eastAsia="Times New Roman" w:cs="Times New Roman"/>
                <w:sz w:val="18"/>
                <w:szCs w:val="18"/>
                <w:spacing w:val="10"/>
              </w:rPr>
              <w:t xml:space="preserve"> </w:t>
            </w:r>
            <w:r>
              <w:rPr>
                <w:sz w:val="18"/>
                <w:szCs w:val="18"/>
                <w:spacing w:val="-5"/>
              </w:rPr>
              <w:t>年</w:t>
            </w:r>
            <w:r>
              <w:rPr>
                <w:sz w:val="18"/>
                <w:szCs w:val="18"/>
                <w:spacing w:val="-25"/>
              </w:rPr>
              <w:t xml:space="preserve"> </w:t>
            </w:r>
            <w:r>
              <w:rPr>
                <w:rFonts w:ascii="Times New Roman" w:hAnsi="Times New Roman" w:eastAsia="Times New Roman" w:cs="Times New Roman"/>
                <w:sz w:val="18"/>
                <w:szCs w:val="18"/>
                <w:spacing w:val="-5"/>
              </w:rPr>
              <w:t>12</w:t>
            </w:r>
            <w:r>
              <w:rPr>
                <w:rFonts w:ascii="Times New Roman" w:hAnsi="Times New Roman" w:eastAsia="Times New Roman" w:cs="Times New Roman"/>
                <w:sz w:val="18"/>
                <w:szCs w:val="18"/>
                <w:spacing w:val="13"/>
              </w:rPr>
              <w:t xml:space="preserve"> </w:t>
            </w:r>
            <w:r>
              <w:rPr>
                <w:sz w:val="18"/>
                <w:szCs w:val="18"/>
                <w:spacing w:val="-5"/>
              </w:rPr>
              <w:t>月</w:t>
            </w:r>
            <w:r>
              <w:rPr>
                <w:sz w:val="18"/>
                <w:szCs w:val="18"/>
                <w:spacing w:val="-37"/>
              </w:rPr>
              <w:t xml:space="preserve"> </w:t>
            </w:r>
            <w:r>
              <w:rPr>
                <w:rFonts w:ascii="Times New Roman" w:hAnsi="Times New Roman" w:eastAsia="Times New Roman" w:cs="Times New Roman"/>
                <w:sz w:val="18"/>
                <w:szCs w:val="18"/>
                <w:spacing w:val="-5"/>
              </w:rPr>
              <w:t>31</w:t>
            </w:r>
          </w:p>
        </w:tc>
        <w:tc>
          <w:tcPr>
            <w:tcW w:w="683" w:type="dxa"/>
            <w:vAlign w:val="top"/>
            <w:tcBorders>
              <w:bottom w:val="single" w:color="000000" w:sz="2" w:space="0"/>
              <w:top w:val="single" w:color="000000" w:sz="2" w:space="0"/>
            </w:tcBorders>
          </w:tcPr>
          <w:p>
            <w:pPr>
              <w:pStyle w:val="TableText"/>
              <w:ind w:left="71"/>
              <w:spacing w:before="114" w:line="225" w:lineRule="auto"/>
              <w:rPr>
                <w:sz w:val="18"/>
                <w:szCs w:val="18"/>
              </w:rPr>
            </w:pPr>
            <w:r>
              <w:rPr>
                <w:sz w:val="18"/>
                <w:szCs w:val="18"/>
              </w:rPr>
              <w:t>日</w:t>
            </w:r>
          </w:p>
        </w:tc>
      </w:tr>
      <w:tr>
        <w:trPr>
          <w:trHeight w:val="378" w:hRule="atLeast"/>
        </w:trPr>
        <w:tc>
          <w:tcPr>
            <w:tcW w:w="2362" w:type="dxa"/>
            <w:vAlign w:val="top"/>
            <w:vMerge w:val="continue"/>
            <w:tcBorders>
              <w:bottom w:val="single" w:color="000000" w:sz="2" w:space="0"/>
              <w:top w:val="nil"/>
            </w:tcBorders>
          </w:tcPr>
          <w:p>
            <w:pPr>
              <w:rPr>
                <w:rFonts w:ascii="Arial"/>
                <w:sz w:val="21"/>
              </w:rPr>
            </w:pPr>
            <w:r/>
          </w:p>
        </w:tc>
        <w:tc>
          <w:tcPr>
            <w:shd w:val="clear" w:fill="DBE5F1"/>
            <w:tcW w:w="2431" w:type="dxa"/>
            <w:vAlign w:val="top"/>
            <w:gridSpan w:val="2"/>
            <w:tcBorders>
              <w:bottom w:val="single" w:color="000000" w:sz="2" w:space="0"/>
              <w:top w:val="single" w:color="000000" w:sz="2" w:space="0"/>
            </w:tcBorders>
          </w:tcPr>
          <w:p>
            <w:pPr>
              <w:pStyle w:val="TableText"/>
              <w:ind w:left="802"/>
              <w:spacing w:before="109" w:line="212" w:lineRule="auto"/>
              <w:rPr>
                <w:rFonts w:ascii="Times New Roman" w:hAnsi="Times New Roman" w:eastAsia="Times New Roman" w:cs="Times New Roman"/>
                <w:sz w:val="18"/>
                <w:szCs w:val="18"/>
              </w:rPr>
            </w:pPr>
            <w:r>
              <w:rPr>
                <w:sz w:val="18"/>
                <w:szCs w:val="18"/>
                <w:b/>
                <w:bCs/>
                <w:spacing w:val="-7"/>
              </w:rPr>
              <w:t>余额</w:t>
            </w:r>
            <w:r>
              <w:rPr>
                <w:sz w:val="18"/>
                <w:szCs w:val="18"/>
                <w:spacing w:val="8"/>
              </w:rPr>
              <w:t xml:space="preserve">      </w:t>
            </w:r>
            <w:r>
              <w:rPr>
                <w:sz w:val="18"/>
                <w:szCs w:val="18"/>
                <w:b/>
                <w:bCs/>
                <w:spacing w:val="-7"/>
              </w:rPr>
              <w:t>占比</w:t>
            </w:r>
            <w:r>
              <w:rPr>
                <w:rFonts w:ascii="Times New Roman" w:hAnsi="Times New Roman" w:eastAsia="Times New Roman" w:cs="Times New Roman"/>
                <w:sz w:val="18"/>
                <w:szCs w:val="18"/>
                <w:b/>
                <w:bCs/>
                <w:spacing w:val="-7"/>
              </w:rPr>
              <w:t>(%)</w:t>
            </w:r>
          </w:p>
        </w:tc>
        <w:tc>
          <w:tcPr>
            <w:tcW w:w="1746" w:type="dxa"/>
            <w:vAlign w:val="top"/>
            <w:tcBorders>
              <w:bottom w:val="single" w:color="000000" w:sz="2" w:space="0"/>
              <w:top w:val="single" w:color="000000" w:sz="2" w:space="0"/>
            </w:tcBorders>
          </w:tcPr>
          <w:p>
            <w:pPr>
              <w:pStyle w:val="TableText"/>
              <w:ind w:left="808"/>
              <w:spacing w:before="110" w:line="220" w:lineRule="auto"/>
              <w:rPr>
                <w:sz w:val="18"/>
                <w:szCs w:val="18"/>
              </w:rPr>
            </w:pPr>
            <w:r>
              <w:rPr>
                <w:sz w:val="18"/>
                <w:szCs w:val="18"/>
                <w:spacing w:val="-2"/>
              </w:rPr>
              <w:t>余额</w:t>
            </w:r>
          </w:p>
        </w:tc>
        <w:tc>
          <w:tcPr>
            <w:tcW w:w="870" w:type="dxa"/>
            <w:vAlign w:val="top"/>
            <w:tcBorders>
              <w:bottom w:val="single" w:color="000000" w:sz="2" w:space="0"/>
              <w:top w:val="single" w:color="000000" w:sz="2" w:space="0"/>
            </w:tcBorders>
          </w:tcPr>
          <w:p>
            <w:pPr>
              <w:pStyle w:val="TableText"/>
              <w:ind w:left="34"/>
              <w:spacing w:before="83" w:line="250" w:lineRule="exact"/>
              <w:rPr>
                <w:rFonts w:ascii="Times New Roman" w:hAnsi="Times New Roman" w:eastAsia="Times New Roman" w:cs="Times New Roman"/>
                <w:sz w:val="18"/>
                <w:szCs w:val="18"/>
              </w:rPr>
            </w:pPr>
            <w:r>
              <w:rPr>
                <w:sz w:val="18"/>
                <w:szCs w:val="18"/>
                <w:spacing w:val="-8"/>
                <w:position w:val="2"/>
              </w:rPr>
              <w:t>占比</w:t>
            </w:r>
            <w:r>
              <w:rPr>
                <w:rFonts w:ascii="Times New Roman" w:hAnsi="Times New Roman" w:eastAsia="Times New Roman" w:cs="Times New Roman"/>
                <w:sz w:val="18"/>
                <w:szCs w:val="18"/>
                <w:spacing w:val="-8"/>
                <w:position w:val="2"/>
              </w:rPr>
              <w:t>(%)</w:t>
            </w:r>
          </w:p>
        </w:tc>
        <w:tc>
          <w:tcPr>
            <w:tcW w:w="1562" w:type="dxa"/>
            <w:vAlign w:val="top"/>
            <w:tcBorders>
              <w:bottom w:val="single" w:color="000000" w:sz="2" w:space="0"/>
              <w:top w:val="single" w:color="000000" w:sz="2" w:space="0"/>
            </w:tcBorders>
          </w:tcPr>
          <w:p>
            <w:pPr>
              <w:pStyle w:val="TableText"/>
              <w:ind w:left="619"/>
              <w:spacing w:before="110" w:line="220" w:lineRule="auto"/>
              <w:rPr>
                <w:sz w:val="18"/>
                <w:szCs w:val="18"/>
              </w:rPr>
            </w:pPr>
            <w:r>
              <w:rPr>
                <w:sz w:val="18"/>
                <w:szCs w:val="18"/>
                <w:spacing w:val="-2"/>
              </w:rPr>
              <w:t>余额</w:t>
            </w:r>
          </w:p>
        </w:tc>
        <w:tc>
          <w:tcPr>
            <w:tcW w:w="683" w:type="dxa"/>
            <w:vAlign w:val="top"/>
            <w:tcBorders>
              <w:bottom w:val="single" w:color="000000" w:sz="2" w:space="0"/>
              <w:top w:val="single" w:color="000000" w:sz="2" w:space="0"/>
            </w:tcBorders>
          </w:tcPr>
          <w:p>
            <w:pPr>
              <w:pStyle w:val="TableText"/>
              <w:ind w:left="36"/>
              <w:spacing w:before="83" w:line="250" w:lineRule="exact"/>
              <w:rPr>
                <w:rFonts w:ascii="Times New Roman" w:hAnsi="Times New Roman" w:eastAsia="Times New Roman" w:cs="Times New Roman"/>
                <w:sz w:val="18"/>
                <w:szCs w:val="18"/>
              </w:rPr>
            </w:pPr>
            <w:r>
              <w:rPr>
                <w:sz w:val="18"/>
                <w:szCs w:val="18"/>
                <w:spacing w:val="-8"/>
                <w:position w:val="2"/>
              </w:rPr>
              <w:t>占比</w:t>
            </w:r>
            <w:r>
              <w:rPr>
                <w:rFonts w:ascii="Times New Roman" w:hAnsi="Times New Roman" w:eastAsia="Times New Roman" w:cs="Times New Roman"/>
                <w:sz w:val="18"/>
                <w:szCs w:val="18"/>
                <w:spacing w:val="-8"/>
                <w:position w:val="2"/>
              </w:rPr>
              <w:t>(%)</w:t>
            </w:r>
          </w:p>
        </w:tc>
      </w:tr>
      <w:tr>
        <w:trPr>
          <w:trHeight w:val="378" w:hRule="atLeast"/>
        </w:trPr>
        <w:tc>
          <w:tcPr>
            <w:tcW w:w="2362" w:type="dxa"/>
            <w:vAlign w:val="top"/>
            <w:tcBorders>
              <w:bottom w:val="single" w:color="000000" w:sz="2" w:space="0"/>
              <w:top w:val="single" w:color="000000" w:sz="2" w:space="0"/>
            </w:tcBorders>
          </w:tcPr>
          <w:p>
            <w:pPr>
              <w:pStyle w:val="TableText"/>
              <w:ind w:left="84"/>
              <w:spacing w:before="111" w:line="220" w:lineRule="auto"/>
              <w:rPr>
                <w:sz w:val="18"/>
                <w:szCs w:val="18"/>
              </w:rPr>
            </w:pPr>
            <w:r>
              <w:rPr>
                <w:sz w:val="18"/>
                <w:szCs w:val="18"/>
                <w:b/>
                <w:bCs/>
                <w:spacing w:val="-5"/>
              </w:rPr>
              <w:t>公司存款</w:t>
            </w:r>
          </w:p>
        </w:tc>
        <w:tc>
          <w:tcPr>
            <w:shd w:val="clear" w:fill="DBE5F1"/>
            <w:tcW w:w="1215" w:type="dxa"/>
            <w:vAlign w:val="top"/>
            <w:tcBorders>
              <w:bottom w:val="single" w:color="000000" w:sz="2" w:space="0"/>
              <w:top w:val="single" w:color="000000" w:sz="2" w:space="0"/>
            </w:tcBorders>
          </w:tcPr>
          <w:p>
            <w:pPr>
              <w:ind w:left="441"/>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4,877,033</w:t>
            </w:r>
          </w:p>
        </w:tc>
        <w:tc>
          <w:tcPr>
            <w:shd w:val="clear" w:fill="DBE5F1"/>
            <w:tcW w:w="1216" w:type="dxa"/>
            <w:vAlign w:val="top"/>
            <w:tcBorders>
              <w:bottom w:val="single" w:color="000000" w:sz="2" w:space="0"/>
              <w:top w:val="single" w:color="000000" w:sz="2" w:space="0"/>
            </w:tcBorders>
          </w:tcPr>
          <w:p>
            <w:pPr>
              <w:ind w:left="757"/>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61.36</w:t>
            </w:r>
          </w:p>
        </w:tc>
        <w:tc>
          <w:tcPr>
            <w:tcW w:w="1746" w:type="dxa"/>
            <w:vAlign w:val="top"/>
            <w:tcBorders>
              <w:bottom w:val="single" w:color="000000" w:sz="2" w:space="0"/>
              <w:top w:val="single" w:color="000000" w:sz="2" w:space="0"/>
            </w:tcBorders>
          </w:tcPr>
          <w:p>
            <w:pPr>
              <w:ind w:left="443"/>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4,550,020</w:t>
            </w:r>
          </w:p>
        </w:tc>
        <w:tc>
          <w:tcPr>
            <w:tcW w:w="870" w:type="dxa"/>
            <w:vAlign w:val="top"/>
            <w:tcBorders>
              <w:bottom w:val="single" w:color="000000" w:sz="2" w:space="0"/>
              <w:top w:val="single" w:color="000000" w:sz="2" w:space="0"/>
            </w:tcBorders>
          </w:tcPr>
          <w:p>
            <w:pPr>
              <w:ind w:left="228"/>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64.63</w:t>
            </w:r>
          </w:p>
        </w:tc>
        <w:tc>
          <w:tcPr>
            <w:tcW w:w="1562" w:type="dxa"/>
            <w:vAlign w:val="top"/>
            <w:tcBorders>
              <w:bottom w:val="single" w:color="000000" w:sz="2" w:space="0"/>
              <w:top w:val="single" w:color="000000" w:sz="2" w:space="0"/>
            </w:tcBorders>
          </w:tcPr>
          <w:p>
            <w:pPr>
              <w:ind w:left="253"/>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4,341,524</w:t>
            </w:r>
          </w:p>
        </w:tc>
        <w:tc>
          <w:tcPr>
            <w:tcW w:w="683" w:type="dxa"/>
            <w:vAlign w:val="top"/>
            <w:tcBorders>
              <w:bottom w:val="single" w:color="000000" w:sz="2" w:space="0"/>
              <w:top w:val="single" w:color="000000" w:sz="2" w:space="0"/>
            </w:tcBorders>
          </w:tcPr>
          <w:p>
            <w:pPr>
              <w:ind w:left="230"/>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65.71</w:t>
            </w:r>
          </w:p>
        </w:tc>
      </w:tr>
      <w:tr>
        <w:trPr>
          <w:trHeight w:val="378" w:hRule="atLeast"/>
        </w:trPr>
        <w:tc>
          <w:tcPr>
            <w:tcW w:w="2362" w:type="dxa"/>
            <w:vAlign w:val="top"/>
            <w:tcBorders>
              <w:bottom w:val="single" w:color="000000" w:sz="2" w:space="0"/>
              <w:top w:val="single" w:color="000000" w:sz="2" w:space="0"/>
            </w:tcBorders>
          </w:tcPr>
          <w:p>
            <w:pPr>
              <w:pStyle w:val="TableText"/>
              <w:ind w:left="77"/>
              <w:spacing w:before="111" w:line="221" w:lineRule="auto"/>
              <w:rPr>
                <w:sz w:val="18"/>
                <w:szCs w:val="18"/>
              </w:rPr>
            </w:pPr>
            <w:r>
              <w:rPr>
                <w:sz w:val="18"/>
                <w:szCs w:val="18"/>
                <w:spacing w:val="29"/>
              </w:rPr>
              <w:t>-活期</w:t>
            </w:r>
          </w:p>
        </w:tc>
        <w:tc>
          <w:tcPr>
            <w:shd w:val="clear" w:fill="DBE5F1"/>
            <w:tcW w:w="1215" w:type="dxa"/>
            <w:vAlign w:val="top"/>
            <w:tcBorders>
              <w:bottom w:val="single" w:color="000000" w:sz="2" w:space="0"/>
              <w:top w:val="single" w:color="000000" w:sz="2" w:space="0"/>
            </w:tcBorders>
          </w:tcPr>
          <w:p>
            <w:pPr>
              <w:ind w:left="449"/>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1,989,383</w:t>
            </w:r>
          </w:p>
        </w:tc>
        <w:tc>
          <w:tcPr>
            <w:shd w:val="clear" w:fill="DBE5F1"/>
            <w:tcW w:w="1216" w:type="dxa"/>
            <w:vAlign w:val="top"/>
            <w:tcBorders>
              <w:bottom w:val="single" w:color="000000" w:sz="2" w:space="0"/>
              <w:top w:val="single" w:color="000000" w:sz="2" w:space="0"/>
            </w:tcBorders>
          </w:tcPr>
          <w:p>
            <w:pPr>
              <w:ind w:left="755"/>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25.03</w:t>
            </w:r>
          </w:p>
        </w:tc>
        <w:tc>
          <w:tcPr>
            <w:tcW w:w="1746" w:type="dxa"/>
            <w:vAlign w:val="top"/>
            <w:tcBorders>
              <w:bottom w:val="single" w:color="000000" w:sz="2" w:space="0"/>
              <w:top w:val="single" w:color="000000" w:sz="2" w:space="0"/>
            </w:tcBorders>
          </w:tcPr>
          <w:p>
            <w:pPr>
              <w:ind w:left="444"/>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2,061,672</w:t>
            </w:r>
          </w:p>
        </w:tc>
        <w:tc>
          <w:tcPr>
            <w:tcW w:w="870" w:type="dxa"/>
            <w:vAlign w:val="top"/>
            <w:tcBorders>
              <w:bottom w:val="single" w:color="000000" w:sz="2" w:space="0"/>
              <w:top w:val="single" w:color="000000" w:sz="2" w:space="0"/>
            </w:tcBorders>
          </w:tcPr>
          <w:p>
            <w:pPr>
              <w:ind w:left="224"/>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29.28</w:t>
            </w:r>
          </w:p>
        </w:tc>
        <w:tc>
          <w:tcPr>
            <w:tcW w:w="1562" w:type="dxa"/>
            <w:vAlign w:val="top"/>
            <w:tcBorders>
              <w:bottom w:val="single" w:color="000000" w:sz="2" w:space="0"/>
              <w:top w:val="single" w:color="000000" w:sz="2" w:space="0"/>
            </w:tcBorders>
          </w:tcPr>
          <w:p>
            <w:pPr>
              <w:ind w:left="252"/>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2,005,934</w:t>
            </w:r>
          </w:p>
        </w:tc>
        <w:tc>
          <w:tcPr>
            <w:tcW w:w="683" w:type="dxa"/>
            <w:vAlign w:val="top"/>
            <w:tcBorders>
              <w:bottom w:val="single" w:color="000000" w:sz="2" w:space="0"/>
              <w:top w:val="single" w:color="000000" w:sz="2" w:space="0"/>
            </w:tcBorders>
          </w:tcPr>
          <w:p>
            <w:pPr>
              <w:ind w:left="230"/>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30.36</w:t>
            </w:r>
          </w:p>
        </w:tc>
      </w:tr>
      <w:tr>
        <w:trPr>
          <w:trHeight w:val="378" w:hRule="atLeast"/>
        </w:trPr>
        <w:tc>
          <w:tcPr>
            <w:tcW w:w="2362" w:type="dxa"/>
            <w:vAlign w:val="top"/>
            <w:tcBorders>
              <w:bottom w:val="single" w:color="000000" w:sz="2" w:space="0"/>
              <w:top w:val="single" w:color="000000" w:sz="2" w:space="0"/>
            </w:tcBorders>
          </w:tcPr>
          <w:p>
            <w:pPr>
              <w:pStyle w:val="TableText"/>
              <w:ind w:left="77"/>
              <w:spacing w:before="113" w:line="221" w:lineRule="auto"/>
              <w:rPr>
                <w:sz w:val="18"/>
                <w:szCs w:val="18"/>
              </w:rPr>
            </w:pPr>
            <w:r>
              <w:rPr>
                <w:sz w:val="18"/>
                <w:szCs w:val="18"/>
                <w:spacing w:val="30"/>
              </w:rPr>
              <w:t>-定期</w:t>
            </w:r>
          </w:p>
        </w:tc>
        <w:tc>
          <w:tcPr>
            <w:shd w:val="clear" w:fill="DBE5F1"/>
            <w:tcW w:w="1215" w:type="dxa"/>
            <w:vAlign w:val="top"/>
            <w:tcBorders>
              <w:bottom w:val="single" w:color="000000" w:sz="2" w:space="0"/>
              <w:top w:val="single" w:color="000000" w:sz="2" w:space="0"/>
            </w:tcBorders>
          </w:tcPr>
          <w:p>
            <w:pPr>
              <w:ind w:left="441"/>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2,887,650</w:t>
            </w:r>
          </w:p>
        </w:tc>
        <w:tc>
          <w:tcPr>
            <w:shd w:val="clear" w:fill="DBE5F1"/>
            <w:tcW w:w="1216" w:type="dxa"/>
            <w:vAlign w:val="top"/>
            <w:tcBorders>
              <w:bottom w:val="single" w:color="000000" w:sz="2" w:space="0"/>
              <w:top w:val="single" w:color="000000" w:sz="2" w:space="0"/>
            </w:tcBorders>
          </w:tcPr>
          <w:p>
            <w:pPr>
              <w:ind w:left="754"/>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36.33</w:t>
            </w:r>
          </w:p>
        </w:tc>
        <w:tc>
          <w:tcPr>
            <w:tcW w:w="1746" w:type="dxa"/>
            <w:vAlign w:val="top"/>
            <w:tcBorders>
              <w:bottom w:val="single" w:color="000000" w:sz="2" w:space="0"/>
              <w:top w:val="single" w:color="000000" w:sz="2" w:space="0"/>
            </w:tcBorders>
          </w:tcPr>
          <w:p>
            <w:pPr>
              <w:ind w:left="444"/>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2,488,348</w:t>
            </w:r>
          </w:p>
        </w:tc>
        <w:tc>
          <w:tcPr>
            <w:tcW w:w="870" w:type="dxa"/>
            <w:vAlign w:val="top"/>
            <w:tcBorders>
              <w:bottom w:val="single" w:color="000000" w:sz="2" w:space="0"/>
              <w:top w:val="single" w:color="000000" w:sz="2" w:space="0"/>
            </w:tcBorders>
          </w:tcPr>
          <w:p>
            <w:pPr>
              <w:ind w:left="228"/>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35.35</w:t>
            </w:r>
          </w:p>
        </w:tc>
        <w:tc>
          <w:tcPr>
            <w:tcW w:w="1562" w:type="dxa"/>
            <w:vAlign w:val="top"/>
            <w:tcBorders>
              <w:bottom w:val="single" w:color="000000" w:sz="2" w:space="0"/>
              <w:top w:val="single" w:color="000000" w:sz="2" w:space="0"/>
            </w:tcBorders>
          </w:tcPr>
          <w:p>
            <w:pPr>
              <w:ind w:left="252"/>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2,335,590</w:t>
            </w:r>
          </w:p>
        </w:tc>
        <w:tc>
          <w:tcPr>
            <w:tcW w:w="683" w:type="dxa"/>
            <w:vAlign w:val="top"/>
            <w:tcBorders>
              <w:bottom w:val="single" w:color="000000" w:sz="2" w:space="0"/>
              <w:top w:val="single" w:color="000000" w:sz="2" w:space="0"/>
            </w:tcBorders>
          </w:tcPr>
          <w:p>
            <w:pPr>
              <w:ind w:left="230"/>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35.35</w:t>
            </w:r>
          </w:p>
        </w:tc>
      </w:tr>
      <w:tr>
        <w:trPr>
          <w:trHeight w:val="383" w:hRule="atLeast"/>
        </w:trPr>
        <w:tc>
          <w:tcPr>
            <w:tcW w:w="2362" w:type="dxa"/>
            <w:vAlign w:val="top"/>
            <w:tcBorders>
              <w:bottom w:val="single" w:color="000000" w:sz="2" w:space="0"/>
              <w:top w:val="single" w:color="000000" w:sz="2" w:space="0"/>
            </w:tcBorders>
          </w:tcPr>
          <w:p>
            <w:pPr>
              <w:pStyle w:val="TableText"/>
              <w:ind w:left="79"/>
              <w:spacing w:before="114" w:line="220" w:lineRule="auto"/>
              <w:rPr>
                <w:sz w:val="18"/>
                <w:szCs w:val="18"/>
              </w:rPr>
            </w:pPr>
            <w:r>
              <w:rPr>
                <w:sz w:val="18"/>
                <w:szCs w:val="18"/>
                <w:b/>
                <w:bCs/>
                <w:spacing w:val="-4"/>
              </w:rPr>
              <w:t>个人存款</w:t>
            </w:r>
          </w:p>
        </w:tc>
        <w:tc>
          <w:tcPr>
            <w:shd w:val="clear" w:fill="DBE5F1"/>
            <w:tcW w:w="1215" w:type="dxa"/>
            <w:vAlign w:val="top"/>
            <w:tcBorders>
              <w:bottom w:val="single" w:color="000000" w:sz="2" w:space="0"/>
              <w:top w:val="single" w:color="000000" w:sz="2" w:space="0"/>
            </w:tcBorders>
          </w:tcPr>
          <w:p>
            <w:pPr>
              <w:ind w:left="441"/>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2,955,724</w:t>
            </w:r>
          </w:p>
        </w:tc>
        <w:tc>
          <w:tcPr>
            <w:shd w:val="clear" w:fill="DBE5F1"/>
            <w:tcW w:w="1216" w:type="dxa"/>
            <w:vAlign w:val="top"/>
            <w:tcBorders>
              <w:bottom w:val="single" w:color="000000" w:sz="2" w:space="0"/>
              <w:top w:val="single" w:color="000000" w:sz="2" w:space="0"/>
            </w:tcBorders>
          </w:tcPr>
          <w:p>
            <w:pPr>
              <w:ind w:left="754"/>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37.18</w:t>
            </w:r>
          </w:p>
        </w:tc>
        <w:tc>
          <w:tcPr>
            <w:tcW w:w="1746" w:type="dxa"/>
            <w:vAlign w:val="top"/>
            <w:tcBorders>
              <w:bottom w:val="single" w:color="000000" w:sz="2" w:space="0"/>
              <w:top w:val="single" w:color="000000" w:sz="2" w:space="0"/>
            </w:tcBorders>
          </w:tcPr>
          <w:p>
            <w:pPr>
              <w:ind w:left="444"/>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2,402,812</w:t>
            </w:r>
          </w:p>
        </w:tc>
        <w:tc>
          <w:tcPr>
            <w:tcW w:w="870" w:type="dxa"/>
            <w:vAlign w:val="top"/>
            <w:tcBorders>
              <w:bottom w:val="single" w:color="000000" w:sz="2" w:space="0"/>
              <w:top w:val="single" w:color="000000" w:sz="2" w:space="0"/>
            </w:tcBorders>
          </w:tcPr>
          <w:p>
            <w:pPr>
              <w:ind w:left="228"/>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34.13</w:t>
            </w:r>
          </w:p>
        </w:tc>
        <w:tc>
          <w:tcPr>
            <w:tcW w:w="1562" w:type="dxa"/>
            <w:vAlign w:val="top"/>
            <w:tcBorders>
              <w:bottom w:val="single" w:color="000000" w:sz="2" w:space="0"/>
              <w:top w:val="single" w:color="000000" w:sz="2" w:space="0"/>
            </w:tcBorders>
          </w:tcPr>
          <w:p>
            <w:pPr>
              <w:ind w:left="254"/>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2,192,231</w:t>
            </w:r>
          </w:p>
        </w:tc>
        <w:tc>
          <w:tcPr>
            <w:tcW w:w="683" w:type="dxa"/>
            <w:vAlign w:val="top"/>
            <w:tcBorders>
              <w:bottom w:val="single" w:color="000000" w:sz="2" w:space="0"/>
              <w:top w:val="single" w:color="000000" w:sz="2" w:space="0"/>
            </w:tcBorders>
          </w:tcPr>
          <w:p>
            <w:pPr>
              <w:ind w:left="230"/>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33.18</w:t>
            </w:r>
          </w:p>
        </w:tc>
      </w:tr>
    </w:tbl>
    <w:p>
      <w:pPr>
        <w:pStyle w:val="BodyText"/>
        <w:spacing w:line="150" w:lineRule="exact"/>
        <w:rPr>
          <w:sz w:val="13"/>
        </w:rPr>
      </w:pPr>
      <w:r/>
    </w:p>
    <w:p>
      <w:pPr>
        <w:spacing w:line="150" w:lineRule="exact"/>
        <w:sectPr>
          <w:footerReference w:type="default" r:id="rId30"/>
          <w:pgSz w:w="11907" w:h="16839"/>
          <w:pgMar w:top="1132" w:right="1128" w:bottom="1375" w:left="1118" w:header="0" w:footer="1211" w:gutter="0"/>
        </w:sectPr>
        <w:rPr>
          <w:sz w:val="13"/>
          <w:szCs w:val="13"/>
        </w:rPr>
      </w:pPr>
    </w:p>
    <w:tbl>
      <w:tblPr>
        <w:tblStyle w:val="TableNormal"/>
        <w:tblW w:w="9654"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362"/>
        <w:gridCol w:w="1215"/>
        <w:gridCol w:w="1217"/>
        <w:gridCol w:w="1526"/>
        <w:gridCol w:w="1094"/>
        <w:gridCol w:w="1336"/>
        <w:gridCol w:w="904"/>
      </w:tblGrid>
      <w:tr>
        <w:trPr>
          <w:trHeight w:val="385" w:hRule="atLeast"/>
        </w:trPr>
        <w:tc>
          <w:tcPr>
            <w:tcW w:w="2362" w:type="dxa"/>
            <w:vAlign w:val="top"/>
            <w:tcBorders>
              <w:bottom w:val="single" w:color="000000" w:sz="2" w:space="0"/>
              <w:top w:val="single" w:color="000000" w:sz="2" w:space="0"/>
            </w:tcBorders>
          </w:tcPr>
          <w:p>
            <w:pPr>
              <w:pStyle w:val="TableText"/>
              <w:ind w:left="77"/>
              <w:spacing w:before="116" w:line="221" w:lineRule="auto"/>
              <w:rPr>
                <w:sz w:val="18"/>
                <w:szCs w:val="18"/>
              </w:rPr>
            </w:pPr>
            <w:r>
              <w:rPr>
                <w:sz w:val="18"/>
                <w:szCs w:val="18"/>
                <w:spacing w:val="29"/>
              </w:rPr>
              <w:t>-活期</w:t>
            </w:r>
          </w:p>
        </w:tc>
        <w:tc>
          <w:tcPr>
            <w:shd w:val="clear" w:fill="DBE5F1"/>
            <w:tcW w:w="1215" w:type="dxa"/>
            <w:vAlign w:val="top"/>
            <w:tcBorders>
              <w:bottom w:val="single" w:color="000000" w:sz="2" w:space="0"/>
              <w:top w:val="single" w:color="000000" w:sz="2" w:space="0"/>
            </w:tcBorders>
          </w:tcPr>
          <w:p>
            <w:pPr>
              <w:ind w:left="578"/>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885,013</w:t>
            </w:r>
          </w:p>
        </w:tc>
        <w:tc>
          <w:tcPr>
            <w:shd w:val="clear" w:fill="DBE5F1"/>
            <w:tcW w:w="1217" w:type="dxa"/>
            <w:vAlign w:val="top"/>
            <w:tcBorders>
              <w:bottom w:val="single" w:color="000000" w:sz="2" w:space="0"/>
              <w:top w:val="single" w:color="000000" w:sz="2" w:space="0"/>
            </w:tcBorders>
          </w:tcPr>
          <w:p>
            <w:pPr>
              <w:ind w:left="772"/>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4"/>
              </w:rPr>
              <w:t>11.13</w:t>
            </w:r>
          </w:p>
        </w:tc>
        <w:tc>
          <w:tcPr>
            <w:tcW w:w="1526" w:type="dxa"/>
            <w:vAlign w:val="top"/>
            <w:tcBorders>
              <w:bottom w:val="single" w:color="000000" w:sz="2" w:space="0"/>
              <w:top w:val="single" w:color="000000" w:sz="2" w:space="0"/>
            </w:tcBorders>
          </w:tcPr>
          <w:p>
            <w:pPr>
              <w:ind w:left="584"/>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850,831</w:t>
            </w:r>
          </w:p>
        </w:tc>
        <w:tc>
          <w:tcPr>
            <w:tcW w:w="1094" w:type="dxa"/>
            <w:vAlign w:val="top"/>
            <w:tcBorders>
              <w:bottom w:val="single" w:color="000000" w:sz="2" w:space="0"/>
              <w:top w:val="single" w:color="000000" w:sz="2" w:space="0"/>
            </w:tcBorders>
          </w:tcPr>
          <w:p>
            <w:pPr>
              <w:ind w:left="460"/>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12.09</w:t>
            </w:r>
          </w:p>
        </w:tc>
        <w:tc>
          <w:tcPr>
            <w:tcW w:w="1336" w:type="dxa"/>
            <w:vAlign w:val="top"/>
            <w:tcBorders>
              <w:bottom w:val="single" w:color="000000" w:sz="2" w:space="0"/>
              <w:top w:val="single" w:color="000000" w:sz="2" w:space="0"/>
            </w:tcBorders>
          </w:tcPr>
          <w:p>
            <w:pPr>
              <w:ind w:left="391"/>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812,534</w:t>
            </w:r>
          </w:p>
        </w:tc>
        <w:tc>
          <w:tcPr>
            <w:tcW w:w="904" w:type="dxa"/>
            <w:vAlign w:val="top"/>
            <w:tcBorders>
              <w:bottom w:val="single" w:color="000000" w:sz="2" w:space="0"/>
              <w:top w:val="single" w:color="000000" w:sz="2" w:space="0"/>
            </w:tcBorders>
          </w:tcPr>
          <w:p>
            <w:pPr>
              <w:ind w:left="465"/>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12.30</w:t>
            </w:r>
          </w:p>
        </w:tc>
      </w:tr>
      <w:tr>
        <w:trPr>
          <w:trHeight w:val="378" w:hRule="atLeast"/>
        </w:trPr>
        <w:tc>
          <w:tcPr>
            <w:tcW w:w="2362" w:type="dxa"/>
            <w:vAlign w:val="top"/>
            <w:tcBorders>
              <w:bottom w:val="single" w:color="000000" w:sz="2" w:space="0"/>
              <w:top w:val="single" w:color="000000" w:sz="2" w:space="0"/>
            </w:tcBorders>
          </w:tcPr>
          <w:p>
            <w:pPr>
              <w:pStyle w:val="TableText"/>
              <w:ind w:left="77"/>
              <w:spacing w:before="110" w:line="221" w:lineRule="auto"/>
              <w:rPr>
                <w:sz w:val="18"/>
                <w:szCs w:val="18"/>
              </w:rPr>
            </w:pPr>
            <w:r>
              <w:rPr>
                <w:sz w:val="18"/>
                <w:szCs w:val="18"/>
                <w:spacing w:val="30"/>
              </w:rPr>
              <w:t>-定期</w:t>
            </w:r>
          </w:p>
        </w:tc>
        <w:tc>
          <w:tcPr>
            <w:shd w:val="clear" w:fill="DBE5F1"/>
            <w:tcW w:w="1215" w:type="dxa"/>
            <w:vAlign w:val="top"/>
            <w:tcBorders>
              <w:bottom w:val="single" w:color="000000" w:sz="2" w:space="0"/>
              <w:top w:val="single" w:color="000000" w:sz="2" w:space="0"/>
            </w:tcBorders>
          </w:tcPr>
          <w:p>
            <w:pPr>
              <w:ind w:left="451"/>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2,070,711</w:t>
            </w:r>
          </w:p>
        </w:tc>
        <w:tc>
          <w:tcPr>
            <w:shd w:val="clear" w:fill="DBE5F1"/>
            <w:tcW w:w="1217" w:type="dxa"/>
            <w:vAlign w:val="top"/>
            <w:tcBorders>
              <w:bottom w:val="single" w:color="000000" w:sz="2" w:space="0"/>
              <w:top w:val="single" w:color="000000" w:sz="2" w:space="0"/>
            </w:tcBorders>
          </w:tcPr>
          <w:p>
            <w:pPr>
              <w:ind w:left="755"/>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26.05</w:t>
            </w:r>
          </w:p>
        </w:tc>
        <w:tc>
          <w:tcPr>
            <w:tcW w:w="1526" w:type="dxa"/>
            <w:vAlign w:val="top"/>
            <w:tcBorders>
              <w:bottom w:val="single" w:color="000000" w:sz="2" w:space="0"/>
              <w:top w:val="single" w:color="000000" w:sz="2" w:space="0"/>
            </w:tcBorders>
          </w:tcPr>
          <w:p>
            <w:pPr>
              <w:ind w:left="460"/>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1,551,981</w:t>
            </w:r>
          </w:p>
        </w:tc>
        <w:tc>
          <w:tcPr>
            <w:tcW w:w="1094" w:type="dxa"/>
            <w:vAlign w:val="top"/>
            <w:tcBorders>
              <w:bottom w:val="single" w:color="000000" w:sz="2" w:space="0"/>
              <w:top w:val="single" w:color="000000" w:sz="2" w:space="0"/>
            </w:tcBorders>
          </w:tcPr>
          <w:p>
            <w:pPr>
              <w:ind w:left="443"/>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22.04</w:t>
            </w:r>
          </w:p>
        </w:tc>
        <w:tc>
          <w:tcPr>
            <w:tcW w:w="1336" w:type="dxa"/>
            <w:vAlign w:val="top"/>
            <w:tcBorders>
              <w:bottom w:val="single" w:color="000000" w:sz="2" w:space="0"/>
              <w:top w:val="single" w:color="000000" w:sz="2" w:space="0"/>
            </w:tcBorders>
          </w:tcPr>
          <w:p>
            <w:pPr>
              <w:ind w:left="266"/>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1,379,697</w:t>
            </w:r>
          </w:p>
        </w:tc>
        <w:tc>
          <w:tcPr>
            <w:tcW w:w="904" w:type="dxa"/>
            <w:vAlign w:val="top"/>
            <w:tcBorders>
              <w:bottom w:val="single" w:color="000000" w:sz="2" w:space="0"/>
              <w:top w:val="single" w:color="000000" w:sz="2" w:space="0"/>
            </w:tcBorders>
          </w:tcPr>
          <w:p>
            <w:pPr>
              <w:ind w:left="447"/>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20.88</w:t>
            </w:r>
          </w:p>
        </w:tc>
      </w:tr>
      <w:tr>
        <w:trPr>
          <w:trHeight w:val="378" w:hRule="atLeast"/>
        </w:trPr>
        <w:tc>
          <w:tcPr>
            <w:tcW w:w="2362" w:type="dxa"/>
            <w:vAlign w:val="top"/>
            <w:tcBorders>
              <w:bottom w:val="single" w:color="000000" w:sz="2" w:space="0"/>
              <w:top w:val="single" w:color="000000" w:sz="2" w:space="0"/>
            </w:tcBorders>
          </w:tcPr>
          <w:p>
            <w:pPr>
              <w:pStyle w:val="TableText"/>
              <w:ind w:left="79"/>
              <w:spacing w:before="112" w:line="220" w:lineRule="auto"/>
              <w:rPr>
                <w:sz w:val="18"/>
                <w:szCs w:val="18"/>
              </w:rPr>
            </w:pPr>
            <w:r>
              <w:rPr>
                <w:sz w:val="18"/>
                <w:szCs w:val="18"/>
                <w:spacing w:val="-2"/>
              </w:rPr>
              <w:t>其他存款</w:t>
            </w:r>
          </w:p>
        </w:tc>
        <w:tc>
          <w:tcPr>
            <w:shd w:val="clear" w:fill="DBE5F1"/>
            <w:tcW w:w="1215" w:type="dxa"/>
            <w:vAlign w:val="top"/>
            <w:tcBorders>
              <w:bottom w:val="single" w:color="000000" w:sz="2" w:space="0"/>
              <w:top w:val="single" w:color="000000" w:sz="2" w:space="0"/>
            </w:tcBorders>
          </w:tcPr>
          <w:p>
            <w:pPr>
              <w:ind w:left="756"/>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4,227</w:t>
            </w:r>
          </w:p>
        </w:tc>
        <w:tc>
          <w:tcPr>
            <w:shd w:val="clear" w:fill="DBE5F1"/>
            <w:tcW w:w="1217" w:type="dxa"/>
            <w:vAlign w:val="top"/>
            <w:tcBorders>
              <w:bottom w:val="single" w:color="000000" w:sz="2" w:space="0"/>
              <w:top w:val="single" w:color="000000" w:sz="2" w:space="0"/>
            </w:tcBorders>
          </w:tcPr>
          <w:p>
            <w:pPr>
              <w:ind w:left="846"/>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0.05</w:t>
            </w:r>
          </w:p>
        </w:tc>
        <w:tc>
          <w:tcPr>
            <w:tcW w:w="1526" w:type="dxa"/>
            <w:vAlign w:val="top"/>
            <w:tcBorders>
              <w:bottom w:val="single" w:color="000000" w:sz="2" w:space="0"/>
              <w:top w:val="single" w:color="000000" w:sz="2" w:space="0"/>
            </w:tcBorders>
          </w:tcPr>
          <w:p>
            <w:pPr>
              <w:ind w:left="761"/>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3,359</w:t>
            </w:r>
          </w:p>
        </w:tc>
        <w:tc>
          <w:tcPr>
            <w:tcW w:w="1094" w:type="dxa"/>
            <w:vAlign w:val="top"/>
            <w:tcBorders>
              <w:bottom w:val="single" w:color="000000" w:sz="2" w:space="0"/>
              <w:top w:val="single" w:color="000000" w:sz="2" w:space="0"/>
            </w:tcBorders>
          </w:tcPr>
          <w:p>
            <w:pPr>
              <w:ind w:left="537"/>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0.05</w:t>
            </w:r>
          </w:p>
        </w:tc>
        <w:tc>
          <w:tcPr>
            <w:tcW w:w="1336" w:type="dxa"/>
            <w:vAlign w:val="top"/>
            <w:tcBorders>
              <w:bottom w:val="single" w:color="000000" w:sz="2" w:space="0"/>
              <w:top w:val="single" w:color="000000" w:sz="2" w:space="0"/>
            </w:tcBorders>
          </w:tcPr>
          <w:p>
            <w:pPr>
              <w:ind w:left="569"/>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5,499</w:t>
            </w:r>
          </w:p>
        </w:tc>
        <w:tc>
          <w:tcPr>
            <w:tcW w:w="904" w:type="dxa"/>
            <w:vAlign w:val="top"/>
            <w:tcBorders>
              <w:bottom w:val="single" w:color="000000" w:sz="2" w:space="0"/>
              <w:top w:val="single" w:color="000000" w:sz="2" w:space="0"/>
            </w:tcBorders>
          </w:tcPr>
          <w:p>
            <w:pPr>
              <w:ind w:left="541"/>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0.08</w:t>
            </w:r>
          </w:p>
        </w:tc>
      </w:tr>
      <w:tr>
        <w:trPr>
          <w:trHeight w:val="378" w:hRule="atLeast"/>
        </w:trPr>
        <w:tc>
          <w:tcPr>
            <w:tcW w:w="2362" w:type="dxa"/>
            <w:vAlign w:val="top"/>
            <w:tcBorders>
              <w:bottom w:val="single" w:color="000000" w:sz="2" w:space="0"/>
              <w:top w:val="single" w:color="000000" w:sz="2" w:space="0"/>
            </w:tcBorders>
          </w:tcPr>
          <w:p>
            <w:pPr>
              <w:pStyle w:val="TableText"/>
              <w:ind w:left="79"/>
              <w:spacing w:before="112" w:line="222" w:lineRule="auto"/>
              <w:rPr>
                <w:sz w:val="18"/>
                <w:szCs w:val="18"/>
              </w:rPr>
            </w:pPr>
            <w:r>
              <w:rPr>
                <w:sz w:val="18"/>
                <w:szCs w:val="18"/>
                <w:spacing w:val="-2"/>
              </w:rPr>
              <w:t>应计利息</w:t>
            </w:r>
          </w:p>
        </w:tc>
        <w:tc>
          <w:tcPr>
            <w:shd w:val="clear" w:fill="DBE5F1"/>
            <w:tcW w:w="1215" w:type="dxa"/>
            <w:vAlign w:val="top"/>
            <w:tcBorders>
              <w:bottom w:val="single" w:color="000000" w:sz="2" w:space="0"/>
              <w:top w:val="single" w:color="000000" w:sz="2" w:space="0"/>
            </w:tcBorders>
          </w:tcPr>
          <w:p>
            <w:pPr>
              <w:ind w:left="593"/>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112,088</w:t>
            </w:r>
          </w:p>
        </w:tc>
        <w:tc>
          <w:tcPr>
            <w:shd w:val="clear" w:fill="DBE5F1"/>
            <w:tcW w:w="1217" w:type="dxa"/>
            <w:vAlign w:val="top"/>
            <w:tcBorders>
              <w:bottom w:val="single" w:color="000000" w:sz="2" w:space="0"/>
              <w:top w:val="single" w:color="000000" w:sz="2" w:space="0"/>
            </w:tcBorders>
          </w:tcPr>
          <w:p>
            <w:pPr>
              <w:ind w:left="851"/>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1.41</w:t>
            </w:r>
          </w:p>
        </w:tc>
        <w:tc>
          <w:tcPr>
            <w:tcW w:w="1526" w:type="dxa"/>
            <w:vAlign w:val="top"/>
            <w:tcBorders>
              <w:bottom w:val="single" w:color="000000" w:sz="2" w:space="0"/>
              <w:top w:val="single" w:color="000000" w:sz="2" w:space="0"/>
            </w:tcBorders>
          </w:tcPr>
          <w:p>
            <w:pPr>
              <w:ind w:left="675"/>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83,586</w:t>
            </w:r>
          </w:p>
        </w:tc>
        <w:tc>
          <w:tcPr>
            <w:tcW w:w="1094" w:type="dxa"/>
            <w:vAlign w:val="top"/>
            <w:tcBorders>
              <w:bottom w:val="single" w:color="000000" w:sz="2" w:space="0"/>
              <w:top w:val="single" w:color="000000" w:sz="2" w:space="0"/>
            </w:tcBorders>
          </w:tcPr>
          <w:p>
            <w:pPr>
              <w:ind w:left="552"/>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1.19</w:t>
            </w:r>
          </w:p>
        </w:tc>
        <w:tc>
          <w:tcPr>
            <w:tcW w:w="1336" w:type="dxa"/>
            <w:vAlign w:val="top"/>
            <w:tcBorders>
              <w:bottom w:val="single" w:color="000000" w:sz="2" w:space="0"/>
              <w:top w:val="single" w:color="000000" w:sz="2" w:space="0"/>
            </w:tcBorders>
          </w:tcPr>
          <w:p>
            <w:pPr>
              <w:ind w:left="479"/>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68,076</w:t>
            </w:r>
          </w:p>
        </w:tc>
        <w:tc>
          <w:tcPr>
            <w:tcW w:w="904" w:type="dxa"/>
            <w:vAlign w:val="top"/>
            <w:tcBorders>
              <w:bottom w:val="single" w:color="000000" w:sz="2" w:space="0"/>
              <w:top w:val="single" w:color="000000" w:sz="2" w:space="0"/>
            </w:tcBorders>
          </w:tcPr>
          <w:p>
            <w:pPr>
              <w:ind w:left="556"/>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1.03</w:t>
            </w:r>
          </w:p>
        </w:tc>
      </w:tr>
      <w:tr>
        <w:trPr>
          <w:trHeight w:val="383" w:hRule="atLeast"/>
        </w:trPr>
        <w:tc>
          <w:tcPr>
            <w:tcW w:w="2362" w:type="dxa"/>
            <w:vAlign w:val="top"/>
            <w:tcBorders>
              <w:bottom w:val="single" w:color="000000" w:sz="2" w:space="0"/>
              <w:top w:val="single" w:color="000000" w:sz="2" w:space="0"/>
            </w:tcBorders>
          </w:tcPr>
          <w:p>
            <w:pPr>
              <w:pStyle w:val="TableText"/>
              <w:ind w:left="79"/>
              <w:spacing w:before="113" w:line="222" w:lineRule="auto"/>
              <w:rPr>
                <w:sz w:val="18"/>
                <w:szCs w:val="18"/>
              </w:rPr>
            </w:pPr>
            <w:r>
              <w:rPr>
                <w:sz w:val="18"/>
                <w:szCs w:val="18"/>
                <w:b/>
                <w:bCs/>
                <w:spacing w:val="-4"/>
              </w:rPr>
              <w:t>合计</w:t>
            </w:r>
          </w:p>
        </w:tc>
        <w:tc>
          <w:tcPr>
            <w:shd w:val="clear" w:fill="DBE5F1"/>
            <w:tcW w:w="1215" w:type="dxa"/>
            <w:vAlign w:val="top"/>
            <w:tcBorders>
              <w:bottom w:val="single" w:color="000000" w:sz="2" w:space="0"/>
              <w:top w:val="single" w:color="000000" w:sz="2" w:space="0"/>
            </w:tcBorders>
          </w:tcPr>
          <w:p>
            <w:pPr>
              <w:ind w:left="443"/>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7,949,072</w:t>
            </w:r>
          </w:p>
        </w:tc>
        <w:tc>
          <w:tcPr>
            <w:shd w:val="clear" w:fill="DBE5F1"/>
            <w:tcW w:w="1217" w:type="dxa"/>
            <w:vAlign w:val="top"/>
            <w:tcBorders>
              <w:bottom w:val="single" w:color="000000" w:sz="2" w:space="0"/>
              <w:top w:val="single" w:color="000000" w:sz="2" w:space="0"/>
            </w:tcBorders>
          </w:tcPr>
          <w:p>
            <w:pPr>
              <w:ind w:left="674"/>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100.00</w:t>
            </w:r>
          </w:p>
        </w:tc>
        <w:tc>
          <w:tcPr>
            <w:tcW w:w="1526" w:type="dxa"/>
            <w:vAlign w:val="top"/>
            <w:tcBorders>
              <w:bottom w:val="single" w:color="000000" w:sz="2" w:space="0"/>
              <w:top w:val="single" w:color="000000" w:sz="2" w:space="0"/>
            </w:tcBorders>
          </w:tcPr>
          <w:p>
            <w:pPr>
              <w:ind w:left="446"/>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7,039,777</w:t>
            </w:r>
          </w:p>
        </w:tc>
        <w:tc>
          <w:tcPr>
            <w:tcW w:w="1094" w:type="dxa"/>
            <w:vAlign w:val="top"/>
            <w:tcBorders>
              <w:bottom w:val="single" w:color="000000" w:sz="2" w:space="0"/>
              <w:top w:val="single" w:color="000000" w:sz="2" w:space="0"/>
            </w:tcBorders>
          </w:tcPr>
          <w:p>
            <w:pPr>
              <w:ind w:left="372"/>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100.00</w:t>
            </w:r>
          </w:p>
        </w:tc>
        <w:tc>
          <w:tcPr>
            <w:tcW w:w="1336" w:type="dxa"/>
            <w:vAlign w:val="top"/>
            <w:tcBorders>
              <w:bottom w:val="single" w:color="000000" w:sz="2" w:space="0"/>
              <w:top w:val="single" w:color="000000" w:sz="2" w:space="0"/>
            </w:tcBorders>
          </w:tcPr>
          <w:p>
            <w:pPr>
              <w:ind w:left="253"/>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6,607,330</w:t>
            </w:r>
          </w:p>
        </w:tc>
        <w:tc>
          <w:tcPr>
            <w:tcW w:w="904" w:type="dxa"/>
            <w:vAlign w:val="top"/>
            <w:tcBorders>
              <w:bottom w:val="single" w:color="000000" w:sz="2" w:space="0"/>
              <w:top w:val="single" w:color="000000" w:sz="2" w:space="0"/>
            </w:tcBorders>
          </w:tcPr>
          <w:p>
            <w:pPr>
              <w:ind w:left="376"/>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100.00</w:t>
            </w:r>
          </w:p>
        </w:tc>
      </w:tr>
    </w:tbl>
    <w:p>
      <w:pPr>
        <w:ind w:left="440"/>
        <w:spacing w:before="262"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3.</w:t>
      </w:r>
      <w:r>
        <w:rPr>
          <w:rFonts w:ascii="SimSun" w:hAnsi="SimSun" w:eastAsia="SimSun" w:cs="SimSun"/>
          <w:sz w:val="21"/>
          <w:szCs w:val="21"/>
          <w:b/>
          <w:bCs/>
          <w:spacing w:val="-2"/>
        </w:rPr>
        <w:t>资产负债表表外项目</w:t>
      </w:r>
    </w:p>
    <w:p>
      <w:pPr>
        <w:ind w:left="443"/>
        <w:spacing w:before="306" w:line="221" w:lineRule="auto"/>
        <w:rPr>
          <w:rFonts w:ascii="SimSun" w:hAnsi="SimSun" w:eastAsia="SimSun" w:cs="SimSun"/>
          <w:sz w:val="21"/>
          <w:szCs w:val="21"/>
        </w:rPr>
      </w:pPr>
      <w:r>
        <w:rPr>
          <w:rFonts w:ascii="SimSun" w:hAnsi="SimSun" w:eastAsia="SimSun" w:cs="SimSun"/>
          <w:sz w:val="21"/>
          <w:szCs w:val="21"/>
          <w:spacing w:val="-1"/>
        </w:rPr>
        <w:t>本集团资产负债表表外项目包括衍生金融工具、或有事项及承诺、担保物。</w:t>
      </w:r>
    </w:p>
    <w:p>
      <w:pPr>
        <w:ind w:left="25" w:right="105" w:firstLine="418"/>
        <w:spacing w:before="309" w:line="268" w:lineRule="auto"/>
        <w:rPr>
          <w:rFonts w:ascii="SimSun" w:hAnsi="SimSun" w:eastAsia="SimSun" w:cs="SimSun"/>
          <w:sz w:val="21"/>
          <w:szCs w:val="21"/>
        </w:rPr>
      </w:pPr>
      <w:r>
        <w:rPr>
          <w:rFonts w:ascii="SimSun" w:hAnsi="SimSun" w:eastAsia="SimSun" w:cs="SimSun"/>
          <w:sz w:val="21"/>
          <w:szCs w:val="21"/>
          <w:spacing w:val="-5"/>
        </w:rPr>
        <w:t>本集团主要以交易、套期、资产负债管理及代客为目的叙做衍生金</w:t>
      </w:r>
      <w:r>
        <w:rPr>
          <w:rFonts w:ascii="SimSun" w:hAnsi="SimSun" w:eastAsia="SimSun" w:cs="SimSun"/>
          <w:sz w:val="21"/>
          <w:szCs w:val="21"/>
          <w:spacing w:val="-6"/>
        </w:rPr>
        <w:t>融工具,</w:t>
      </w:r>
      <w:r>
        <w:rPr>
          <w:rFonts w:ascii="SimSun" w:hAnsi="SimSun" w:eastAsia="SimSun" w:cs="SimSun"/>
          <w:sz w:val="21"/>
          <w:szCs w:val="21"/>
          <w:spacing w:val="-29"/>
        </w:rPr>
        <w:t xml:space="preserve"> </w:t>
      </w:r>
      <w:r>
        <w:rPr>
          <w:rFonts w:ascii="SimSun" w:hAnsi="SimSun" w:eastAsia="SimSun" w:cs="SimSun"/>
          <w:sz w:val="21"/>
          <w:szCs w:val="21"/>
          <w:spacing w:val="-6"/>
        </w:rPr>
        <w:t>包括利率合约、汇率合约、</w:t>
      </w:r>
      <w:r>
        <w:rPr>
          <w:rFonts w:ascii="SimSun" w:hAnsi="SimSun" w:eastAsia="SimSun" w:cs="SimSun"/>
          <w:sz w:val="21"/>
          <w:szCs w:val="21"/>
        </w:rPr>
        <w:t xml:space="preserve"> </w:t>
      </w:r>
      <w:r>
        <w:rPr>
          <w:rFonts w:ascii="SimSun" w:hAnsi="SimSun" w:eastAsia="SimSun" w:cs="SimSun"/>
          <w:sz w:val="21"/>
          <w:szCs w:val="21"/>
        </w:rPr>
        <w:t>贵金属及大宗商品合约等。有关衍生金融工具的名义金额及公允价值详见财务报表附</w:t>
      </w:r>
      <w:r>
        <w:rPr>
          <w:rFonts w:ascii="SimSun" w:hAnsi="SimSun" w:eastAsia="SimSun" w:cs="SimSun"/>
          <w:sz w:val="21"/>
          <w:szCs w:val="21"/>
          <w:spacing w:val="-1"/>
        </w:rPr>
        <w:t>注五、</w:t>
      </w:r>
      <w:r>
        <w:rPr>
          <w:rFonts w:ascii="Times New Roman" w:hAnsi="Times New Roman" w:eastAsia="Times New Roman" w:cs="Times New Roman"/>
          <w:sz w:val="21"/>
          <w:szCs w:val="21"/>
          <w:spacing w:val="-1"/>
        </w:rPr>
        <w:t>4</w:t>
      </w:r>
      <w:r>
        <w:rPr>
          <w:rFonts w:ascii="SimSun" w:hAnsi="SimSun" w:eastAsia="SimSun" w:cs="SimSun"/>
          <w:sz w:val="21"/>
          <w:szCs w:val="21"/>
          <w:spacing w:val="-1"/>
        </w:rPr>
        <w:t>。</w:t>
      </w:r>
    </w:p>
    <w:p>
      <w:pPr>
        <w:pStyle w:val="BodyText"/>
        <w:rPr/>
      </w:pPr>
      <w:r/>
    </w:p>
    <w:p>
      <w:pPr>
        <w:ind w:left="22" w:firstLine="421"/>
        <w:spacing w:before="69" w:line="285" w:lineRule="auto"/>
        <w:jc w:val="both"/>
        <w:rPr>
          <w:rFonts w:ascii="SimSun" w:hAnsi="SimSun" w:eastAsia="SimSun" w:cs="SimSun"/>
          <w:sz w:val="21"/>
          <w:szCs w:val="21"/>
        </w:rPr>
      </w:pPr>
      <w:r>
        <w:rPr>
          <w:rFonts w:ascii="SimSun" w:hAnsi="SimSun" w:eastAsia="SimSun" w:cs="SimSun"/>
          <w:sz w:val="21"/>
          <w:szCs w:val="21"/>
          <w:spacing w:val="-1"/>
        </w:rPr>
        <w:t>本集团或有事项及承诺主要是未决诉讼、信贷承诺及财务担保、资本性承诺、经营租赁承诺、证券承 </w:t>
      </w:r>
      <w:r>
        <w:rPr>
          <w:rFonts w:ascii="SimSun" w:hAnsi="SimSun" w:eastAsia="SimSun" w:cs="SimSun"/>
          <w:sz w:val="21"/>
          <w:szCs w:val="21"/>
          <w:spacing w:val="3"/>
        </w:rPr>
        <w:t>销及债券承兑承诺。有关或有事项详见财务报表附注八、或有事项,有关承诺事项详见财务报表附注九、</w:t>
      </w:r>
      <w:r>
        <w:rPr>
          <w:rFonts w:ascii="SimSun" w:hAnsi="SimSun" w:eastAsia="SimSun" w:cs="SimSun"/>
          <w:sz w:val="21"/>
          <w:szCs w:val="21"/>
          <w:spacing w:val="14"/>
        </w:rPr>
        <w:t xml:space="preserve"> </w:t>
      </w:r>
      <w:r>
        <w:rPr>
          <w:rFonts w:ascii="SimSun" w:hAnsi="SimSun" w:eastAsia="SimSun" w:cs="SimSun"/>
          <w:sz w:val="21"/>
          <w:szCs w:val="21"/>
          <w:spacing w:val="-4"/>
        </w:rPr>
        <w:t>承诺事项。</w:t>
      </w:r>
    </w:p>
    <w:p>
      <w:pPr>
        <w:spacing w:before="307" w:line="399" w:lineRule="exact"/>
        <w:jc w:val="right"/>
        <w:rPr>
          <w:rFonts w:ascii="SimSun" w:hAnsi="SimSun" w:eastAsia="SimSun" w:cs="SimSun"/>
          <w:sz w:val="21"/>
          <w:szCs w:val="21"/>
        </w:rPr>
      </w:pPr>
      <w:r>
        <w:rPr>
          <w:rFonts w:ascii="SimSun" w:hAnsi="SimSun" w:eastAsia="SimSun" w:cs="SimSun"/>
          <w:sz w:val="21"/>
          <w:szCs w:val="21"/>
          <w:position w:val="14"/>
        </w:rPr>
        <w:t>本集团部分资产被用作同业间卖出回购及其他负债业务有关的质押的担保物,</w:t>
      </w:r>
      <w:r>
        <w:rPr>
          <w:rFonts w:ascii="SimSun" w:hAnsi="SimSun" w:eastAsia="SimSun" w:cs="SimSun"/>
          <w:sz w:val="21"/>
          <w:szCs w:val="21"/>
          <w:spacing w:val="44"/>
          <w:position w:val="14"/>
        </w:rPr>
        <w:t xml:space="preserve"> </w:t>
      </w:r>
      <w:r>
        <w:rPr>
          <w:rFonts w:ascii="SimSun" w:hAnsi="SimSun" w:eastAsia="SimSun" w:cs="SimSun"/>
          <w:sz w:val="21"/>
          <w:szCs w:val="21"/>
          <w:position w:val="14"/>
        </w:rPr>
        <w:t>详见财务报表附注五、</w:t>
      </w:r>
    </w:p>
    <w:p>
      <w:pPr>
        <w:ind w:left="24"/>
        <w:spacing w:line="179" w:lineRule="auto"/>
        <w:rPr>
          <w:rFonts w:ascii="SimSun" w:hAnsi="SimSun" w:eastAsia="SimSun" w:cs="SimSun"/>
          <w:sz w:val="21"/>
          <w:szCs w:val="21"/>
        </w:rPr>
      </w:pPr>
      <w:r>
        <w:rPr>
          <w:rFonts w:ascii="Times New Roman" w:hAnsi="Times New Roman" w:eastAsia="Times New Roman" w:cs="Times New Roman"/>
          <w:sz w:val="21"/>
          <w:szCs w:val="21"/>
          <w:spacing w:val="-3"/>
        </w:rPr>
        <w:t>53</w:t>
      </w:r>
      <w:r>
        <w:rPr>
          <w:rFonts w:ascii="SimSun" w:hAnsi="SimSun" w:eastAsia="SimSun" w:cs="SimSun"/>
          <w:sz w:val="21"/>
          <w:szCs w:val="21"/>
          <w:spacing w:val="-3"/>
        </w:rPr>
        <w:t>。</w:t>
      </w:r>
    </w:p>
    <w:p>
      <w:pPr>
        <w:pStyle w:val="BodyText"/>
        <w:spacing w:line="247" w:lineRule="auto"/>
        <w:rPr/>
      </w:pPr>
      <w:r/>
    </w:p>
    <w:p>
      <w:pPr>
        <w:ind w:left="556"/>
        <w:spacing w:before="68" w:line="222" w:lineRule="auto"/>
        <w:rPr>
          <w:rFonts w:ascii="SimSun" w:hAnsi="SimSun" w:eastAsia="SimSun" w:cs="SimSun"/>
          <w:sz w:val="21"/>
          <w:szCs w:val="21"/>
        </w:rPr>
      </w:pPr>
      <w:r>
        <w:rPr>
          <w:rFonts w:ascii="SimSun" w:hAnsi="SimSun" w:eastAsia="SimSun" w:cs="SimSun"/>
          <w:sz w:val="21"/>
          <w:szCs w:val="21"/>
          <w:b/>
          <w:bCs/>
          <w:spacing w:val="5"/>
        </w:rPr>
        <w:t>(三)现金流量表主要项目分析</w:t>
      </w:r>
    </w:p>
    <w:p>
      <w:pPr>
        <w:ind w:left="441"/>
        <w:spacing w:before="310" w:line="213" w:lineRule="auto"/>
        <w:rPr>
          <w:rFonts w:ascii="SimSun" w:hAnsi="SimSun" w:eastAsia="SimSun" w:cs="SimSun"/>
          <w:sz w:val="21"/>
          <w:szCs w:val="21"/>
        </w:rPr>
      </w:pPr>
      <w:r>
        <w:rPr>
          <w:rFonts w:ascii="SimSun" w:hAnsi="SimSun" w:eastAsia="SimSun" w:cs="SimSun"/>
          <w:sz w:val="21"/>
          <w:szCs w:val="21"/>
          <w:spacing w:val="2"/>
        </w:rPr>
        <w:t>报告期末,</w:t>
      </w:r>
      <w:r>
        <w:rPr>
          <w:rFonts w:ascii="SimSun" w:hAnsi="SimSun" w:eastAsia="SimSun" w:cs="SimSun"/>
          <w:sz w:val="21"/>
          <w:szCs w:val="21"/>
          <w:spacing w:val="30"/>
        </w:rPr>
        <w:t xml:space="preserve"> </w:t>
      </w:r>
      <w:r>
        <w:rPr>
          <w:rFonts w:ascii="SimSun" w:hAnsi="SimSun" w:eastAsia="SimSun" w:cs="SimSun"/>
          <w:sz w:val="21"/>
          <w:szCs w:val="21"/>
          <w:spacing w:val="2"/>
        </w:rPr>
        <w:t>本集团现金及现金等价物余额</w:t>
      </w:r>
      <w:r>
        <w:rPr>
          <w:rFonts w:ascii="Times New Roman" w:hAnsi="Times New Roman" w:eastAsia="Times New Roman" w:cs="Times New Roman"/>
          <w:sz w:val="21"/>
          <w:szCs w:val="21"/>
          <w:spacing w:val="2"/>
        </w:rPr>
        <w:t>2,488.03</w:t>
      </w:r>
      <w:r>
        <w:rPr>
          <w:rFonts w:ascii="SimSun" w:hAnsi="SimSun" w:eastAsia="SimSun" w:cs="SimSun"/>
          <w:sz w:val="21"/>
          <w:szCs w:val="21"/>
          <w:spacing w:val="1"/>
        </w:rPr>
        <w:t>亿元,较上年末净增加</w:t>
      </w:r>
      <w:r>
        <w:rPr>
          <w:rFonts w:ascii="Times New Roman" w:hAnsi="Times New Roman" w:eastAsia="Times New Roman" w:cs="Times New Roman"/>
          <w:sz w:val="21"/>
          <w:szCs w:val="21"/>
          <w:spacing w:val="1"/>
        </w:rPr>
        <w:t>544.95</w:t>
      </w:r>
      <w:r>
        <w:rPr>
          <w:rFonts w:ascii="SimSun" w:hAnsi="SimSun" w:eastAsia="SimSun" w:cs="SimSun"/>
          <w:sz w:val="21"/>
          <w:szCs w:val="21"/>
          <w:spacing w:val="1"/>
        </w:rPr>
        <w:t>亿元。</w:t>
      </w:r>
    </w:p>
    <w:p>
      <w:pPr>
        <w:pStyle w:val="BodyText"/>
        <w:spacing w:line="247" w:lineRule="auto"/>
        <w:rPr/>
      </w:pPr>
      <w:r/>
    </w:p>
    <w:p>
      <w:pPr>
        <w:ind w:left="24" w:right="72" w:firstLine="420"/>
        <w:spacing w:before="69" w:line="269" w:lineRule="auto"/>
        <w:rPr>
          <w:rFonts w:ascii="SimSun" w:hAnsi="SimSun" w:eastAsia="SimSun" w:cs="SimSun"/>
          <w:sz w:val="21"/>
          <w:szCs w:val="21"/>
        </w:rPr>
      </w:pPr>
      <w:r>
        <w:rPr>
          <w:rFonts w:ascii="SimSun" w:hAnsi="SimSun" w:eastAsia="SimSun" w:cs="SimSun"/>
          <w:sz w:val="21"/>
          <w:szCs w:val="21"/>
          <w:spacing w:val="-1"/>
        </w:rPr>
        <w:t>经营活动现金流量为净流入</w:t>
      </w:r>
      <w:r>
        <w:rPr>
          <w:rFonts w:ascii="Times New Roman" w:hAnsi="Times New Roman" w:eastAsia="Times New Roman" w:cs="Times New Roman"/>
          <w:sz w:val="21"/>
          <w:szCs w:val="21"/>
          <w:spacing w:val="-1"/>
        </w:rPr>
        <w:t>3,682.21</w:t>
      </w:r>
      <w:r>
        <w:rPr>
          <w:rFonts w:ascii="SimSun" w:hAnsi="SimSun" w:eastAsia="SimSun" w:cs="SimSun"/>
          <w:sz w:val="21"/>
          <w:szCs w:val="21"/>
          <w:spacing w:val="-1"/>
        </w:rPr>
        <w:t>亿元,</w:t>
      </w:r>
      <w:r>
        <w:rPr>
          <w:rFonts w:ascii="SimSun" w:hAnsi="SimSun" w:eastAsia="SimSun" w:cs="SimSun"/>
          <w:sz w:val="21"/>
          <w:szCs w:val="21"/>
          <w:spacing w:val="37"/>
        </w:rPr>
        <w:t xml:space="preserve"> </w:t>
      </w:r>
      <w:r>
        <w:rPr>
          <w:rFonts w:ascii="SimSun" w:hAnsi="SimSun" w:eastAsia="SimSun" w:cs="SimSun"/>
          <w:sz w:val="21"/>
          <w:szCs w:val="21"/>
          <w:spacing w:val="-1"/>
        </w:rPr>
        <w:t>同比多流入</w:t>
      </w:r>
      <w:r>
        <w:rPr>
          <w:rFonts w:ascii="Times New Roman" w:hAnsi="Times New Roman" w:eastAsia="Times New Roman" w:cs="Times New Roman"/>
          <w:sz w:val="21"/>
          <w:szCs w:val="21"/>
          <w:spacing w:val="-1"/>
        </w:rPr>
        <w:t>4,029.96</w:t>
      </w:r>
      <w:r>
        <w:rPr>
          <w:rFonts w:ascii="SimSun" w:hAnsi="SimSun" w:eastAsia="SimSun" w:cs="SimSun"/>
          <w:sz w:val="21"/>
          <w:szCs w:val="21"/>
          <w:spacing w:val="-1"/>
        </w:rPr>
        <w:t>亿元。主要是</w:t>
      </w:r>
      <w:r>
        <w:rPr>
          <w:rFonts w:ascii="SimSun" w:hAnsi="SimSun" w:eastAsia="SimSun" w:cs="SimSun"/>
          <w:sz w:val="21"/>
          <w:szCs w:val="21"/>
          <w:spacing w:val="-2"/>
        </w:rPr>
        <w:t>吸收存款和向央行借款产</w:t>
      </w:r>
      <w:r>
        <w:rPr>
          <w:rFonts w:ascii="SimSun" w:hAnsi="SimSun" w:eastAsia="SimSun" w:cs="SimSun"/>
          <w:sz w:val="21"/>
          <w:szCs w:val="21"/>
        </w:rPr>
        <w:t xml:space="preserve"> </w:t>
      </w:r>
      <w:r>
        <w:rPr>
          <w:rFonts w:ascii="SimSun" w:hAnsi="SimSun" w:eastAsia="SimSun" w:cs="SimSun"/>
          <w:sz w:val="21"/>
          <w:szCs w:val="21"/>
          <w:spacing w:val="-3"/>
        </w:rPr>
        <w:t>生的现金流入增加。</w:t>
      </w:r>
    </w:p>
    <w:p>
      <w:pPr>
        <w:ind w:left="445"/>
        <w:spacing w:before="307" w:line="213" w:lineRule="auto"/>
        <w:rPr>
          <w:rFonts w:ascii="SimSun" w:hAnsi="SimSun" w:eastAsia="SimSun" w:cs="SimSun"/>
          <w:sz w:val="21"/>
          <w:szCs w:val="21"/>
        </w:rPr>
      </w:pPr>
      <w:r>
        <w:rPr>
          <w:rFonts w:ascii="SimSun" w:hAnsi="SimSun" w:eastAsia="SimSun" w:cs="SimSun"/>
          <w:sz w:val="21"/>
          <w:szCs w:val="21"/>
          <w:spacing w:val="4"/>
        </w:rPr>
        <w:t>投资活动现金流量为净流出</w:t>
      </w:r>
      <w:r>
        <w:rPr>
          <w:rFonts w:ascii="Times New Roman" w:hAnsi="Times New Roman" w:eastAsia="Times New Roman" w:cs="Times New Roman"/>
          <w:sz w:val="21"/>
          <w:szCs w:val="21"/>
          <w:spacing w:val="4"/>
        </w:rPr>
        <w:t>2,848.97</w:t>
      </w:r>
      <w:r>
        <w:rPr>
          <w:rFonts w:ascii="SimSun" w:hAnsi="SimSun" w:eastAsia="SimSun" w:cs="SimSun"/>
          <w:sz w:val="21"/>
          <w:szCs w:val="21"/>
          <w:spacing w:val="4"/>
        </w:rPr>
        <w:t>亿元,同比多流出</w:t>
      </w:r>
      <w:r>
        <w:rPr>
          <w:rFonts w:ascii="Times New Roman" w:hAnsi="Times New Roman" w:eastAsia="Times New Roman" w:cs="Times New Roman"/>
          <w:sz w:val="21"/>
          <w:szCs w:val="21"/>
          <w:spacing w:val="4"/>
        </w:rPr>
        <w:t>2,093.49</w:t>
      </w:r>
      <w:r>
        <w:rPr>
          <w:rFonts w:ascii="SimSun" w:hAnsi="SimSun" w:eastAsia="SimSun" w:cs="SimSun"/>
          <w:sz w:val="21"/>
          <w:szCs w:val="21"/>
          <w:spacing w:val="4"/>
        </w:rPr>
        <w:t>亿元,主要是债券投资增加。</w:t>
      </w:r>
    </w:p>
    <w:p>
      <w:pPr>
        <w:pStyle w:val="BodyText"/>
        <w:spacing w:line="248" w:lineRule="auto"/>
        <w:rPr/>
      </w:pPr>
      <w:r/>
    </w:p>
    <w:p>
      <w:pPr>
        <w:ind w:left="24" w:right="76" w:firstLine="423"/>
        <w:spacing w:before="68" w:line="270" w:lineRule="auto"/>
        <w:rPr>
          <w:rFonts w:ascii="SimSun" w:hAnsi="SimSun" w:eastAsia="SimSun" w:cs="SimSun"/>
          <w:sz w:val="21"/>
          <w:szCs w:val="21"/>
        </w:rPr>
      </w:pPr>
      <w:r>
        <w:rPr>
          <w:rFonts w:ascii="SimSun" w:hAnsi="SimSun" w:eastAsia="SimSun" w:cs="SimSun"/>
          <w:sz w:val="21"/>
          <w:szCs w:val="21"/>
        </w:rPr>
        <w:t>筹资活动现金流量为净流出</w:t>
      </w:r>
      <w:r>
        <w:rPr>
          <w:rFonts w:ascii="Times New Roman" w:hAnsi="Times New Roman" w:eastAsia="Times New Roman" w:cs="Times New Roman"/>
          <w:sz w:val="21"/>
          <w:szCs w:val="21"/>
        </w:rPr>
        <w:t>329.75</w:t>
      </w:r>
      <w:r>
        <w:rPr>
          <w:rFonts w:ascii="SimSun" w:hAnsi="SimSun" w:eastAsia="SimSun" w:cs="SimSun"/>
          <w:sz w:val="21"/>
          <w:szCs w:val="21"/>
        </w:rPr>
        <w:t>亿元,</w:t>
      </w:r>
      <w:r>
        <w:rPr>
          <w:rFonts w:ascii="SimSun" w:hAnsi="SimSun" w:eastAsia="SimSun" w:cs="SimSun"/>
          <w:sz w:val="21"/>
          <w:szCs w:val="21"/>
          <w:spacing w:val="71"/>
        </w:rPr>
        <w:t xml:space="preserve"> </w:t>
      </w:r>
      <w:r>
        <w:rPr>
          <w:rFonts w:ascii="SimSun" w:hAnsi="SimSun" w:eastAsia="SimSun" w:cs="SimSun"/>
          <w:sz w:val="21"/>
          <w:szCs w:val="21"/>
        </w:rPr>
        <w:t>同比多流出</w:t>
      </w:r>
      <w:r>
        <w:rPr>
          <w:rFonts w:ascii="Times New Roman" w:hAnsi="Times New Roman" w:eastAsia="Times New Roman" w:cs="Times New Roman"/>
          <w:sz w:val="21"/>
          <w:szCs w:val="21"/>
        </w:rPr>
        <w:t>342.81</w:t>
      </w:r>
      <w:r>
        <w:rPr>
          <w:rFonts w:ascii="SimSun" w:hAnsi="SimSun" w:eastAsia="SimSun" w:cs="SimSun"/>
          <w:sz w:val="21"/>
          <w:szCs w:val="21"/>
        </w:rPr>
        <w:t>亿元。主要是去年同期发行永续债导致现 </w:t>
      </w:r>
      <w:r>
        <w:rPr>
          <w:rFonts w:ascii="SimSun" w:hAnsi="SimSun" w:eastAsia="SimSun" w:cs="SimSun"/>
          <w:sz w:val="21"/>
          <w:szCs w:val="21"/>
          <w:spacing w:val="-1"/>
        </w:rPr>
        <w:t>金流入同比减少。</w:t>
      </w:r>
    </w:p>
    <w:p>
      <w:pPr>
        <w:ind w:left="556"/>
        <w:spacing w:before="307" w:line="221" w:lineRule="auto"/>
        <w:rPr>
          <w:rFonts w:ascii="SimSun" w:hAnsi="SimSun" w:eastAsia="SimSun" w:cs="SimSun"/>
          <w:sz w:val="21"/>
          <w:szCs w:val="21"/>
        </w:rPr>
      </w:pPr>
      <w:r>
        <w:rPr>
          <w:rFonts w:ascii="SimSun" w:hAnsi="SimSun" w:eastAsia="SimSun" w:cs="SimSun"/>
          <w:sz w:val="21"/>
          <w:szCs w:val="21"/>
          <w:b/>
          <w:bCs/>
          <w:spacing w:val="11"/>
        </w:rPr>
        <w:t>(四)分部情况</w:t>
      </w:r>
    </w:p>
    <w:p>
      <w:pPr>
        <w:ind w:left="459"/>
        <w:spacing w:before="308" w:line="221" w:lineRule="auto"/>
        <w:rPr>
          <w:rFonts w:ascii="SimSun" w:hAnsi="SimSun" w:eastAsia="SimSun" w:cs="SimSun"/>
          <w:sz w:val="21"/>
          <w:szCs w:val="21"/>
        </w:rPr>
      </w:pPr>
      <w:r>
        <w:rPr>
          <w:rFonts w:ascii="Times New Roman" w:hAnsi="Times New Roman" w:eastAsia="Times New Roman" w:cs="Times New Roman"/>
          <w:sz w:val="21"/>
          <w:szCs w:val="21"/>
          <w:spacing w:val="-2"/>
        </w:rPr>
        <w:t>1.</w:t>
      </w:r>
      <w:r>
        <w:rPr>
          <w:rFonts w:ascii="SimSun" w:hAnsi="SimSun" w:eastAsia="SimSun" w:cs="SimSun"/>
          <w:sz w:val="21"/>
          <w:szCs w:val="21"/>
          <w:spacing w:val="-2"/>
        </w:rPr>
        <w:t>按地区划分的经营业绩</w:t>
      </w:r>
    </w:p>
    <w:p>
      <w:pPr>
        <w:ind w:left="443"/>
        <w:spacing w:before="309" w:line="221" w:lineRule="auto"/>
        <w:rPr>
          <w:rFonts w:ascii="SimSun" w:hAnsi="SimSun" w:eastAsia="SimSun" w:cs="SimSun"/>
          <w:sz w:val="21"/>
          <w:szCs w:val="21"/>
        </w:rPr>
      </w:pPr>
      <w:r>
        <w:rPr>
          <w:rFonts w:ascii="SimSun" w:hAnsi="SimSun" w:eastAsia="SimSun" w:cs="SimSun"/>
          <w:sz w:val="21"/>
          <w:szCs w:val="21"/>
          <w:spacing w:val="-1"/>
        </w:rPr>
        <w:t>本集团在所示期间各个地区的利润总额和营业收入如下:</w:t>
      </w:r>
    </w:p>
    <w:p>
      <w:pPr>
        <w:pStyle w:val="BodyText"/>
        <w:spacing w:line="248" w:lineRule="auto"/>
        <w:rPr/>
      </w:pPr>
      <w:r/>
    </w:p>
    <w:p>
      <w:pPr>
        <w:ind w:left="7201"/>
        <w:spacing w:before="59" w:line="251"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position w:val="2"/>
        </w:rPr>
        <w:t>(</w:t>
      </w:r>
      <w:r>
        <w:rPr>
          <w:rFonts w:ascii="SimSun" w:hAnsi="SimSun" w:eastAsia="SimSun" w:cs="SimSun"/>
          <w:sz w:val="18"/>
          <w:szCs w:val="18"/>
          <w:spacing w:val="5"/>
          <w:position w:val="2"/>
        </w:rPr>
        <w:t>除另有标明外,人民币百万元</w:t>
      </w:r>
      <w:r>
        <w:rPr>
          <w:rFonts w:ascii="Times New Roman" w:hAnsi="Times New Roman" w:eastAsia="Times New Roman" w:cs="Times New Roman"/>
          <w:sz w:val="18"/>
          <w:szCs w:val="18"/>
          <w:spacing w:val="5"/>
          <w:position w:val="2"/>
        </w:rPr>
        <w:t>)</w:t>
      </w:r>
    </w:p>
    <w:p>
      <w:pPr>
        <w:spacing w:line="32" w:lineRule="auto"/>
        <w:rPr>
          <w:rFonts w:ascii="Arial"/>
          <w:sz w:val="2"/>
        </w:rPr>
      </w:pPr>
      <w:r>
        <w:rPr>
          <w:rFonts w:ascii="Arial"/>
          <w:sz w:val="2"/>
        </w:rPr>
      </w:r>
    </w:p>
    <w:tbl>
      <w:tblPr>
        <w:tblStyle w:val="TableNormal"/>
        <w:tblW w:w="9654"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188"/>
        <w:gridCol w:w="1058"/>
        <w:gridCol w:w="1059"/>
        <w:gridCol w:w="1061"/>
        <w:gridCol w:w="1057"/>
        <w:gridCol w:w="1230"/>
        <w:gridCol w:w="971"/>
        <w:gridCol w:w="1144"/>
        <w:gridCol w:w="886"/>
      </w:tblGrid>
      <w:tr>
        <w:trPr>
          <w:trHeight w:val="383" w:hRule="atLeast"/>
        </w:trPr>
        <w:tc>
          <w:tcPr>
            <w:tcW w:w="1188" w:type="dxa"/>
            <w:vAlign w:val="top"/>
            <w:vMerge w:val="restart"/>
            <w:tcBorders>
              <w:bottom w:val="nil"/>
              <w:top w:val="single" w:color="000000" w:sz="2" w:space="0"/>
            </w:tcBorders>
          </w:tcPr>
          <w:p>
            <w:pPr>
              <w:rPr>
                <w:rFonts w:ascii="Arial"/>
                <w:sz w:val="21"/>
              </w:rPr>
            </w:pPr>
            <w:r/>
          </w:p>
        </w:tc>
        <w:tc>
          <w:tcPr>
            <w:shd w:val="clear" w:fill="DBE5F1"/>
            <w:tcW w:w="4235" w:type="dxa"/>
            <w:vAlign w:val="top"/>
            <w:gridSpan w:val="4"/>
            <w:tcBorders>
              <w:bottom w:val="single" w:color="000000" w:sz="2" w:space="0"/>
              <w:top w:val="single" w:color="000000" w:sz="2" w:space="0"/>
            </w:tcBorders>
          </w:tcPr>
          <w:p>
            <w:pPr>
              <w:pStyle w:val="TableText"/>
              <w:ind w:left="1853"/>
              <w:spacing w:before="114" w:line="220" w:lineRule="auto"/>
              <w:rPr>
                <w:sz w:val="18"/>
                <w:szCs w:val="18"/>
              </w:rPr>
            </w:pPr>
            <w:r>
              <w:rPr>
                <w:rFonts w:ascii="Times New Roman" w:hAnsi="Times New Roman" w:eastAsia="Times New Roman" w:cs="Times New Roman"/>
                <w:sz w:val="18"/>
                <w:szCs w:val="18"/>
                <w:b/>
                <w:bCs/>
                <w:spacing w:val="-2"/>
              </w:rPr>
              <w:t>2022</w:t>
            </w:r>
            <w:r>
              <w:rPr>
                <w:sz w:val="18"/>
                <w:szCs w:val="18"/>
                <w:b/>
                <w:bCs/>
                <w:spacing w:val="-2"/>
              </w:rPr>
              <w:t>年</w:t>
            </w:r>
          </w:p>
        </w:tc>
        <w:tc>
          <w:tcPr>
            <w:tcW w:w="4231" w:type="dxa"/>
            <w:vAlign w:val="top"/>
            <w:gridSpan w:val="4"/>
            <w:tcBorders>
              <w:bottom w:val="single" w:color="000000" w:sz="2" w:space="0"/>
              <w:top w:val="single" w:color="000000" w:sz="2" w:space="0"/>
            </w:tcBorders>
          </w:tcPr>
          <w:p>
            <w:pPr>
              <w:pStyle w:val="TableText"/>
              <w:ind w:left="1849"/>
              <w:spacing w:before="114" w:line="220" w:lineRule="auto"/>
              <w:rPr>
                <w:sz w:val="18"/>
                <w:szCs w:val="18"/>
              </w:rPr>
            </w:pPr>
            <w:r>
              <w:rPr>
                <w:rFonts w:ascii="Times New Roman" w:hAnsi="Times New Roman" w:eastAsia="Times New Roman" w:cs="Times New Roman"/>
                <w:sz w:val="18"/>
                <w:szCs w:val="18"/>
                <w:spacing w:val="-1"/>
              </w:rPr>
              <w:t>2021</w:t>
            </w:r>
            <w:r>
              <w:rPr>
                <w:sz w:val="18"/>
                <w:szCs w:val="18"/>
                <w:spacing w:val="-1"/>
              </w:rPr>
              <w:t>年</w:t>
            </w:r>
          </w:p>
        </w:tc>
      </w:tr>
      <w:tr>
        <w:trPr>
          <w:trHeight w:val="378" w:hRule="atLeast"/>
        </w:trPr>
        <w:tc>
          <w:tcPr>
            <w:tcW w:w="1188" w:type="dxa"/>
            <w:vAlign w:val="top"/>
            <w:vMerge w:val="continue"/>
            <w:tcBorders>
              <w:bottom w:val="single" w:color="000000" w:sz="2" w:space="0"/>
              <w:top w:val="nil"/>
            </w:tcBorders>
          </w:tcPr>
          <w:p>
            <w:pPr>
              <w:rPr>
                <w:rFonts w:ascii="Arial"/>
                <w:sz w:val="21"/>
              </w:rPr>
            </w:pPr>
            <w:r/>
          </w:p>
        </w:tc>
        <w:tc>
          <w:tcPr>
            <w:shd w:val="clear" w:fill="DBE5F1"/>
            <w:tcW w:w="1058" w:type="dxa"/>
            <w:vAlign w:val="top"/>
            <w:tcBorders>
              <w:bottom w:val="single" w:color="000000" w:sz="2" w:space="0"/>
              <w:top w:val="single" w:color="000000" w:sz="2" w:space="0"/>
            </w:tcBorders>
          </w:tcPr>
          <w:p>
            <w:pPr>
              <w:pStyle w:val="TableText"/>
              <w:ind w:left="286"/>
              <w:spacing w:before="110" w:line="220" w:lineRule="auto"/>
              <w:rPr>
                <w:sz w:val="18"/>
                <w:szCs w:val="18"/>
              </w:rPr>
            </w:pPr>
            <w:r>
              <w:rPr>
                <w:sz w:val="18"/>
                <w:szCs w:val="18"/>
                <w:b/>
                <w:bCs/>
                <w:spacing w:val="-4"/>
              </w:rPr>
              <w:t>利润总额</w:t>
            </w:r>
          </w:p>
        </w:tc>
        <w:tc>
          <w:tcPr>
            <w:shd w:val="clear" w:fill="DBE5F1"/>
            <w:tcW w:w="1059" w:type="dxa"/>
            <w:vAlign w:val="top"/>
            <w:tcBorders>
              <w:bottom w:val="single" w:color="000000" w:sz="2" w:space="0"/>
              <w:top w:val="single" w:color="000000" w:sz="2" w:space="0"/>
            </w:tcBorders>
          </w:tcPr>
          <w:p>
            <w:pPr>
              <w:pStyle w:val="TableText"/>
              <w:ind w:left="375"/>
              <w:spacing w:before="109" w:line="212" w:lineRule="auto"/>
              <w:rPr>
                <w:rFonts w:ascii="Times New Roman" w:hAnsi="Times New Roman" w:eastAsia="Times New Roman" w:cs="Times New Roman"/>
                <w:sz w:val="18"/>
                <w:szCs w:val="18"/>
              </w:rPr>
            </w:pPr>
            <w:r>
              <w:rPr>
                <w:sz w:val="18"/>
                <w:szCs w:val="18"/>
                <w:b/>
                <w:bCs/>
                <w:spacing w:val="-7"/>
              </w:rPr>
              <w:t>占比</w:t>
            </w:r>
            <w:r>
              <w:rPr>
                <w:rFonts w:ascii="Times New Roman" w:hAnsi="Times New Roman" w:eastAsia="Times New Roman" w:cs="Times New Roman"/>
                <w:sz w:val="18"/>
                <w:szCs w:val="18"/>
                <w:b/>
                <w:bCs/>
                <w:spacing w:val="-7"/>
              </w:rPr>
              <w:t>(%)</w:t>
            </w:r>
          </w:p>
        </w:tc>
        <w:tc>
          <w:tcPr>
            <w:shd w:val="clear" w:fill="DBE5F1"/>
            <w:tcW w:w="1061" w:type="dxa"/>
            <w:vAlign w:val="top"/>
            <w:tcBorders>
              <w:bottom w:val="single" w:color="000000" w:sz="2" w:space="0"/>
              <w:top w:val="single" w:color="000000" w:sz="2" w:space="0"/>
            </w:tcBorders>
          </w:tcPr>
          <w:p>
            <w:pPr>
              <w:pStyle w:val="TableText"/>
              <w:ind w:left="231"/>
              <w:spacing w:before="104" w:line="226" w:lineRule="auto"/>
              <w:rPr>
                <w:rFonts w:ascii="Times New Roman" w:hAnsi="Times New Roman" w:eastAsia="Times New Roman" w:cs="Times New Roman"/>
                <w:sz w:val="12"/>
                <w:szCs w:val="12"/>
              </w:rPr>
            </w:pPr>
            <w:r>
              <w:rPr>
                <w:sz w:val="18"/>
                <w:szCs w:val="18"/>
                <w:b/>
                <w:bCs/>
                <w:spacing w:val="-4"/>
              </w:rPr>
              <w:t>营业收入</w:t>
            </w:r>
            <w:r>
              <w:rPr>
                <w:rFonts w:ascii="Times New Roman" w:hAnsi="Times New Roman" w:eastAsia="Times New Roman" w:cs="Times New Roman"/>
                <w:sz w:val="12"/>
                <w:szCs w:val="12"/>
                <w:b/>
                <w:bCs/>
                <w:spacing w:val="-4"/>
                <w:position w:val="7"/>
              </w:rPr>
              <w:t>1</w:t>
            </w:r>
          </w:p>
        </w:tc>
        <w:tc>
          <w:tcPr>
            <w:shd w:val="clear" w:fill="DBE5F1"/>
            <w:tcW w:w="1057" w:type="dxa"/>
            <w:vAlign w:val="top"/>
            <w:tcBorders>
              <w:bottom w:val="single" w:color="000000" w:sz="2" w:space="0"/>
              <w:top w:val="single" w:color="000000" w:sz="2" w:space="0"/>
            </w:tcBorders>
          </w:tcPr>
          <w:p>
            <w:pPr>
              <w:pStyle w:val="TableText"/>
              <w:ind w:left="375"/>
              <w:spacing w:before="109" w:line="212" w:lineRule="auto"/>
              <w:rPr>
                <w:rFonts w:ascii="Times New Roman" w:hAnsi="Times New Roman" w:eastAsia="Times New Roman" w:cs="Times New Roman"/>
                <w:sz w:val="18"/>
                <w:szCs w:val="18"/>
              </w:rPr>
            </w:pPr>
            <w:r>
              <w:rPr>
                <w:sz w:val="18"/>
                <w:szCs w:val="18"/>
                <w:b/>
                <w:bCs/>
                <w:spacing w:val="-8"/>
              </w:rPr>
              <w:t>占比</w:t>
            </w:r>
            <w:r>
              <w:rPr>
                <w:rFonts w:ascii="Times New Roman" w:hAnsi="Times New Roman" w:eastAsia="Times New Roman" w:cs="Times New Roman"/>
                <w:sz w:val="18"/>
                <w:szCs w:val="18"/>
                <w:b/>
                <w:bCs/>
                <w:spacing w:val="-8"/>
              </w:rPr>
              <w:t>(%)</w:t>
            </w:r>
          </w:p>
        </w:tc>
        <w:tc>
          <w:tcPr>
            <w:tcW w:w="1230" w:type="dxa"/>
            <w:vAlign w:val="top"/>
            <w:tcBorders>
              <w:bottom w:val="single" w:color="000000" w:sz="2" w:space="0"/>
              <w:top w:val="single" w:color="000000" w:sz="2" w:space="0"/>
            </w:tcBorders>
          </w:tcPr>
          <w:p>
            <w:pPr>
              <w:pStyle w:val="TableText"/>
              <w:ind w:left="288"/>
              <w:spacing w:before="110" w:line="220" w:lineRule="auto"/>
              <w:rPr>
                <w:sz w:val="18"/>
                <w:szCs w:val="18"/>
              </w:rPr>
            </w:pPr>
            <w:r>
              <w:rPr>
                <w:sz w:val="18"/>
                <w:szCs w:val="18"/>
                <w:spacing w:val="-2"/>
              </w:rPr>
              <w:t>利润总额</w:t>
            </w:r>
          </w:p>
        </w:tc>
        <w:tc>
          <w:tcPr>
            <w:tcW w:w="971" w:type="dxa"/>
            <w:vAlign w:val="top"/>
            <w:tcBorders>
              <w:bottom w:val="single" w:color="000000" w:sz="2" w:space="0"/>
              <w:top w:val="single" w:color="000000" w:sz="2" w:space="0"/>
            </w:tcBorders>
          </w:tcPr>
          <w:p>
            <w:pPr>
              <w:pStyle w:val="TableText"/>
              <w:ind w:left="236"/>
              <w:spacing w:before="83" w:line="250" w:lineRule="exact"/>
              <w:rPr>
                <w:rFonts w:ascii="Times New Roman" w:hAnsi="Times New Roman" w:eastAsia="Times New Roman" w:cs="Times New Roman"/>
                <w:sz w:val="18"/>
                <w:szCs w:val="18"/>
              </w:rPr>
            </w:pPr>
            <w:r>
              <w:rPr>
                <w:sz w:val="18"/>
                <w:szCs w:val="18"/>
                <w:spacing w:val="-8"/>
                <w:position w:val="2"/>
              </w:rPr>
              <w:t>占比</w:t>
            </w:r>
            <w:r>
              <w:rPr>
                <w:rFonts w:ascii="Times New Roman" w:hAnsi="Times New Roman" w:eastAsia="Times New Roman" w:cs="Times New Roman"/>
                <w:sz w:val="18"/>
                <w:szCs w:val="18"/>
                <w:spacing w:val="-8"/>
                <w:position w:val="2"/>
              </w:rPr>
              <w:t>(%)</w:t>
            </w:r>
          </w:p>
        </w:tc>
        <w:tc>
          <w:tcPr>
            <w:tcW w:w="1144" w:type="dxa"/>
            <w:vAlign w:val="top"/>
            <w:tcBorders>
              <w:bottom w:val="single" w:color="000000" w:sz="2" w:space="0"/>
              <w:top w:val="single" w:color="000000" w:sz="2" w:space="0"/>
            </w:tcBorders>
          </w:tcPr>
          <w:p>
            <w:pPr>
              <w:pStyle w:val="TableText"/>
              <w:ind w:left="149"/>
              <w:spacing w:before="104" w:line="226" w:lineRule="auto"/>
              <w:rPr>
                <w:rFonts w:ascii="Times New Roman" w:hAnsi="Times New Roman" w:eastAsia="Times New Roman" w:cs="Times New Roman"/>
                <w:sz w:val="12"/>
                <w:szCs w:val="12"/>
              </w:rPr>
            </w:pPr>
            <w:r>
              <w:rPr>
                <w:sz w:val="18"/>
                <w:szCs w:val="18"/>
                <w:spacing w:val="-3"/>
              </w:rPr>
              <w:t>营业收入</w:t>
            </w:r>
            <w:r>
              <w:rPr>
                <w:rFonts w:ascii="Times New Roman" w:hAnsi="Times New Roman" w:eastAsia="Times New Roman" w:cs="Times New Roman"/>
                <w:sz w:val="12"/>
                <w:szCs w:val="12"/>
                <w:spacing w:val="-3"/>
                <w:position w:val="7"/>
              </w:rPr>
              <w:t>1</w:t>
            </w:r>
          </w:p>
        </w:tc>
        <w:tc>
          <w:tcPr>
            <w:tcW w:w="886" w:type="dxa"/>
            <w:vAlign w:val="top"/>
            <w:tcBorders>
              <w:bottom w:val="single" w:color="000000" w:sz="2" w:space="0"/>
              <w:top w:val="single" w:color="000000" w:sz="2" w:space="0"/>
            </w:tcBorders>
          </w:tcPr>
          <w:p>
            <w:pPr>
              <w:pStyle w:val="TableText"/>
              <w:ind w:left="236"/>
              <w:spacing w:before="83" w:line="250" w:lineRule="exact"/>
              <w:rPr>
                <w:rFonts w:ascii="Times New Roman" w:hAnsi="Times New Roman" w:eastAsia="Times New Roman" w:cs="Times New Roman"/>
                <w:sz w:val="18"/>
                <w:szCs w:val="18"/>
              </w:rPr>
            </w:pPr>
            <w:r>
              <w:rPr>
                <w:sz w:val="18"/>
                <w:szCs w:val="18"/>
                <w:spacing w:val="-8"/>
                <w:position w:val="2"/>
              </w:rPr>
              <w:t>占比</w:t>
            </w:r>
            <w:r>
              <w:rPr>
                <w:rFonts w:ascii="Times New Roman" w:hAnsi="Times New Roman" w:eastAsia="Times New Roman" w:cs="Times New Roman"/>
                <w:sz w:val="18"/>
                <w:szCs w:val="18"/>
                <w:spacing w:val="-8"/>
                <w:position w:val="2"/>
              </w:rPr>
              <w:t>(%)</w:t>
            </w:r>
          </w:p>
        </w:tc>
      </w:tr>
      <w:tr>
        <w:trPr>
          <w:trHeight w:val="378" w:hRule="atLeast"/>
        </w:trPr>
        <w:tc>
          <w:tcPr>
            <w:tcW w:w="1188" w:type="dxa"/>
            <w:vAlign w:val="top"/>
            <w:tcBorders>
              <w:bottom w:val="single" w:color="000000" w:sz="2" w:space="0"/>
              <w:top w:val="single" w:color="000000" w:sz="2" w:space="0"/>
            </w:tcBorders>
          </w:tcPr>
          <w:p>
            <w:pPr>
              <w:pStyle w:val="TableText"/>
              <w:ind w:left="79"/>
              <w:spacing w:before="110" w:line="220" w:lineRule="auto"/>
              <w:rPr>
                <w:sz w:val="18"/>
                <w:szCs w:val="18"/>
              </w:rPr>
            </w:pPr>
            <w:r>
              <w:rPr>
                <w:sz w:val="18"/>
                <w:szCs w:val="18"/>
                <w:spacing w:val="-2"/>
              </w:rPr>
              <w:t>长江三角洲</w:t>
            </w:r>
          </w:p>
        </w:tc>
        <w:tc>
          <w:tcPr>
            <w:shd w:val="clear" w:fill="DBE5F1"/>
            <w:tcW w:w="1058" w:type="dxa"/>
            <w:vAlign w:val="top"/>
            <w:tcBorders>
              <w:bottom w:val="single" w:color="000000" w:sz="2" w:space="0"/>
              <w:top w:val="single" w:color="000000" w:sz="2" w:space="0"/>
            </w:tcBorders>
          </w:tcPr>
          <w:p>
            <w:pPr>
              <w:ind w:left="511"/>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47,589</w:t>
            </w:r>
          </w:p>
        </w:tc>
        <w:tc>
          <w:tcPr>
            <w:shd w:val="clear" w:fill="DBE5F1"/>
            <w:tcW w:w="1059" w:type="dxa"/>
            <w:vAlign w:val="top"/>
            <w:tcBorders>
              <w:bottom w:val="single" w:color="000000" w:sz="2" w:space="0"/>
              <w:top w:val="single" w:color="000000" w:sz="2" w:space="0"/>
            </w:tcBorders>
          </w:tcPr>
          <w:p>
            <w:pPr>
              <w:ind w:left="601"/>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48.45</w:t>
            </w:r>
          </w:p>
        </w:tc>
        <w:tc>
          <w:tcPr>
            <w:shd w:val="clear" w:fill="DBE5F1"/>
            <w:tcW w:w="1061" w:type="dxa"/>
            <w:vAlign w:val="top"/>
            <w:tcBorders>
              <w:bottom w:val="single" w:color="000000" w:sz="2" w:space="0"/>
              <w:top w:val="single" w:color="000000" w:sz="2" w:space="0"/>
            </w:tcBorders>
          </w:tcPr>
          <w:p>
            <w:pPr>
              <w:ind w:left="427"/>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103,191</w:t>
            </w:r>
          </w:p>
        </w:tc>
        <w:tc>
          <w:tcPr>
            <w:shd w:val="clear" w:fill="DBE5F1"/>
            <w:tcW w:w="1057" w:type="dxa"/>
            <w:vAlign w:val="top"/>
            <w:tcBorders>
              <w:bottom w:val="single" w:color="000000" w:sz="2" w:space="0"/>
              <w:top w:val="single" w:color="000000" w:sz="2" w:space="0"/>
            </w:tcBorders>
          </w:tcPr>
          <w:p>
            <w:pPr>
              <w:ind w:left="598"/>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37.80</w:t>
            </w:r>
          </w:p>
        </w:tc>
        <w:tc>
          <w:tcPr>
            <w:tcW w:w="1230" w:type="dxa"/>
            <w:vAlign w:val="top"/>
            <w:tcBorders>
              <w:bottom w:val="single" w:color="000000" w:sz="2" w:space="0"/>
              <w:top w:val="single" w:color="000000" w:sz="2" w:space="0"/>
            </w:tcBorders>
          </w:tcPr>
          <w:p>
            <w:pPr>
              <w:ind w:left="506"/>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45,781</w:t>
            </w:r>
          </w:p>
        </w:tc>
        <w:tc>
          <w:tcPr>
            <w:tcW w:w="971" w:type="dxa"/>
            <w:vAlign w:val="top"/>
            <w:tcBorders>
              <w:bottom w:val="single" w:color="000000" w:sz="2" w:space="0"/>
              <w:top w:val="single" w:color="000000" w:sz="2" w:space="0"/>
            </w:tcBorders>
          </w:tcPr>
          <w:p>
            <w:pPr>
              <w:ind w:left="426"/>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48.72</w:t>
            </w:r>
          </w:p>
        </w:tc>
        <w:tc>
          <w:tcPr>
            <w:tcW w:w="1144" w:type="dxa"/>
            <w:vAlign w:val="top"/>
            <w:tcBorders>
              <w:bottom w:val="single" w:color="000000" w:sz="2" w:space="0"/>
              <w:top w:val="single" w:color="000000" w:sz="2" w:space="0"/>
            </w:tcBorders>
          </w:tcPr>
          <w:p>
            <w:pPr>
              <w:ind w:left="427"/>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98,716</w:t>
            </w:r>
          </w:p>
        </w:tc>
        <w:tc>
          <w:tcPr>
            <w:tcW w:w="886" w:type="dxa"/>
            <w:vAlign w:val="top"/>
            <w:tcBorders>
              <w:bottom w:val="single" w:color="000000" w:sz="2" w:space="0"/>
              <w:top w:val="single" w:color="000000" w:sz="2" w:space="0"/>
            </w:tcBorders>
          </w:tcPr>
          <w:p>
            <w:pPr>
              <w:ind w:left="430"/>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36.64</w:t>
            </w:r>
          </w:p>
        </w:tc>
      </w:tr>
      <w:tr>
        <w:trPr>
          <w:trHeight w:val="378" w:hRule="atLeast"/>
        </w:trPr>
        <w:tc>
          <w:tcPr>
            <w:tcW w:w="1188" w:type="dxa"/>
            <w:vAlign w:val="top"/>
            <w:tcBorders>
              <w:bottom w:val="single" w:color="000000" w:sz="2" w:space="0"/>
              <w:top w:val="single" w:color="000000" w:sz="2" w:space="0"/>
            </w:tcBorders>
          </w:tcPr>
          <w:p>
            <w:pPr>
              <w:pStyle w:val="TableText"/>
              <w:ind w:left="79"/>
              <w:spacing w:before="111" w:line="220" w:lineRule="auto"/>
              <w:rPr>
                <w:sz w:val="18"/>
                <w:szCs w:val="18"/>
              </w:rPr>
            </w:pPr>
            <w:r>
              <w:rPr>
                <w:sz w:val="18"/>
                <w:szCs w:val="18"/>
                <w:spacing w:val="-2"/>
              </w:rPr>
              <w:t>珠江三角洲</w:t>
            </w:r>
          </w:p>
        </w:tc>
        <w:tc>
          <w:tcPr>
            <w:shd w:val="clear" w:fill="DBE5F1"/>
            <w:tcW w:w="1058" w:type="dxa"/>
            <w:vAlign w:val="top"/>
            <w:tcBorders>
              <w:bottom w:val="single" w:color="000000" w:sz="2" w:space="0"/>
              <w:top w:val="single" w:color="000000" w:sz="2" w:space="0"/>
            </w:tcBorders>
          </w:tcPr>
          <w:p>
            <w:pPr>
              <w:ind w:left="528"/>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4"/>
              </w:rPr>
              <w:t>11,037</w:t>
            </w:r>
          </w:p>
        </w:tc>
        <w:tc>
          <w:tcPr>
            <w:shd w:val="clear" w:fill="DBE5F1"/>
            <w:tcW w:w="1059" w:type="dxa"/>
            <w:vAlign w:val="top"/>
            <w:tcBorders>
              <w:bottom w:val="single" w:color="000000" w:sz="2" w:space="0"/>
              <w:top w:val="single" w:color="000000" w:sz="2" w:space="0"/>
            </w:tcBorders>
          </w:tcPr>
          <w:p>
            <w:pPr>
              <w:ind w:left="618"/>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4"/>
              </w:rPr>
              <w:t>11.24</w:t>
            </w:r>
          </w:p>
        </w:tc>
        <w:tc>
          <w:tcPr>
            <w:shd w:val="clear" w:fill="DBE5F1"/>
            <w:tcW w:w="1061" w:type="dxa"/>
            <w:vAlign w:val="top"/>
            <w:tcBorders>
              <w:bottom w:val="single" w:color="000000" w:sz="2" w:space="0"/>
              <w:top w:val="single" w:color="000000" w:sz="2" w:space="0"/>
            </w:tcBorders>
          </w:tcPr>
          <w:p>
            <w:pPr>
              <w:ind w:left="511"/>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24,878</w:t>
            </w:r>
          </w:p>
        </w:tc>
        <w:tc>
          <w:tcPr>
            <w:shd w:val="clear" w:fill="DBE5F1"/>
            <w:tcW w:w="1057" w:type="dxa"/>
            <w:vAlign w:val="top"/>
            <w:tcBorders>
              <w:bottom w:val="single" w:color="000000" w:sz="2" w:space="0"/>
              <w:top w:val="single" w:color="000000" w:sz="2" w:space="0"/>
            </w:tcBorders>
          </w:tcPr>
          <w:p>
            <w:pPr>
              <w:ind w:left="702"/>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9.11</w:t>
            </w:r>
          </w:p>
        </w:tc>
        <w:tc>
          <w:tcPr>
            <w:tcW w:w="1230" w:type="dxa"/>
            <w:vAlign w:val="top"/>
            <w:tcBorders>
              <w:bottom w:val="single" w:color="000000" w:sz="2" w:space="0"/>
              <w:top w:val="single" w:color="000000" w:sz="2" w:space="0"/>
            </w:tcBorders>
          </w:tcPr>
          <w:p>
            <w:pPr>
              <w:ind w:left="525"/>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12,027</w:t>
            </w:r>
          </w:p>
        </w:tc>
        <w:tc>
          <w:tcPr>
            <w:tcW w:w="971" w:type="dxa"/>
            <w:vAlign w:val="top"/>
            <w:tcBorders>
              <w:bottom w:val="single" w:color="000000" w:sz="2" w:space="0"/>
              <w:top w:val="single" w:color="000000" w:sz="2" w:space="0"/>
            </w:tcBorders>
          </w:tcPr>
          <w:p>
            <w:pPr>
              <w:ind w:left="444"/>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12.80</w:t>
            </w:r>
          </w:p>
        </w:tc>
        <w:tc>
          <w:tcPr>
            <w:tcW w:w="1144" w:type="dxa"/>
            <w:vAlign w:val="top"/>
            <w:tcBorders>
              <w:bottom w:val="single" w:color="000000" w:sz="2" w:space="0"/>
              <w:top w:val="single" w:color="000000" w:sz="2" w:space="0"/>
            </w:tcBorders>
          </w:tcPr>
          <w:p>
            <w:pPr>
              <w:ind w:left="424"/>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23,369</w:t>
            </w:r>
          </w:p>
        </w:tc>
        <w:tc>
          <w:tcPr>
            <w:tcW w:w="886" w:type="dxa"/>
            <w:vAlign w:val="top"/>
            <w:tcBorders>
              <w:bottom w:val="single" w:color="000000" w:sz="2" w:space="0"/>
              <w:top w:val="single" w:color="000000" w:sz="2" w:space="0"/>
            </w:tcBorders>
          </w:tcPr>
          <w:p>
            <w:pPr>
              <w:ind w:left="525"/>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8.67</w:t>
            </w:r>
          </w:p>
        </w:tc>
      </w:tr>
      <w:tr>
        <w:trPr>
          <w:trHeight w:val="378" w:hRule="atLeast"/>
        </w:trPr>
        <w:tc>
          <w:tcPr>
            <w:tcW w:w="1188" w:type="dxa"/>
            <w:vAlign w:val="top"/>
            <w:tcBorders>
              <w:bottom w:val="single" w:color="000000" w:sz="2" w:space="0"/>
              <w:top w:val="single" w:color="000000" w:sz="2" w:space="0"/>
            </w:tcBorders>
          </w:tcPr>
          <w:p>
            <w:pPr>
              <w:pStyle w:val="TableText"/>
              <w:ind w:left="79"/>
              <w:spacing w:before="113" w:line="220" w:lineRule="auto"/>
              <w:rPr>
                <w:sz w:val="18"/>
                <w:szCs w:val="18"/>
              </w:rPr>
            </w:pPr>
            <w:r>
              <w:rPr>
                <w:sz w:val="18"/>
                <w:szCs w:val="18"/>
                <w:spacing w:val="-2"/>
              </w:rPr>
              <w:t>环渤海地区</w:t>
            </w:r>
          </w:p>
        </w:tc>
        <w:tc>
          <w:tcPr>
            <w:shd w:val="clear" w:fill="DBE5F1"/>
            <w:tcW w:w="1058" w:type="dxa"/>
            <w:vAlign w:val="top"/>
            <w:tcBorders>
              <w:bottom w:val="single" w:color="000000" w:sz="2" w:space="0"/>
              <w:top w:val="single" w:color="000000" w:sz="2" w:space="0"/>
            </w:tcBorders>
          </w:tcPr>
          <w:p>
            <w:pPr>
              <w:ind w:left="601"/>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8,425</w:t>
            </w:r>
          </w:p>
        </w:tc>
        <w:tc>
          <w:tcPr>
            <w:shd w:val="clear" w:fill="DBE5F1"/>
            <w:tcW w:w="1059" w:type="dxa"/>
            <w:vAlign w:val="top"/>
            <w:tcBorders>
              <w:bottom w:val="single" w:color="000000" w:sz="2" w:space="0"/>
              <w:top w:val="single" w:color="000000" w:sz="2" w:space="0"/>
            </w:tcBorders>
          </w:tcPr>
          <w:p>
            <w:pPr>
              <w:ind w:left="694"/>
              <w:spacing w:before="147" w:line="185"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8.58</w:t>
            </w:r>
          </w:p>
        </w:tc>
        <w:tc>
          <w:tcPr>
            <w:shd w:val="clear" w:fill="DBE5F1"/>
            <w:tcW w:w="1061" w:type="dxa"/>
            <w:vAlign w:val="top"/>
            <w:tcBorders>
              <w:bottom w:val="single" w:color="000000" w:sz="2" w:space="0"/>
              <w:top w:val="single" w:color="000000" w:sz="2" w:space="0"/>
            </w:tcBorders>
          </w:tcPr>
          <w:p>
            <w:pPr>
              <w:ind w:left="510"/>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31,412</w:t>
            </w:r>
          </w:p>
        </w:tc>
        <w:tc>
          <w:tcPr>
            <w:shd w:val="clear" w:fill="DBE5F1"/>
            <w:tcW w:w="1057" w:type="dxa"/>
            <w:vAlign w:val="top"/>
            <w:tcBorders>
              <w:bottom w:val="single" w:color="000000" w:sz="2" w:space="0"/>
              <w:top w:val="single" w:color="000000" w:sz="2" w:space="0"/>
            </w:tcBorders>
          </w:tcPr>
          <w:p>
            <w:pPr>
              <w:ind w:left="617"/>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4"/>
              </w:rPr>
              <w:t>11.51</w:t>
            </w:r>
          </w:p>
        </w:tc>
        <w:tc>
          <w:tcPr>
            <w:tcW w:w="1230" w:type="dxa"/>
            <w:vAlign w:val="top"/>
            <w:tcBorders>
              <w:bottom w:val="single" w:color="000000" w:sz="2" w:space="0"/>
              <w:top w:val="single" w:color="000000" w:sz="2" w:space="0"/>
            </w:tcBorders>
          </w:tcPr>
          <w:p>
            <w:pPr>
              <w:ind w:left="525"/>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13,312</w:t>
            </w:r>
          </w:p>
        </w:tc>
        <w:tc>
          <w:tcPr>
            <w:tcW w:w="971" w:type="dxa"/>
            <w:vAlign w:val="top"/>
            <w:tcBorders>
              <w:bottom w:val="single" w:color="000000" w:sz="2" w:space="0"/>
              <w:top w:val="single" w:color="000000" w:sz="2" w:space="0"/>
            </w:tcBorders>
          </w:tcPr>
          <w:p>
            <w:pPr>
              <w:ind w:left="444"/>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14.17</w:t>
            </w:r>
          </w:p>
        </w:tc>
        <w:tc>
          <w:tcPr>
            <w:tcW w:w="1144" w:type="dxa"/>
            <w:vAlign w:val="top"/>
            <w:tcBorders>
              <w:bottom w:val="single" w:color="000000" w:sz="2" w:space="0"/>
              <w:top w:val="single" w:color="000000" w:sz="2" w:space="0"/>
            </w:tcBorders>
          </w:tcPr>
          <w:p>
            <w:pPr>
              <w:ind w:left="427"/>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30,198</w:t>
            </w:r>
          </w:p>
        </w:tc>
        <w:tc>
          <w:tcPr>
            <w:tcW w:w="886" w:type="dxa"/>
            <w:vAlign w:val="top"/>
            <w:tcBorders>
              <w:bottom w:val="single" w:color="000000" w:sz="2" w:space="0"/>
              <w:top w:val="single" w:color="000000" w:sz="2" w:space="0"/>
            </w:tcBorders>
          </w:tcPr>
          <w:p>
            <w:pPr>
              <w:ind w:left="451"/>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11.21</w:t>
            </w:r>
          </w:p>
        </w:tc>
      </w:tr>
      <w:tr>
        <w:trPr>
          <w:trHeight w:val="383" w:hRule="atLeast"/>
        </w:trPr>
        <w:tc>
          <w:tcPr>
            <w:tcW w:w="1188" w:type="dxa"/>
            <w:vAlign w:val="top"/>
            <w:tcBorders>
              <w:bottom w:val="single" w:color="000000" w:sz="2" w:space="0"/>
              <w:top w:val="single" w:color="000000" w:sz="2" w:space="0"/>
            </w:tcBorders>
          </w:tcPr>
          <w:p>
            <w:pPr>
              <w:pStyle w:val="TableText"/>
              <w:ind w:left="95"/>
              <w:spacing w:before="114" w:line="220" w:lineRule="auto"/>
              <w:rPr>
                <w:sz w:val="18"/>
                <w:szCs w:val="18"/>
              </w:rPr>
            </w:pPr>
            <w:r>
              <w:rPr>
                <w:sz w:val="18"/>
                <w:szCs w:val="18"/>
                <w:spacing w:val="-5"/>
              </w:rPr>
              <w:t>中部地区</w:t>
            </w:r>
          </w:p>
        </w:tc>
        <w:tc>
          <w:tcPr>
            <w:shd w:val="clear" w:fill="DBE5F1"/>
            <w:tcW w:w="1058" w:type="dxa"/>
            <w:vAlign w:val="top"/>
            <w:tcBorders>
              <w:bottom w:val="single" w:color="000000" w:sz="2" w:space="0"/>
              <w:top w:val="single" w:color="000000" w:sz="2" w:space="0"/>
            </w:tcBorders>
          </w:tcPr>
          <w:p>
            <w:pPr>
              <w:ind w:left="511"/>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27,866</w:t>
            </w:r>
          </w:p>
        </w:tc>
        <w:tc>
          <w:tcPr>
            <w:shd w:val="clear" w:fill="DBE5F1"/>
            <w:tcW w:w="1059" w:type="dxa"/>
            <w:vAlign w:val="top"/>
            <w:tcBorders>
              <w:bottom w:val="single" w:color="000000" w:sz="2" w:space="0"/>
              <w:top w:val="single" w:color="000000" w:sz="2" w:space="0"/>
            </w:tcBorders>
          </w:tcPr>
          <w:p>
            <w:pPr>
              <w:ind w:left="600"/>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28.37</w:t>
            </w:r>
          </w:p>
        </w:tc>
        <w:tc>
          <w:tcPr>
            <w:shd w:val="clear" w:fill="DBE5F1"/>
            <w:tcW w:w="1061" w:type="dxa"/>
            <w:vAlign w:val="top"/>
            <w:tcBorders>
              <w:bottom w:val="single" w:color="000000" w:sz="2" w:space="0"/>
              <w:top w:val="single" w:color="000000" w:sz="2" w:space="0"/>
            </w:tcBorders>
          </w:tcPr>
          <w:p>
            <w:pPr>
              <w:ind w:left="510"/>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38,151</w:t>
            </w:r>
          </w:p>
        </w:tc>
        <w:tc>
          <w:tcPr>
            <w:shd w:val="clear" w:fill="DBE5F1"/>
            <w:tcW w:w="1057" w:type="dxa"/>
            <w:vAlign w:val="top"/>
            <w:tcBorders>
              <w:bottom w:val="single" w:color="000000" w:sz="2" w:space="0"/>
              <w:top w:val="single" w:color="000000" w:sz="2" w:space="0"/>
            </w:tcBorders>
          </w:tcPr>
          <w:p>
            <w:pPr>
              <w:ind w:left="607"/>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13.98</w:t>
            </w:r>
          </w:p>
        </w:tc>
        <w:tc>
          <w:tcPr>
            <w:tcW w:w="1230" w:type="dxa"/>
            <w:vAlign w:val="top"/>
            <w:tcBorders>
              <w:bottom w:val="single" w:color="000000" w:sz="2" w:space="0"/>
              <w:top w:val="single" w:color="000000" w:sz="2" w:space="0"/>
            </w:tcBorders>
          </w:tcPr>
          <w:p>
            <w:pPr>
              <w:ind w:left="525"/>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18,922</w:t>
            </w:r>
          </w:p>
        </w:tc>
        <w:tc>
          <w:tcPr>
            <w:tcW w:w="971" w:type="dxa"/>
            <w:vAlign w:val="top"/>
            <w:tcBorders>
              <w:bottom w:val="single" w:color="000000" w:sz="2" w:space="0"/>
              <w:top w:val="single" w:color="000000" w:sz="2" w:space="0"/>
            </w:tcBorders>
          </w:tcPr>
          <w:p>
            <w:pPr>
              <w:ind w:left="427"/>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20.14</w:t>
            </w:r>
          </w:p>
        </w:tc>
        <w:tc>
          <w:tcPr>
            <w:tcW w:w="1144" w:type="dxa"/>
            <w:vAlign w:val="top"/>
            <w:tcBorders>
              <w:bottom w:val="single" w:color="000000" w:sz="2" w:space="0"/>
              <w:top w:val="single" w:color="000000" w:sz="2" w:space="0"/>
            </w:tcBorders>
          </w:tcPr>
          <w:p>
            <w:pPr>
              <w:ind w:left="427"/>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37,007</w:t>
            </w:r>
          </w:p>
        </w:tc>
        <w:tc>
          <w:tcPr>
            <w:tcW w:w="886" w:type="dxa"/>
            <w:vAlign w:val="top"/>
            <w:tcBorders>
              <w:bottom w:val="single" w:color="000000" w:sz="2" w:space="0"/>
              <w:top w:val="single" w:color="000000" w:sz="2" w:space="0"/>
            </w:tcBorders>
          </w:tcPr>
          <w:p>
            <w:pPr>
              <w:ind w:left="444"/>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13.74</w:t>
            </w:r>
          </w:p>
        </w:tc>
      </w:tr>
    </w:tbl>
    <w:p>
      <w:pPr>
        <w:pStyle w:val="BodyText"/>
        <w:spacing w:line="117" w:lineRule="exact"/>
        <w:rPr>
          <w:sz w:val="10"/>
        </w:rPr>
      </w:pPr>
      <w:r/>
    </w:p>
    <w:p>
      <w:pPr>
        <w:spacing w:line="117" w:lineRule="exact"/>
        <w:sectPr>
          <w:footerReference w:type="default" r:id="rId31"/>
          <w:pgSz w:w="11907" w:h="16839"/>
          <w:pgMar w:top="1132" w:right="1056" w:bottom="1375" w:left="1118" w:header="0" w:footer="1211" w:gutter="0"/>
        </w:sectPr>
        <w:rPr>
          <w:sz w:val="10"/>
          <w:szCs w:val="10"/>
        </w:rPr>
      </w:pPr>
    </w:p>
    <w:tbl>
      <w:tblPr>
        <w:tblStyle w:val="TableNormal"/>
        <w:tblW w:w="9654"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188"/>
        <w:gridCol w:w="1058"/>
        <w:gridCol w:w="1059"/>
        <w:gridCol w:w="1061"/>
        <w:gridCol w:w="1057"/>
        <w:gridCol w:w="1290"/>
        <w:gridCol w:w="1005"/>
        <w:gridCol w:w="1111"/>
        <w:gridCol w:w="825"/>
      </w:tblGrid>
      <w:tr>
        <w:trPr>
          <w:trHeight w:val="385" w:hRule="atLeast"/>
        </w:trPr>
        <w:tc>
          <w:tcPr>
            <w:tcW w:w="1188" w:type="dxa"/>
            <w:vAlign w:val="top"/>
            <w:tcBorders>
              <w:bottom w:val="single" w:color="000000" w:sz="2" w:space="0"/>
              <w:top w:val="single" w:color="000000" w:sz="2" w:space="0"/>
            </w:tcBorders>
          </w:tcPr>
          <w:p>
            <w:pPr>
              <w:pStyle w:val="TableText"/>
              <w:ind w:left="83"/>
              <w:spacing w:before="116" w:line="220" w:lineRule="auto"/>
              <w:rPr>
                <w:sz w:val="18"/>
                <w:szCs w:val="18"/>
              </w:rPr>
            </w:pPr>
            <w:r>
              <w:rPr>
                <w:sz w:val="18"/>
                <w:szCs w:val="18"/>
                <w:spacing w:val="-3"/>
              </w:rPr>
              <w:t>西部地区</w:t>
            </w:r>
          </w:p>
        </w:tc>
        <w:tc>
          <w:tcPr>
            <w:shd w:val="clear" w:fill="DBE5F1"/>
            <w:tcW w:w="1058" w:type="dxa"/>
            <w:vAlign w:val="top"/>
            <w:tcBorders>
              <w:bottom w:val="single" w:color="000000" w:sz="2" w:space="0"/>
              <w:top w:val="single" w:color="000000" w:sz="2" w:space="0"/>
            </w:tcBorders>
          </w:tcPr>
          <w:p>
            <w:pPr>
              <w:ind w:left="601"/>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9,205</w:t>
            </w:r>
          </w:p>
        </w:tc>
        <w:tc>
          <w:tcPr>
            <w:shd w:val="clear" w:fill="DBE5F1"/>
            <w:tcW w:w="1059" w:type="dxa"/>
            <w:vAlign w:val="top"/>
            <w:tcBorders>
              <w:bottom w:val="single" w:color="000000" w:sz="2" w:space="0"/>
              <w:top w:val="single" w:color="000000" w:sz="2" w:space="0"/>
            </w:tcBorders>
          </w:tcPr>
          <w:p>
            <w:pPr>
              <w:ind w:left="693"/>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9.37</w:t>
            </w:r>
          </w:p>
        </w:tc>
        <w:tc>
          <w:tcPr>
            <w:shd w:val="clear" w:fill="DBE5F1"/>
            <w:tcW w:w="1061" w:type="dxa"/>
            <w:vAlign w:val="top"/>
            <w:tcBorders>
              <w:bottom w:val="single" w:color="000000" w:sz="2" w:space="0"/>
              <w:top w:val="single" w:color="000000" w:sz="2" w:space="0"/>
            </w:tcBorders>
          </w:tcPr>
          <w:p>
            <w:pPr>
              <w:ind w:left="511"/>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23,081</w:t>
            </w:r>
          </w:p>
        </w:tc>
        <w:tc>
          <w:tcPr>
            <w:shd w:val="clear" w:fill="DBE5F1"/>
            <w:tcW w:w="1057" w:type="dxa"/>
            <w:vAlign w:val="top"/>
            <w:tcBorders>
              <w:bottom w:val="single" w:color="000000" w:sz="2" w:space="0"/>
              <w:top w:val="single" w:color="000000" w:sz="2" w:space="0"/>
            </w:tcBorders>
          </w:tcPr>
          <w:p>
            <w:pPr>
              <w:ind w:left="693"/>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8.46</w:t>
            </w:r>
          </w:p>
        </w:tc>
        <w:tc>
          <w:tcPr>
            <w:tcW w:w="1290" w:type="dxa"/>
            <w:vAlign w:val="top"/>
            <w:tcBorders>
              <w:bottom w:val="single" w:color="000000" w:sz="2" w:space="0"/>
              <w:top w:val="single" w:color="000000" w:sz="2" w:space="0"/>
            </w:tcBorders>
          </w:tcPr>
          <w:p>
            <w:pPr>
              <w:ind w:left="601"/>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7,520</w:t>
            </w:r>
          </w:p>
        </w:tc>
        <w:tc>
          <w:tcPr>
            <w:tcW w:w="1005" w:type="dxa"/>
            <w:vAlign w:val="top"/>
            <w:tcBorders>
              <w:bottom w:val="single" w:color="000000" w:sz="2" w:space="0"/>
              <w:top w:val="single" w:color="000000" w:sz="2" w:space="0"/>
            </w:tcBorders>
          </w:tcPr>
          <w:p>
            <w:pPr>
              <w:ind w:left="465"/>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8.00</w:t>
            </w:r>
          </w:p>
        </w:tc>
        <w:tc>
          <w:tcPr>
            <w:tcW w:w="1111" w:type="dxa"/>
            <w:vAlign w:val="top"/>
            <w:tcBorders>
              <w:bottom w:val="single" w:color="000000" w:sz="2" w:space="0"/>
              <w:top w:val="single" w:color="000000" w:sz="2" w:space="0"/>
            </w:tcBorders>
          </w:tcPr>
          <w:p>
            <w:pPr>
              <w:ind w:left="330"/>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24,056</w:t>
            </w:r>
          </w:p>
        </w:tc>
        <w:tc>
          <w:tcPr>
            <w:tcW w:w="825" w:type="dxa"/>
            <w:vAlign w:val="top"/>
            <w:tcBorders>
              <w:bottom w:val="single" w:color="000000" w:sz="2" w:space="0"/>
              <w:top w:val="single" w:color="000000" w:sz="2" w:space="0"/>
            </w:tcBorders>
          </w:tcPr>
          <w:p>
            <w:pPr>
              <w:ind w:left="464"/>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8.93</w:t>
            </w:r>
          </w:p>
        </w:tc>
      </w:tr>
      <w:tr>
        <w:trPr>
          <w:trHeight w:val="378" w:hRule="atLeast"/>
        </w:trPr>
        <w:tc>
          <w:tcPr>
            <w:tcW w:w="1188" w:type="dxa"/>
            <w:vAlign w:val="top"/>
            <w:tcBorders>
              <w:bottom w:val="single" w:color="000000" w:sz="2" w:space="0"/>
              <w:top w:val="single" w:color="000000" w:sz="2" w:space="0"/>
            </w:tcBorders>
          </w:tcPr>
          <w:p>
            <w:pPr>
              <w:pStyle w:val="TableText"/>
              <w:ind w:left="85"/>
              <w:spacing w:before="111" w:line="220" w:lineRule="auto"/>
              <w:rPr>
                <w:sz w:val="18"/>
                <w:szCs w:val="18"/>
              </w:rPr>
            </w:pPr>
            <w:r>
              <w:rPr>
                <w:sz w:val="18"/>
                <w:szCs w:val="18"/>
                <w:spacing w:val="-3"/>
              </w:rPr>
              <w:t>东北地区</w:t>
            </w:r>
          </w:p>
        </w:tc>
        <w:tc>
          <w:tcPr>
            <w:shd w:val="clear" w:fill="DBE5F1"/>
            <w:tcW w:w="1058" w:type="dxa"/>
            <w:vAlign w:val="top"/>
            <w:tcBorders>
              <w:bottom w:val="single" w:color="000000" w:sz="2" w:space="0"/>
              <w:top w:val="single" w:color="000000" w:sz="2" w:space="0"/>
            </w:tcBorders>
          </w:tcPr>
          <w:p>
            <w:pPr>
              <w:ind w:left="708"/>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(59)</w:t>
            </w:r>
          </w:p>
        </w:tc>
        <w:tc>
          <w:tcPr>
            <w:shd w:val="clear" w:fill="DBE5F1"/>
            <w:tcW w:w="1059" w:type="dxa"/>
            <w:vAlign w:val="top"/>
            <w:tcBorders>
              <w:bottom w:val="single" w:color="000000" w:sz="2" w:space="0"/>
              <w:top w:val="single" w:color="000000" w:sz="2" w:space="0"/>
            </w:tcBorders>
          </w:tcPr>
          <w:p>
            <w:pPr>
              <w:ind w:left="575"/>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(0.06)</w:t>
            </w:r>
          </w:p>
        </w:tc>
        <w:tc>
          <w:tcPr>
            <w:shd w:val="clear" w:fill="DBE5F1"/>
            <w:tcW w:w="1061" w:type="dxa"/>
            <w:vAlign w:val="top"/>
            <w:tcBorders>
              <w:bottom w:val="single" w:color="000000" w:sz="2" w:space="0"/>
              <w:top w:val="single" w:color="000000" w:sz="2" w:space="0"/>
            </w:tcBorders>
          </w:tcPr>
          <w:p>
            <w:pPr>
              <w:ind w:left="602"/>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7,246</w:t>
            </w:r>
          </w:p>
        </w:tc>
        <w:tc>
          <w:tcPr>
            <w:shd w:val="clear" w:fill="DBE5F1"/>
            <w:tcW w:w="1057" w:type="dxa"/>
            <w:vAlign w:val="top"/>
            <w:tcBorders>
              <w:bottom w:val="single" w:color="000000" w:sz="2" w:space="0"/>
              <w:top w:val="single" w:color="000000" w:sz="2" w:space="0"/>
            </w:tcBorders>
          </w:tcPr>
          <w:p>
            <w:pPr>
              <w:ind w:left="691"/>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2.65</w:t>
            </w:r>
          </w:p>
        </w:tc>
        <w:tc>
          <w:tcPr>
            <w:tcW w:w="1290" w:type="dxa"/>
            <w:vAlign w:val="top"/>
            <w:tcBorders>
              <w:bottom w:val="single" w:color="000000" w:sz="2" w:space="0"/>
              <w:top w:val="single" w:color="000000" w:sz="2" w:space="0"/>
            </w:tcBorders>
          </w:tcPr>
          <w:p>
            <w:pPr>
              <w:ind w:left="482"/>
              <w:spacing w:before="140"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(5,899)</w:t>
            </w:r>
          </w:p>
        </w:tc>
        <w:tc>
          <w:tcPr>
            <w:tcW w:w="1005" w:type="dxa"/>
            <w:vAlign w:val="top"/>
            <w:tcBorders>
              <w:bottom w:val="single" w:color="000000" w:sz="2" w:space="0"/>
              <w:top w:val="single" w:color="000000" w:sz="2" w:space="0"/>
            </w:tcBorders>
          </w:tcPr>
          <w:p>
            <w:pPr>
              <w:ind w:left="342"/>
              <w:spacing w:before="140"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(6.28)</w:t>
            </w:r>
          </w:p>
        </w:tc>
        <w:tc>
          <w:tcPr>
            <w:tcW w:w="1111" w:type="dxa"/>
            <w:vAlign w:val="top"/>
            <w:tcBorders>
              <w:bottom w:val="single" w:color="000000" w:sz="2" w:space="0"/>
              <w:top w:val="single" w:color="000000" w:sz="2" w:space="0"/>
            </w:tcBorders>
          </w:tcPr>
          <w:p>
            <w:pPr>
              <w:ind w:left="424"/>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7,267</w:t>
            </w:r>
          </w:p>
        </w:tc>
        <w:tc>
          <w:tcPr>
            <w:tcW w:w="825" w:type="dxa"/>
            <w:vAlign w:val="top"/>
            <w:tcBorders>
              <w:bottom w:val="single" w:color="000000" w:sz="2" w:space="0"/>
              <w:top w:val="single" w:color="000000" w:sz="2" w:space="0"/>
            </w:tcBorders>
          </w:tcPr>
          <w:p>
            <w:pPr>
              <w:ind w:left="457"/>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2.70</w:t>
            </w:r>
          </w:p>
        </w:tc>
      </w:tr>
      <w:tr>
        <w:trPr>
          <w:trHeight w:val="378" w:hRule="atLeast"/>
        </w:trPr>
        <w:tc>
          <w:tcPr>
            <w:tcW w:w="1188" w:type="dxa"/>
            <w:vAlign w:val="top"/>
            <w:tcBorders>
              <w:bottom w:val="single" w:color="000000" w:sz="2" w:space="0"/>
              <w:top w:val="single" w:color="000000" w:sz="2" w:space="0"/>
            </w:tcBorders>
          </w:tcPr>
          <w:p>
            <w:pPr>
              <w:pStyle w:val="TableText"/>
              <w:ind w:left="79"/>
              <w:spacing w:before="111" w:line="221" w:lineRule="auto"/>
              <w:rPr>
                <w:sz w:val="18"/>
                <w:szCs w:val="18"/>
              </w:rPr>
            </w:pPr>
            <w:r>
              <w:rPr>
                <w:sz w:val="18"/>
                <w:szCs w:val="18"/>
                <w:spacing w:val="-2"/>
              </w:rPr>
              <w:t>境外</w:t>
            </w:r>
          </w:p>
        </w:tc>
        <w:tc>
          <w:tcPr>
            <w:shd w:val="clear" w:fill="DBE5F1"/>
            <w:tcW w:w="1058" w:type="dxa"/>
            <w:vAlign w:val="top"/>
            <w:tcBorders>
              <w:bottom w:val="single" w:color="000000" w:sz="2" w:space="0"/>
              <w:top w:val="single" w:color="000000" w:sz="2" w:space="0"/>
            </w:tcBorders>
          </w:tcPr>
          <w:p>
            <w:pPr>
              <w:ind w:left="598"/>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3,791</w:t>
            </w:r>
          </w:p>
        </w:tc>
        <w:tc>
          <w:tcPr>
            <w:shd w:val="clear" w:fill="DBE5F1"/>
            <w:tcW w:w="1059" w:type="dxa"/>
            <w:vAlign w:val="top"/>
            <w:tcBorders>
              <w:bottom w:val="single" w:color="000000" w:sz="2" w:space="0"/>
              <w:top w:val="single" w:color="000000" w:sz="2" w:space="0"/>
            </w:tcBorders>
          </w:tcPr>
          <w:p>
            <w:pPr>
              <w:ind w:left="690"/>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3.86</w:t>
            </w:r>
          </w:p>
        </w:tc>
        <w:tc>
          <w:tcPr>
            <w:shd w:val="clear" w:fill="DBE5F1"/>
            <w:tcW w:w="1061" w:type="dxa"/>
            <w:vAlign w:val="top"/>
            <w:tcBorders>
              <w:bottom w:val="single" w:color="000000" w:sz="2" w:space="0"/>
              <w:top w:val="single" w:color="000000" w:sz="2" w:space="0"/>
            </w:tcBorders>
          </w:tcPr>
          <w:p>
            <w:pPr>
              <w:ind w:left="519"/>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12,855</w:t>
            </w:r>
          </w:p>
        </w:tc>
        <w:tc>
          <w:tcPr>
            <w:shd w:val="clear" w:fill="DBE5F1"/>
            <w:tcW w:w="1057" w:type="dxa"/>
            <w:vAlign w:val="top"/>
            <w:tcBorders>
              <w:bottom w:val="single" w:color="000000" w:sz="2" w:space="0"/>
              <w:top w:val="single" w:color="000000" w:sz="2" w:space="0"/>
            </w:tcBorders>
          </w:tcPr>
          <w:p>
            <w:pPr>
              <w:ind w:left="691"/>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4.71</w:t>
            </w:r>
          </w:p>
        </w:tc>
        <w:tc>
          <w:tcPr>
            <w:tcW w:w="1290" w:type="dxa"/>
            <w:vAlign w:val="top"/>
            <w:tcBorders>
              <w:bottom w:val="single" w:color="000000" w:sz="2" w:space="0"/>
              <w:top w:val="single" w:color="000000" w:sz="2" w:space="0"/>
            </w:tcBorders>
          </w:tcPr>
          <w:p>
            <w:pPr>
              <w:ind w:left="601"/>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7,769</w:t>
            </w:r>
          </w:p>
        </w:tc>
        <w:tc>
          <w:tcPr>
            <w:tcW w:w="1005" w:type="dxa"/>
            <w:vAlign w:val="top"/>
            <w:tcBorders>
              <w:bottom w:val="single" w:color="000000" w:sz="2" w:space="0"/>
              <w:top w:val="single" w:color="000000" w:sz="2" w:space="0"/>
            </w:tcBorders>
          </w:tcPr>
          <w:p>
            <w:pPr>
              <w:ind w:left="465"/>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8.27</w:t>
            </w:r>
          </w:p>
        </w:tc>
        <w:tc>
          <w:tcPr>
            <w:tcW w:w="1111" w:type="dxa"/>
            <w:vAlign w:val="top"/>
            <w:tcBorders>
              <w:bottom w:val="single" w:color="000000" w:sz="2" w:space="0"/>
              <w:top w:val="single" w:color="000000" w:sz="2" w:space="0"/>
            </w:tcBorders>
          </w:tcPr>
          <w:p>
            <w:pPr>
              <w:ind w:left="347"/>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13,085</w:t>
            </w:r>
          </w:p>
        </w:tc>
        <w:tc>
          <w:tcPr>
            <w:tcW w:w="825" w:type="dxa"/>
            <w:vAlign w:val="top"/>
            <w:tcBorders>
              <w:bottom w:val="single" w:color="000000" w:sz="2" w:space="0"/>
              <w:top w:val="single" w:color="000000" w:sz="2" w:space="0"/>
            </w:tcBorders>
          </w:tcPr>
          <w:p>
            <w:pPr>
              <w:ind w:left="456"/>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4.86</w:t>
            </w:r>
          </w:p>
        </w:tc>
      </w:tr>
      <w:tr>
        <w:trPr>
          <w:trHeight w:val="378" w:hRule="atLeast"/>
        </w:trPr>
        <w:tc>
          <w:tcPr>
            <w:tcW w:w="1188" w:type="dxa"/>
            <w:vAlign w:val="top"/>
            <w:tcBorders>
              <w:bottom w:val="single" w:color="000000" w:sz="2" w:space="0"/>
              <w:top w:val="single" w:color="000000" w:sz="2" w:space="0"/>
            </w:tcBorders>
          </w:tcPr>
          <w:p>
            <w:pPr>
              <w:pStyle w:val="TableText"/>
              <w:ind w:left="81"/>
              <w:spacing w:before="112" w:line="221" w:lineRule="auto"/>
              <w:rPr>
                <w:sz w:val="18"/>
                <w:szCs w:val="18"/>
              </w:rPr>
            </w:pPr>
            <w:r>
              <w:rPr>
                <w:sz w:val="18"/>
                <w:szCs w:val="18"/>
                <w:spacing w:val="-3"/>
              </w:rPr>
              <w:t>总行</w:t>
            </w:r>
          </w:p>
        </w:tc>
        <w:tc>
          <w:tcPr>
            <w:shd w:val="clear" w:fill="DBE5F1"/>
            <w:tcW w:w="1058" w:type="dxa"/>
            <w:vAlign w:val="top"/>
            <w:tcBorders>
              <w:bottom w:val="single" w:color="000000" w:sz="2" w:space="0"/>
              <w:top w:val="single" w:color="000000" w:sz="2" w:space="0"/>
            </w:tcBorders>
          </w:tcPr>
          <w:p>
            <w:pPr>
              <w:ind w:left="482"/>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(9,639)</w:t>
            </w:r>
          </w:p>
        </w:tc>
        <w:tc>
          <w:tcPr>
            <w:shd w:val="clear" w:fill="DBE5F1"/>
            <w:tcW w:w="1059" w:type="dxa"/>
            <w:vAlign w:val="top"/>
            <w:tcBorders>
              <w:bottom w:val="single" w:color="000000" w:sz="2" w:space="0"/>
              <w:top w:val="single" w:color="000000" w:sz="2" w:space="0"/>
            </w:tcBorders>
          </w:tcPr>
          <w:p>
            <w:pPr>
              <w:ind w:left="575"/>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(9.81)</w:t>
            </w:r>
          </w:p>
        </w:tc>
        <w:tc>
          <w:tcPr>
            <w:shd w:val="clear" w:fill="DBE5F1"/>
            <w:tcW w:w="1061" w:type="dxa"/>
            <w:vAlign w:val="top"/>
            <w:tcBorders>
              <w:bottom w:val="single" w:color="000000" w:sz="2" w:space="0"/>
              <w:top w:val="single" w:color="000000" w:sz="2" w:space="0"/>
            </w:tcBorders>
          </w:tcPr>
          <w:p>
            <w:pPr>
              <w:ind w:left="510"/>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32,164</w:t>
            </w:r>
          </w:p>
        </w:tc>
        <w:tc>
          <w:tcPr>
            <w:shd w:val="clear" w:fill="DBE5F1"/>
            <w:tcW w:w="1057" w:type="dxa"/>
            <w:vAlign w:val="top"/>
            <w:tcBorders>
              <w:bottom w:val="single" w:color="000000" w:sz="2" w:space="0"/>
              <w:top w:val="single" w:color="000000" w:sz="2" w:space="0"/>
            </w:tcBorders>
          </w:tcPr>
          <w:p>
            <w:pPr>
              <w:ind w:left="617"/>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4"/>
              </w:rPr>
              <w:t>11.78</w:t>
            </w:r>
          </w:p>
        </w:tc>
        <w:tc>
          <w:tcPr>
            <w:tcW w:w="1290" w:type="dxa"/>
            <w:vAlign w:val="top"/>
            <w:tcBorders>
              <w:bottom w:val="single" w:color="000000" w:sz="2" w:space="0"/>
              <w:top w:val="single" w:color="000000" w:sz="2" w:space="0"/>
            </w:tcBorders>
          </w:tcPr>
          <w:p>
            <w:pPr>
              <w:ind w:left="482"/>
              <w:spacing w:before="142"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(5,473)</w:t>
            </w:r>
          </w:p>
        </w:tc>
        <w:tc>
          <w:tcPr>
            <w:tcW w:w="1005" w:type="dxa"/>
            <w:vAlign w:val="top"/>
            <w:tcBorders>
              <w:bottom w:val="single" w:color="000000" w:sz="2" w:space="0"/>
              <w:top w:val="single" w:color="000000" w:sz="2" w:space="0"/>
            </w:tcBorders>
          </w:tcPr>
          <w:p>
            <w:pPr>
              <w:ind w:left="342"/>
              <w:spacing w:before="142"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(5.82)</w:t>
            </w:r>
          </w:p>
        </w:tc>
        <w:tc>
          <w:tcPr>
            <w:tcW w:w="1111" w:type="dxa"/>
            <w:vAlign w:val="top"/>
            <w:tcBorders>
              <w:bottom w:val="single" w:color="000000" w:sz="2" w:space="0"/>
              <w:top w:val="single" w:color="000000" w:sz="2" w:space="0"/>
            </w:tcBorders>
          </w:tcPr>
          <w:p>
            <w:pPr>
              <w:ind w:left="333"/>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35,692</w:t>
            </w:r>
          </w:p>
        </w:tc>
        <w:tc>
          <w:tcPr>
            <w:tcW w:w="825" w:type="dxa"/>
            <w:vAlign w:val="top"/>
            <w:tcBorders>
              <w:bottom w:val="single" w:color="000000" w:sz="2" w:space="0"/>
              <w:top w:val="single" w:color="000000" w:sz="2" w:space="0"/>
            </w:tcBorders>
          </w:tcPr>
          <w:p>
            <w:pPr>
              <w:ind w:left="383"/>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13.25</w:t>
            </w:r>
          </w:p>
        </w:tc>
      </w:tr>
      <w:tr>
        <w:trPr>
          <w:trHeight w:val="383" w:hRule="atLeast"/>
        </w:trPr>
        <w:tc>
          <w:tcPr>
            <w:tcW w:w="1188" w:type="dxa"/>
            <w:vAlign w:val="top"/>
            <w:tcBorders>
              <w:bottom w:val="single" w:color="000000" w:sz="2" w:space="0"/>
              <w:top w:val="single" w:color="000000" w:sz="2" w:space="0"/>
            </w:tcBorders>
          </w:tcPr>
          <w:p>
            <w:pPr>
              <w:pStyle w:val="TableText"/>
              <w:ind w:left="79"/>
              <w:spacing w:before="113" w:line="222" w:lineRule="auto"/>
              <w:rPr>
                <w:sz w:val="18"/>
                <w:szCs w:val="18"/>
              </w:rPr>
            </w:pPr>
            <w:r>
              <w:rPr>
                <w:sz w:val="18"/>
                <w:szCs w:val="18"/>
                <w:b/>
                <w:bCs/>
                <w:spacing w:val="-4"/>
              </w:rPr>
              <w:t>合计</w:t>
            </w:r>
          </w:p>
        </w:tc>
        <w:tc>
          <w:tcPr>
            <w:shd w:val="clear" w:fill="DBE5F1"/>
            <w:tcW w:w="1058" w:type="dxa"/>
            <w:vAlign w:val="top"/>
            <w:tcBorders>
              <w:bottom w:val="single" w:color="000000" w:sz="2" w:space="0"/>
              <w:top w:val="single" w:color="000000" w:sz="2" w:space="0"/>
            </w:tcBorders>
          </w:tcPr>
          <w:p>
            <w:pPr>
              <w:ind w:left="509"/>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98,215</w:t>
            </w:r>
          </w:p>
        </w:tc>
        <w:tc>
          <w:tcPr>
            <w:shd w:val="clear" w:fill="DBE5F1"/>
            <w:tcW w:w="1059" w:type="dxa"/>
            <w:vAlign w:val="top"/>
            <w:tcBorders>
              <w:bottom w:val="single" w:color="000000" w:sz="2" w:space="0"/>
              <w:top w:val="single" w:color="000000" w:sz="2" w:space="0"/>
            </w:tcBorders>
          </w:tcPr>
          <w:p>
            <w:pPr>
              <w:ind w:left="519"/>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100.00</w:t>
            </w:r>
          </w:p>
        </w:tc>
        <w:tc>
          <w:tcPr>
            <w:shd w:val="clear" w:fill="DBE5F1"/>
            <w:tcW w:w="1061" w:type="dxa"/>
            <w:vAlign w:val="top"/>
            <w:tcBorders>
              <w:bottom w:val="single" w:color="000000" w:sz="2" w:space="0"/>
              <w:top w:val="single" w:color="000000" w:sz="2" w:space="0"/>
            </w:tcBorders>
          </w:tcPr>
          <w:p>
            <w:pPr>
              <w:ind w:left="420"/>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272,978</w:t>
            </w:r>
          </w:p>
        </w:tc>
        <w:tc>
          <w:tcPr>
            <w:shd w:val="clear" w:fill="DBE5F1"/>
            <w:tcW w:w="1057" w:type="dxa"/>
            <w:vAlign w:val="top"/>
            <w:tcBorders>
              <w:bottom w:val="single" w:color="000000" w:sz="2" w:space="0"/>
              <w:top w:val="single" w:color="000000" w:sz="2" w:space="0"/>
            </w:tcBorders>
          </w:tcPr>
          <w:p>
            <w:pPr>
              <w:ind w:left="518"/>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100.00</w:t>
            </w:r>
          </w:p>
        </w:tc>
        <w:tc>
          <w:tcPr>
            <w:tcW w:w="1290" w:type="dxa"/>
            <w:vAlign w:val="top"/>
            <w:tcBorders>
              <w:bottom w:val="single" w:color="000000" w:sz="2" w:space="0"/>
              <w:top w:val="single" w:color="000000" w:sz="2" w:space="0"/>
            </w:tcBorders>
          </w:tcPr>
          <w:p>
            <w:pPr>
              <w:ind w:left="511"/>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93,959</w:t>
            </w:r>
          </w:p>
        </w:tc>
        <w:tc>
          <w:tcPr>
            <w:tcW w:w="1005" w:type="dxa"/>
            <w:vAlign w:val="top"/>
            <w:tcBorders>
              <w:bottom w:val="single" w:color="000000" w:sz="2" w:space="0"/>
              <w:top w:val="single" w:color="000000" w:sz="2" w:space="0"/>
            </w:tcBorders>
          </w:tcPr>
          <w:p>
            <w:pPr>
              <w:ind w:left="295"/>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100.00</w:t>
            </w:r>
          </w:p>
        </w:tc>
        <w:tc>
          <w:tcPr>
            <w:tcW w:w="1111" w:type="dxa"/>
            <w:vAlign w:val="top"/>
            <w:tcBorders>
              <w:bottom w:val="single" w:color="000000" w:sz="2" w:space="0"/>
              <w:top w:val="single" w:color="000000" w:sz="2" w:space="0"/>
            </w:tcBorders>
          </w:tcPr>
          <w:p>
            <w:pPr>
              <w:ind w:left="241"/>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269,390</w:t>
            </w:r>
          </w:p>
        </w:tc>
        <w:tc>
          <w:tcPr>
            <w:tcW w:w="825" w:type="dxa"/>
            <w:vAlign w:val="top"/>
            <w:tcBorders>
              <w:bottom w:val="single" w:color="000000" w:sz="2" w:space="0"/>
              <w:top w:val="single" w:color="000000" w:sz="2" w:space="0"/>
            </w:tcBorders>
          </w:tcPr>
          <w:p>
            <w:pPr>
              <w:ind w:left="294"/>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100.00</w:t>
            </w:r>
          </w:p>
        </w:tc>
      </w:tr>
    </w:tbl>
    <w:p>
      <w:pPr>
        <w:ind w:left="21"/>
        <w:spacing w:before="36" w:line="225" w:lineRule="auto"/>
        <w:rPr>
          <w:rFonts w:ascii="SimSun" w:hAnsi="SimSun" w:eastAsia="SimSun" w:cs="SimSun"/>
          <w:sz w:val="18"/>
          <w:szCs w:val="18"/>
        </w:rPr>
      </w:pPr>
      <w:r>
        <w:rPr>
          <w:rFonts w:ascii="SimSun" w:hAnsi="SimSun" w:eastAsia="SimSun" w:cs="SimSun"/>
          <w:sz w:val="18"/>
          <w:szCs w:val="18"/>
          <w:spacing w:val="-9"/>
        </w:rPr>
        <w:t>注:</w:t>
      </w:r>
    </w:p>
    <w:p>
      <w:pPr>
        <w:ind w:left="22" w:right="26" w:firstLine="13"/>
        <w:spacing w:before="115" w:line="245" w:lineRule="auto"/>
        <w:rPr>
          <w:rFonts w:ascii="SimSun" w:hAnsi="SimSun" w:eastAsia="SimSun" w:cs="SimSun"/>
          <w:sz w:val="18"/>
          <w:szCs w:val="18"/>
        </w:rPr>
      </w:pPr>
      <w:r>
        <w:rPr>
          <w:rFonts w:ascii="Times New Roman" w:hAnsi="Times New Roman" w:eastAsia="Times New Roman" w:cs="Times New Roman"/>
          <w:sz w:val="18"/>
          <w:szCs w:val="18"/>
          <w:spacing w:val="-1"/>
        </w:rPr>
        <w:t>1.</w:t>
      </w:r>
      <w:r>
        <w:rPr>
          <w:rFonts w:ascii="SimSun" w:hAnsi="SimSun" w:eastAsia="SimSun" w:cs="SimSun"/>
          <w:sz w:val="18"/>
          <w:szCs w:val="18"/>
          <w:spacing w:val="-1"/>
        </w:rPr>
        <w:t>包括利息净收入、手续费及佣金净收入、投资收益</w:t>
      </w:r>
      <w:r>
        <w:rPr>
          <w:rFonts w:ascii="Times New Roman" w:hAnsi="Times New Roman" w:eastAsia="Times New Roman" w:cs="Times New Roman"/>
          <w:sz w:val="18"/>
          <w:szCs w:val="18"/>
          <w:spacing w:val="-1"/>
        </w:rPr>
        <w:t>/</w:t>
      </w:r>
      <w:r>
        <w:rPr>
          <w:rFonts w:ascii="SimSun" w:hAnsi="SimSun" w:eastAsia="SimSun" w:cs="SimSun"/>
          <w:sz w:val="18"/>
          <w:szCs w:val="18"/>
          <w:spacing w:val="-1"/>
        </w:rPr>
        <w:t>(损失)、公允价值变动收益</w:t>
      </w:r>
      <w:r>
        <w:rPr>
          <w:rFonts w:ascii="Times New Roman" w:hAnsi="Times New Roman" w:eastAsia="Times New Roman" w:cs="Times New Roman"/>
          <w:sz w:val="18"/>
          <w:szCs w:val="18"/>
          <w:spacing w:val="-1"/>
        </w:rPr>
        <w:t>/</w:t>
      </w:r>
      <w:r>
        <w:rPr>
          <w:rFonts w:ascii="SimSun" w:hAnsi="SimSun" w:eastAsia="SimSun" w:cs="SimSun"/>
          <w:sz w:val="18"/>
          <w:szCs w:val="18"/>
          <w:spacing w:val="-1"/>
        </w:rPr>
        <w:t>(损失)、汇兑及汇率产品净收益</w:t>
      </w:r>
      <w:r>
        <w:rPr>
          <w:rFonts w:ascii="Times New Roman" w:hAnsi="Times New Roman" w:eastAsia="Times New Roman" w:cs="Times New Roman"/>
          <w:sz w:val="18"/>
          <w:szCs w:val="18"/>
          <w:spacing w:val="-1"/>
        </w:rPr>
        <w:t>/</w:t>
      </w:r>
      <w:r>
        <w:rPr>
          <w:rFonts w:ascii="SimSun" w:hAnsi="SimSun" w:eastAsia="SimSun" w:cs="SimSun"/>
          <w:sz w:val="18"/>
          <w:szCs w:val="18"/>
          <w:spacing w:val="-1"/>
        </w:rPr>
        <w:t>(损失)、</w:t>
      </w:r>
      <w:r>
        <w:rPr>
          <w:rFonts w:ascii="SimSun" w:hAnsi="SimSun" w:eastAsia="SimSun" w:cs="SimSun"/>
          <w:sz w:val="18"/>
          <w:szCs w:val="18"/>
          <w:spacing w:val="7"/>
        </w:rPr>
        <w:t xml:space="preserve"> </w:t>
      </w:r>
      <w:r>
        <w:rPr>
          <w:rFonts w:ascii="SimSun" w:hAnsi="SimSun" w:eastAsia="SimSun" w:cs="SimSun"/>
          <w:sz w:val="18"/>
          <w:szCs w:val="18"/>
          <w:spacing w:val="2"/>
        </w:rPr>
        <w:t>保险业务收入、其他业务收入,资产处置收益和其他收益。下</w:t>
      </w:r>
      <w:r>
        <w:rPr>
          <w:rFonts w:ascii="SimSun" w:hAnsi="SimSun" w:eastAsia="SimSun" w:cs="SimSun"/>
          <w:sz w:val="18"/>
          <w:szCs w:val="18"/>
          <w:spacing w:val="1"/>
        </w:rPr>
        <w:t>同。</w:t>
      </w:r>
    </w:p>
    <w:p>
      <w:pPr>
        <w:ind w:left="18"/>
        <w:spacing w:before="148" w:line="360" w:lineRule="exact"/>
        <w:rPr>
          <w:rFonts w:ascii="SimSun" w:hAnsi="SimSun" w:eastAsia="SimSun" w:cs="SimSun"/>
          <w:sz w:val="18"/>
          <w:szCs w:val="18"/>
        </w:rPr>
      </w:pPr>
      <w:r>
        <w:rPr>
          <w:rFonts w:ascii="Times New Roman" w:hAnsi="Times New Roman" w:eastAsia="Times New Roman" w:cs="Times New Roman"/>
          <w:sz w:val="18"/>
          <w:szCs w:val="18"/>
          <w:spacing w:val="-2"/>
          <w:position w:val="13"/>
        </w:rPr>
        <w:t>2.</w:t>
      </w:r>
      <w:r>
        <w:rPr>
          <w:rFonts w:ascii="SimSun" w:hAnsi="SimSun" w:eastAsia="SimSun" w:cs="SimSun"/>
          <w:sz w:val="18"/>
          <w:szCs w:val="18"/>
          <w:spacing w:val="-2"/>
          <w:position w:val="13"/>
        </w:rPr>
        <w:t>总行含太平洋信用卡中心。下同。</w:t>
      </w:r>
    </w:p>
    <w:p>
      <w:pPr>
        <w:ind w:left="21"/>
        <w:spacing w:line="220" w:lineRule="auto"/>
        <w:rPr>
          <w:rFonts w:ascii="SimSun" w:hAnsi="SimSun" w:eastAsia="SimSun" w:cs="SimSun"/>
          <w:sz w:val="18"/>
          <w:szCs w:val="18"/>
        </w:rPr>
      </w:pPr>
      <w:r>
        <w:rPr>
          <w:rFonts w:ascii="Times New Roman" w:hAnsi="Times New Roman" w:eastAsia="Times New Roman" w:cs="Times New Roman"/>
          <w:sz w:val="18"/>
          <w:szCs w:val="18"/>
          <w:spacing w:val="-3"/>
        </w:rPr>
        <w:t>3.</w:t>
      </w:r>
      <w:r>
        <w:rPr>
          <w:rFonts w:ascii="SimSun" w:hAnsi="SimSun" w:eastAsia="SimSun" w:cs="SimSun"/>
          <w:sz w:val="18"/>
          <w:szCs w:val="18"/>
          <w:spacing w:val="-3"/>
        </w:rPr>
        <w:t>合计含少数股东损益。</w:t>
      </w:r>
    </w:p>
    <w:p>
      <w:pPr>
        <w:ind w:left="442"/>
        <w:spacing w:before="215"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2.</w:t>
      </w:r>
      <w:r>
        <w:rPr>
          <w:rFonts w:ascii="SimSun" w:hAnsi="SimSun" w:eastAsia="SimSun" w:cs="SimSun"/>
          <w:sz w:val="21"/>
          <w:szCs w:val="21"/>
          <w:b/>
          <w:bCs/>
          <w:spacing w:val="-2"/>
        </w:rPr>
        <w:t>按地区划分的存贷款情况</w:t>
      </w:r>
    </w:p>
    <w:p>
      <w:pPr>
        <w:ind w:left="443"/>
        <w:spacing w:before="306" w:line="221" w:lineRule="auto"/>
        <w:rPr>
          <w:rFonts w:ascii="SimSun" w:hAnsi="SimSun" w:eastAsia="SimSun" w:cs="SimSun"/>
          <w:sz w:val="21"/>
          <w:szCs w:val="21"/>
        </w:rPr>
      </w:pPr>
      <w:r>
        <w:rPr>
          <w:rFonts w:ascii="SimSun" w:hAnsi="SimSun" w:eastAsia="SimSun" w:cs="SimSun"/>
          <w:sz w:val="21"/>
          <w:szCs w:val="21"/>
          <w:spacing w:val="-1"/>
        </w:rPr>
        <w:t>本集团在所示日期按地区划分的贷款余额如下:</w:t>
      </w:r>
    </w:p>
    <w:p>
      <w:pPr>
        <w:ind w:left="7056"/>
        <w:spacing w:before="228" w:line="215" w:lineRule="auto"/>
        <w:rPr>
          <w:rFonts w:ascii="SimSun" w:hAnsi="SimSun" w:eastAsia="SimSun" w:cs="SimSun"/>
          <w:sz w:val="18"/>
          <w:szCs w:val="18"/>
        </w:rPr>
      </w:pPr>
      <w:r>
        <w:rPr>
          <w:rFonts w:ascii="SimSun" w:hAnsi="SimSun" w:eastAsia="SimSun" w:cs="SimSun"/>
          <w:sz w:val="18"/>
          <w:szCs w:val="18"/>
          <w:spacing w:val="6"/>
        </w:rPr>
        <w:t>(除另有标明外,人民币百万元)</w:t>
      </w:r>
    </w:p>
    <w:tbl>
      <w:tblPr>
        <w:tblStyle w:val="TableNormal"/>
        <w:tblW w:w="9654"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203"/>
        <w:gridCol w:w="1863"/>
        <w:gridCol w:w="1863"/>
        <w:gridCol w:w="2705"/>
        <w:gridCol w:w="1020"/>
      </w:tblGrid>
      <w:tr>
        <w:trPr>
          <w:trHeight w:val="383" w:hRule="atLeast"/>
        </w:trPr>
        <w:tc>
          <w:tcPr>
            <w:tcW w:w="2203" w:type="dxa"/>
            <w:vAlign w:val="top"/>
            <w:vMerge w:val="restart"/>
            <w:tcBorders>
              <w:bottom w:val="nil"/>
              <w:top w:val="single" w:color="000000" w:sz="2" w:space="0"/>
            </w:tcBorders>
          </w:tcPr>
          <w:p>
            <w:pPr>
              <w:rPr>
                <w:rFonts w:ascii="Arial"/>
                <w:sz w:val="21"/>
              </w:rPr>
            </w:pPr>
            <w:r/>
          </w:p>
        </w:tc>
        <w:tc>
          <w:tcPr>
            <w:shd w:val="clear" w:fill="DBE5F1"/>
            <w:tcW w:w="3726" w:type="dxa"/>
            <w:vAlign w:val="top"/>
            <w:gridSpan w:val="2"/>
            <w:tcBorders>
              <w:bottom w:val="single" w:color="000000" w:sz="2" w:space="0"/>
              <w:top w:val="single" w:color="000000" w:sz="2" w:space="0"/>
            </w:tcBorders>
          </w:tcPr>
          <w:p>
            <w:pPr>
              <w:pStyle w:val="TableText"/>
              <w:ind w:left="1123"/>
              <w:spacing w:before="114" w:line="220" w:lineRule="auto"/>
              <w:rPr>
                <w:sz w:val="18"/>
                <w:szCs w:val="18"/>
              </w:rPr>
            </w:pPr>
            <w:r>
              <w:rPr>
                <w:rFonts w:ascii="Times New Roman" w:hAnsi="Times New Roman" w:eastAsia="Times New Roman" w:cs="Times New Roman"/>
                <w:sz w:val="18"/>
                <w:szCs w:val="18"/>
                <w:b/>
                <w:bCs/>
                <w:spacing w:val="-3"/>
              </w:rPr>
              <w:t>2022 </w:t>
            </w:r>
            <w:r>
              <w:rPr>
                <w:sz w:val="18"/>
                <w:szCs w:val="18"/>
                <w:b/>
                <w:bCs/>
                <w:spacing w:val="-3"/>
              </w:rPr>
              <w:t>年</w:t>
            </w:r>
            <w:r>
              <w:rPr>
                <w:sz w:val="18"/>
                <w:szCs w:val="18"/>
                <w:spacing w:val="-33"/>
              </w:rPr>
              <w:t xml:space="preserve"> </w:t>
            </w:r>
            <w:r>
              <w:rPr>
                <w:rFonts w:ascii="Times New Roman" w:hAnsi="Times New Roman" w:eastAsia="Times New Roman" w:cs="Times New Roman"/>
                <w:sz w:val="18"/>
                <w:szCs w:val="18"/>
                <w:b/>
                <w:bCs/>
                <w:spacing w:val="-3"/>
              </w:rPr>
              <w:t>12</w:t>
            </w:r>
            <w:r>
              <w:rPr>
                <w:rFonts w:ascii="Times New Roman" w:hAnsi="Times New Roman" w:eastAsia="Times New Roman" w:cs="Times New Roman"/>
                <w:sz w:val="18"/>
                <w:szCs w:val="18"/>
                <w:b/>
                <w:bCs/>
                <w:spacing w:val="11"/>
                <w:w w:val="101"/>
              </w:rPr>
              <w:t xml:space="preserve"> </w:t>
            </w:r>
            <w:r>
              <w:rPr>
                <w:sz w:val="18"/>
                <w:szCs w:val="18"/>
                <w:b/>
                <w:bCs/>
                <w:spacing w:val="-3"/>
              </w:rPr>
              <w:t>月</w:t>
            </w:r>
            <w:r>
              <w:rPr>
                <w:sz w:val="18"/>
                <w:szCs w:val="18"/>
                <w:spacing w:val="-42"/>
              </w:rPr>
              <w:t xml:space="preserve"> </w:t>
            </w:r>
            <w:r>
              <w:rPr>
                <w:rFonts w:ascii="Times New Roman" w:hAnsi="Times New Roman" w:eastAsia="Times New Roman" w:cs="Times New Roman"/>
                <w:sz w:val="18"/>
                <w:szCs w:val="18"/>
                <w:b/>
                <w:bCs/>
                <w:spacing w:val="-3"/>
              </w:rPr>
              <w:t>31  </w:t>
            </w:r>
            <w:r>
              <w:rPr>
                <w:sz w:val="18"/>
                <w:szCs w:val="18"/>
                <w:b/>
                <w:bCs/>
                <w:spacing w:val="-3"/>
              </w:rPr>
              <w:t>日</w:t>
            </w:r>
          </w:p>
        </w:tc>
        <w:tc>
          <w:tcPr>
            <w:tcW w:w="2705" w:type="dxa"/>
            <w:vAlign w:val="top"/>
            <w:tcBorders>
              <w:bottom w:val="single" w:color="000000" w:sz="2" w:space="0"/>
              <w:top w:val="single" w:color="000000" w:sz="2" w:space="0"/>
            </w:tcBorders>
          </w:tcPr>
          <w:p>
            <w:pPr>
              <w:pStyle w:val="TableText"/>
              <w:ind w:left="1124"/>
              <w:spacing w:before="114" w:line="220" w:lineRule="auto"/>
              <w:rPr>
                <w:sz w:val="18"/>
                <w:szCs w:val="18"/>
              </w:rPr>
            </w:pPr>
            <w:r>
              <w:rPr>
                <w:rFonts w:ascii="Times New Roman" w:hAnsi="Times New Roman" w:eastAsia="Times New Roman" w:cs="Times New Roman"/>
                <w:sz w:val="18"/>
                <w:szCs w:val="18"/>
                <w:spacing w:val="-5"/>
              </w:rPr>
              <w:t>2021</w:t>
            </w:r>
            <w:r>
              <w:rPr>
                <w:rFonts w:ascii="Times New Roman" w:hAnsi="Times New Roman" w:eastAsia="Times New Roman" w:cs="Times New Roman"/>
                <w:sz w:val="18"/>
                <w:szCs w:val="18"/>
                <w:spacing w:val="11"/>
              </w:rPr>
              <w:t xml:space="preserve"> </w:t>
            </w:r>
            <w:r>
              <w:rPr>
                <w:sz w:val="18"/>
                <w:szCs w:val="18"/>
                <w:spacing w:val="-5"/>
              </w:rPr>
              <w:t>年</w:t>
            </w:r>
            <w:r>
              <w:rPr>
                <w:sz w:val="18"/>
                <w:szCs w:val="18"/>
                <w:spacing w:val="-26"/>
              </w:rPr>
              <w:t xml:space="preserve"> </w:t>
            </w:r>
            <w:r>
              <w:rPr>
                <w:rFonts w:ascii="Times New Roman" w:hAnsi="Times New Roman" w:eastAsia="Times New Roman" w:cs="Times New Roman"/>
                <w:sz w:val="18"/>
                <w:szCs w:val="18"/>
                <w:spacing w:val="-5"/>
              </w:rPr>
              <w:t>12</w:t>
            </w:r>
            <w:r>
              <w:rPr>
                <w:rFonts w:ascii="Times New Roman" w:hAnsi="Times New Roman" w:eastAsia="Times New Roman" w:cs="Times New Roman"/>
                <w:sz w:val="18"/>
                <w:szCs w:val="18"/>
                <w:spacing w:val="14"/>
              </w:rPr>
              <w:t xml:space="preserve"> </w:t>
            </w:r>
            <w:r>
              <w:rPr>
                <w:sz w:val="18"/>
                <w:szCs w:val="18"/>
                <w:spacing w:val="-5"/>
              </w:rPr>
              <w:t>月</w:t>
            </w:r>
            <w:r>
              <w:rPr>
                <w:sz w:val="18"/>
                <w:szCs w:val="18"/>
                <w:spacing w:val="-37"/>
              </w:rPr>
              <w:t xml:space="preserve"> </w:t>
            </w:r>
            <w:r>
              <w:rPr>
                <w:rFonts w:ascii="Times New Roman" w:hAnsi="Times New Roman" w:eastAsia="Times New Roman" w:cs="Times New Roman"/>
                <w:sz w:val="18"/>
                <w:szCs w:val="18"/>
                <w:spacing w:val="-5"/>
              </w:rPr>
              <w:t>31</w:t>
            </w:r>
            <w:r>
              <w:rPr>
                <w:rFonts w:ascii="Times New Roman" w:hAnsi="Times New Roman" w:eastAsia="Times New Roman" w:cs="Times New Roman"/>
                <w:sz w:val="18"/>
                <w:szCs w:val="18"/>
                <w:spacing w:val="39"/>
                <w:w w:val="101"/>
              </w:rPr>
              <w:t xml:space="preserve"> </w:t>
            </w:r>
            <w:r>
              <w:rPr>
                <w:sz w:val="18"/>
                <w:szCs w:val="18"/>
                <w:spacing w:val="-5"/>
              </w:rPr>
              <w:t>日</w:t>
            </w:r>
          </w:p>
        </w:tc>
        <w:tc>
          <w:tcPr>
            <w:tcW w:w="1020" w:type="dxa"/>
            <w:vAlign w:val="top"/>
            <w:tcBorders>
              <w:bottom w:val="single" w:color="000000" w:sz="2" w:space="0"/>
              <w:top w:val="single" w:color="000000" w:sz="2" w:space="0"/>
            </w:tcBorders>
          </w:tcPr>
          <w:p>
            <w:pPr>
              <w:rPr>
                <w:rFonts w:ascii="Arial"/>
                <w:sz w:val="21"/>
              </w:rPr>
            </w:pPr>
            <w:r/>
          </w:p>
        </w:tc>
      </w:tr>
      <w:tr>
        <w:trPr>
          <w:trHeight w:val="378" w:hRule="atLeast"/>
        </w:trPr>
        <w:tc>
          <w:tcPr>
            <w:tcW w:w="2203" w:type="dxa"/>
            <w:vAlign w:val="top"/>
            <w:vMerge w:val="continue"/>
            <w:tcBorders>
              <w:bottom w:val="single" w:color="000000" w:sz="2" w:space="0"/>
              <w:top w:val="nil"/>
            </w:tcBorders>
          </w:tcPr>
          <w:p>
            <w:pPr>
              <w:rPr>
                <w:rFonts w:ascii="Arial"/>
                <w:sz w:val="21"/>
              </w:rPr>
            </w:pPr>
            <w:r/>
          </w:p>
        </w:tc>
        <w:tc>
          <w:tcPr>
            <w:shd w:val="clear" w:fill="DBE5F1"/>
            <w:tcW w:w="3726" w:type="dxa"/>
            <w:vAlign w:val="top"/>
            <w:gridSpan w:val="2"/>
            <w:tcBorders>
              <w:bottom w:val="single" w:color="000000" w:sz="2" w:space="0"/>
              <w:top w:val="single" w:color="000000" w:sz="2" w:space="0"/>
            </w:tcBorders>
          </w:tcPr>
          <w:p>
            <w:pPr>
              <w:pStyle w:val="TableText"/>
              <w:ind w:left="1088"/>
              <w:spacing w:before="110" w:line="220" w:lineRule="auto"/>
              <w:rPr>
                <w:sz w:val="18"/>
                <w:szCs w:val="18"/>
              </w:rPr>
            </w:pPr>
            <w:r>
              <w:rPr>
                <w:sz w:val="18"/>
                <w:szCs w:val="18"/>
                <w:b/>
                <w:bCs/>
                <w:spacing w:val="5"/>
              </w:rPr>
              <w:t>贷款余额</w:t>
            </w:r>
            <w:r>
              <w:rPr>
                <w:sz w:val="18"/>
                <w:szCs w:val="18"/>
                <w:spacing w:val="1"/>
              </w:rPr>
              <w:t xml:space="preserve">           </w:t>
            </w:r>
            <w:r>
              <w:rPr>
                <w:sz w:val="18"/>
                <w:szCs w:val="18"/>
                <w:b/>
                <w:bCs/>
                <w:spacing w:val="5"/>
              </w:rPr>
              <w:t>占比(</w:t>
            </w:r>
            <w:r>
              <w:rPr>
                <w:rFonts w:ascii="Times New Roman" w:hAnsi="Times New Roman" w:eastAsia="Times New Roman" w:cs="Times New Roman"/>
                <w:sz w:val="18"/>
                <w:szCs w:val="18"/>
                <w:b/>
                <w:bCs/>
                <w:spacing w:val="5"/>
              </w:rPr>
              <w:t>%</w:t>
            </w:r>
            <w:r>
              <w:rPr>
                <w:sz w:val="18"/>
                <w:szCs w:val="18"/>
                <w:b/>
                <w:bCs/>
                <w:spacing w:val="5"/>
              </w:rPr>
              <w:t>)</w:t>
            </w:r>
          </w:p>
        </w:tc>
        <w:tc>
          <w:tcPr>
            <w:tcW w:w="2705" w:type="dxa"/>
            <w:vAlign w:val="top"/>
            <w:tcBorders>
              <w:bottom w:val="single" w:color="000000" w:sz="2" w:space="0"/>
              <w:top w:val="single" w:color="000000" w:sz="2" w:space="0"/>
            </w:tcBorders>
          </w:tcPr>
          <w:p>
            <w:pPr>
              <w:pStyle w:val="TableText"/>
              <w:ind w:left="1090"/>
              <w:spacing w:before="110" w:line="220" w:lineRule="auto"/>
              <w:rPr>
                <w:sz w:val="18"/>
                <w:szCs w:val="18"/>
              </w:rPr>
            </w:pPr>
            <w:r>
              <w:rPr>
                <w:sz w:val="18"/>
                <w:szCs w:val="18"/>
                <w:spacing w:val="-1"/>
              </w:rPr>
              <w:t>贷款余额</w:t>
            </w:r>
          </w:p>
        </w:tc>
        <w:tc>
          <w:tcPr>
            <w:tcW w:w="1020" w:type="dxa"/>
            <w:vAlign w:val="top"/>
            <w:tcBorders>
              <w:bottom w:val="single" w:color="000000" w:sz="2" w:space="0"/>
              <w:top w:val="single" w:color="000000" w:sz="2" w:space="0"/>
            </w:tcBorders>
          </w:tcPr>
          <w:p>
            <w:pPr>
              <w:pStyle w:val="TableText"/>
              <w:ind w:left="128"/>
              <w:spacing w:before="109" w:line="222" w:lineRule="auto"/>
              <w:rPr>
                <w:sz w:val="18"/>
                <w:szCs w:val="18"/>
              </w:rPr>
            </w:pPr>
            <w:r>
              <w:rPr>
                <w:sz w:val="18"/>
                <w:szCs w:val="18"/>
                <w:spacing w:val="13"/>
              </w:rPr>
              <w:t>占比(</w:t>
            </w:r>
            <w:r>
              <w:rPr>
                <w:rFonts w:ascii="Times New Roman" w:hAnsi="Times New Roman" w:eastAsia="Times New Roman" w:cs="Times New Roman"/>
                <w:sz w:val="18"/>
                <w:szCs w:val="18"/>
                <w:spacing w:val="13"/>
              </w:rPr>
              <w:t>%</w:t>
            </w:r>
            <w:r>
              <w:rPr>
                <w:sz w:val="18"/>
                <w:szCs w:val="18"/>
                <w:spacing w:val="13"/>
              </w:rPr>
              <w:t>)</w:t>
            </w:r>
          </w:p>
        </w:tc>
      </w:tr>
      <w:tr>
        <w:trPr>
          <w:trHeight w:val="379" w:hRule="atLeast"/>
        </w:trPr>
        <w:tc>
          <w:tcPr>
            <w:tcW w:w="2203" w:type="dxa"/>
            <w:vAlign w:val="top"/>
            <w:tcBorders>
              <w:bottom w:val="single" w:color="000000" w:sz="2" w:space="0"/>
              <w:top w:val="single" w:color="000000" w:sz="2" w:space="0"/>
            </w:tcBorders>
          </w:tcPr>
          <w:p>
            <w:pPr>
              <w:pStyle w:val="TableText"/>
              <w:ind w:left="79"/>
              <w:spacing w:before="110" w:line="220" w:lineRule="auto"/>
              <w:rPr>
                <w:sz w:val="18"/>
                <w:szCs w:val="18"/>
              </w:rPr>
            </w:pPr>
            <w:r>
              <w:rPr>
                <w:sz w:val="18"/>
                <w:szCs w:val="18"/>
                <w:spacing w:val="-2"/>
              </w:rPr>
              <w:t>长江三角洲</w:t>
            </w:r>
          </w:p>
        </w:tc>
        <w:tc>
          <w:tcPr>
            <w:shd w:val="clear" w:fill="DBE5F1"/>
            <w:tcW w:w="1863" w:type="dxa"/>
            <w:vAlign w:val="top"/>
            <w:tcBorders>
              <w:bottom w:val="single" w:color="000000" w:sz="2" w:space="0"/>
              <w:top w:val="single" w:color="000000" w:sz="2" w:space="0"/>
            </w:tcBorders>
          </w:tcPr>
          <w:p>
            <w:pPr>
              <w:ind w:left="1090"/>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2,000,365</w:t>
            </w:r>
          </w:p>
        </w:tc>
        <w:tc>
          <w:tcPr>
            <w:shd w:val="clear" w:fill="DBE5F1"/>
            <w:tcW w:w="1863" w:type="dxa"/>
            <w:vAlign w:val="top"/>
            <w:tcBorders>
              <w:bottom w:val="single" w:color="000000" w:sz="2" w:space="0"/>
              <w:top w:val="single" w:color="000000" w:sz="2" w:space="0"/>
            </w:tcBorders>
          </w:tcPr>
          <w:p>
            <w:pPr>
              <w:ind w:left="1404"/>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27.42</w:t>
            </w:r>
          </w:p>
        </w:tc>
        <w:tc>
          <w:tcPr>
            <w:tcW w:w="2705" w:type="dxa"/>
            <w:vAlign w:val="top"/>
            <w:tcBorders>
              <w:bottom w:val="single" w:color="000000" w:sz="2" w:space="0"/>
              <w:top w:val="single" w:color="000000" w:sz="2" w:space="0"/>
            </w:tcBorders>
          </w:tcPr>
          <w:p>
            <w:pPr>
              <w:ind w:left="1106"/>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1,780,637</w:t>
            </w:r>
          </w:p>
        </w:tc>
        <w:tc>
          <w:tcPr>
            <w:tcW w:w="1020" w:type="dxa"/>
            <w:vAlign w:val="top"/>
            <w:tcBorders>
              <w:bottom w:val="single" w:color="000000" w:sz="2" w:space="0"/>
              <w:top w:val="single" w:color="000000" w:sz="2" w:space="0"/>
            </w:tcBorders>
          </w:tcPr>
          <w:p>
            <w:pPr>
              <w:ind w:left="561"/>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27.14</w:t>
            </w:r>
          </w:p>
        </w:tc>
      </w:tr>
      <w:tr>
        <w:trPr>
          <w:trHeight w:val="378" w:hRule="atLeast"/>
        </w:trPr>
        <w:tc>
          <w:tcPr>
            <w:tcW w:w="2203" w:type="dxa"/>
            <w:vAlign w:val="top"/>
            <w:tcBorders>
              <w:bottom w:val="single" w:color="000000" w:sz="2" w:space="0"/>
              <w:top w:val="single" w:color="000000" w:sz="2" w:space="0"/>
            </w:tcBorders>
          </w:tcPr>
          <w:p>
            <w:pPr>
              <w:pStyle w:val="TableText"/>
              <w:ind w:left="79"/>
              <w:spacing w:before="110" w:line="220" w:lineRule="auto"/>
              <w:rPr>
                <w:sz w:val="18"/>
                <w:szCs w:val="18"/>
              </w:rPr>
            </w:pPr>
            <w:r>
              <w:rPr>
                <w:sz w:val="18"/>
                <w:szCs w:val="18"/>
                <w:spacing w:val="-2"/>
              </w:rPr>
              <w:t>珠江三角洲</w:t>
            </w:r>
          </w:p>
        </w:tc>
        <w:tc>
          <w:tcPr>
            <w:shd w:val="clear" w:fill="DBE5F1"/>
            <w:tcW w:w="1863" w:type="dxa"/>
            <w:vAlign w:val="top"/>
            <w:tcBorders>
              <w:bottom w:val="single" w:color="000000" w:sz="2" w:space="0"/>
              <w:top w:val="single" w:color="000000" w:sz="2" w:space="0"/>
            </w:tcBorders>
          </w:tcPr>
          <w:p>
            <w:pPr>
              <w:ind w:left="1225"/>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978,749</w:t>
            </w:r>
          </w:p>
        </w:tc>
        <w:tc>
          <w:tcPr>
            <w:shd w:val="clear" w:fill="DBE5F1"/>
            <w:tcW w:w="1863" w:type="dxa"/>
            <w:vAlign w:val="top"/>
            <w:tcBorders>
              <w:bottom w:val="single" w:color="000000" w:sz="2" w:space="0"/>
              <w:top w:val="single" w:color="000000" w:sz="2" w:space="0"/>
            </w:tcBorders>
          </w:tcPr>
          <w:p>
            <w:pPr>
              <w:ind w:left="1412"/>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13.41</w:t>
            </w:r>
          </w:p>
        </w:tc>
        <w:tc>
          <w:tcPr>
            <w:tcW w:w="2705" w:type="dxa"/>
            <w:vAlign w:val="top"/>
            <w:tcBorders>
              <w:bottom w:val="single" w:color="000000" w:sz="2" w:space="0"/>
              <w:top w:val="single" w:color="000000" w:sz="2" w:space="0"/>
            </w:tcBorders>
          </w:tcPr>
          <w:p>
            <w:pPr>
              <w:ind w:left="1230"/>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857,521</w:t>
            </w:r>
          </w:p>
        </w:tc>
        <w:tc>
          <w:tcPr>
            <w:tcW w:w="1020" w:type="dxa"/>
            <w:vAlign w:val="top"/>
            <w:tcBorders>
              <w:bottom w:val="single" w:color="000000" w:sz="2" w:space="0"/>
              <w:top w:val="single" w:color="000000" w:sz="2" w:space="0"/>
            </w:tcBorders>
          </w:tcPr>
          <w:p>
            <w:pPr>
              <w:ind w:left="578"/>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13.07</w:t>
            </w:r>
          </w:p>
        </w:tc>
      </w:tr>
      <w:tr>
        <w:trPr>
          <w:trHeight w:val="379" w:hRule="atLeast"/>
        </w:trPr>
        <w:tc>
          <w:tcPr>
            <w:tcW w:w="2203" w:type="dxa"/>
            <w:vAlign w:val="top"/>
            <w:tcBorders>
              <w:bottom w:val="single" w:color="000000" w:sz="2" w:space="0"/>
              <w:top w:val="single" w:color="000000" w:sz="2" w:space="0"/>
            </w:tcBorders>
          </w:tcPr>
          <w:p>
            <w:pPr>
              <w:pStyle w:val="TableText"/>
              <w:ind w:left="79"/>
              <w:spacing w:before="112" w:line="220" w:lineRule="auto"/>
              <w:rPr>
                <w:sz w:val="18"/>
                <w:szCs w:val="18"/>
              </w:rPr>
            </w:pPr>
            <w:r>
              <w:rPr>
                <w:sz w:val="18"/>
                <w:szCs w:val="18"/>
                <w:spacing w:val="-2"/>
              </w:rPr>
              <w:t>环渤海地区</w:t>
            </w:r>
          </w:p>
        </w:tc>
        <w:tc>
          <w:tcPr>
            <w:shd w:val="clear" w:fill="DBE5F1"/>
            <w:tcW w:w="1863" w:type="dxa"/>
            <w:vAlign w:val="top"/>
            <w:tcBorders>
              <w:bottom w:val="single" w:color="000000" w:sz="2" w:space="0"/>
              <w:top w:val="single" w:color="000000" w:sz="2" w:space="0"/>
            </w:tcBorders>
          </w:tcPr>
          <w:p>
            <w:pPr>
              <w:ind w:left="1097"/>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1,137,282</w:t>
            </w:r>
          </w:p>
        </w:tc>
        <w:tc>
          <w:tcPr>
            <w:shd w:val="clear" w:fill="DBE5F1"/>
            <w:tcW w:w="1863" w:type="dxa"/>
            <w:vAlign w:val="top"/>
            <w:tcBorders>
              <w:bottom w:val="single" w:color="000000" w:sz="2" w:space="0"/>
              <w:top w:val="single" w:color="000000" w:sz="2" w:space="0"/>
            </w:tcBorders>
          </w:tcPr>
          <w:p>
            <w:pPr>
              <w:ind w:left="1412"/>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15.59</w:t>
            </w:r>
          </w:p>
        </w:tc>
        <w:tc>
          <w:tcPr>
            <w:tcW w:w="2705" w:type="dxa"/>
            <w:vAlign w:val="top"/>
            <w:tcBorders>
              <w:bottom w:val="single" w:color="000000" w:sz="2" w:space="0"/>
              <w:top w:val="single" w:color="000000" w:sz="2" w:space="0"/>
            </w:tcBorders>
          </w:tcPr>
          <w:p>
            <w:pPr>
              <w:ind w:left="1226"/>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965,957</w:t>
            </w:r>
          </w:p>
        </w:tc>
        <w:tc>
          <w:tcPr>
            <w:tcW w:w="1020" w:type="dxa"/>
            <w:vAlign w:val="top"/>
            <w:tcBorders>
              <w:bottom w:val="single" w:color="000000" w:sz="2" w:space="0"/>
              <w:top w:val="single" w:color="000000" w:sz="2" w:space="0"/>
            </w:tcBorders>
          </w:tcPr>
          <w:p>
            <w:pPr>
              <w:ind w:left="578"/>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14.72</w:t>
            </w:r>
          </w:p>
        </w:tc>
      </w:tr>
      <w:tr>
        <w:trPr>
          <w:trHeight w:val="379" w:hRule="atLeast"/>
        </w:trPr>
        <w:tc>
          <w:tcPr>
            <w:tcW w:w="2203" w:type="dxa"/>
            <w:vAlign w:val="top"/>
            <w:tcBorders>
              <w:bottom w:val="single" w:color="000000" w:sz="2" w:space="0"/>
              <w:top w:val="single" w:color="000000" w:sz="2" w:space="0"/>
            </w:tcBorders>
          </w:tcPr>
          <w:p>
            <w:pPr>
              <w:pStyle w:val="TableText"/>
              <w:ind w:left="95"/>
              <w:spacing w:before="112" w:line="220" w:lineRule="auto"/>
              <w:rPr>
                <w:sz w:val="18"/>
                <w:szCs w:val="18"/>
              </w:rPr>
            </w:pPr>
            <w:r>
              <w:rPr>
                <w:sz w:val="18"/>
                <w:szCs w:val="18"/>
                <w:spacing w:val="-5"/>
              </w:rPr>
              <w:t>中部地区</w:t>
            </w:r>
          </w:p>
        </w:tc>
        <w:tc>
          <w:tcPr>
            <w:shd w:val="clear" w:fill="DBE5F1"/>
            <w:tcW w:w="1863" w:type="dxa"/>
            <w:vAlign w:val="top"/>
            <w:tcBorders>
              <w:bottom w:val="single" w:color="000000" w:sz="2" w:space="0"/>
              <w:top w:val="single" w:color="000000" w:sz="2" w:space="0"/>
            </w:tcBorders>
          </w:tcPr>
          <w:p>
            <w:pPr>
              <w:ind w:left="1097"/>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1,196,075</w:t>
            </w:r>
          </w:p>
        </w:tc>
        <w:tc>
          <w:tcPr>
            <w:shd w:val="clear" w:fill="DBE5F1"/>
            <w:tcW w:w="1863" w:type="dxa"/>
            <w:vAlign w:val="top"/>
            <w:tcBorders>
              <w:bottom w:val="single" w:color="000000" w:sz="2" w:space="0"/>
              <w:top w:val="single" w:color="000000" w:sz="2" w:space="0"/>
            </w:tcBorders>
          </w:tcPr>
          <w:p>
            <w:pPr>
              <w:ind w:left="1412"/>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16.39</w:t>
            </w:r>
          </w:p>
        </w:tc>
        <w:tc>
          <w:tcPr>
            <w:tcW w:w="2705" w:type="dxa"/>
            <w:vAlign w:val="top"/>
            <w:tcBorders>
              <w:bottom w:val="single" w:color="000000" w:sz="2" w:space="0"/>
              <w:top w:val="single" w:color="000000" w:sz="2" w:space="0"/>
            </w:tcBorders>
          </w:tcPr>
          <w:p>
            <w:pPr>
              <w:ind w:left="1106"/>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1,092,985</w:t>
            </w:r>
          </w:p>
        </w:tc>
        <w:tc>
          <w:tcPr>
            <w:tcW w:w="1020" w:type="dxa"/>
            <w:vAlign w:val="top"/>
            <w:tcBorders>
              <w:bottom w:val="single" w:color="000000" w:sz="2" w:space="0"/>
              <w:top w:val="single" w:color="000000" w:sz="2" w:space="0"/>
            </w:tcBorders>
          </w:tcPr>
          <w:p>
            <w:pPr>
              <w:ind w:left="578"/>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16.66</w:t>
            </w:r>
          </w:p>
        </w:tc>
      </w:tr>
      <w:tr>
        <w:trPr>
          <w:trHeight w:val="379" w:hRule="atLeast"/>
        </w:trPr>
        <w:tc>
          <w:tcPr>
            <w:tcW w:w="2203" w:type="dxa"/>
            <w:vAlign w:val="top"/>
            <w:tcBorders>
              <w:bottom w:val="single" w:color="000000" w:sz="2" w:space="0"/>
              <w:top w:val="single" w:color="000000" w:sz="2" w:space="0"/>
            </w:tcBorders>
          </w:tcPr>
          <w:p>
            <w:pPr>
              <w:pStyle w:val="TableText"/>
              <w:ind w:left="83"/>
              <w:spacing w:before="112" w:line="220" w:lineRule="auto"/>
              <w:rPr>
                <w:sz w:val="18"/>
                <w:szCs w:val="18"/>
              </w:rPr>
            </w:pPr>
            <w:r>
              <w:rPr>
                <w:sz w:val="18"/>
                <w:szCs w:val="18"/>
                <w:spacing w:val="-3"/>
              </w:rPr>
              <w:t>西部地区</w:t>
            </w:r>
          </w:p>
        </w:tc>
        <w:tc>
          <w:tcPr>
            <w:shd w:val="clear" w:fill="DBE5F1"/>
            <w:tcW w:w="1863" w:type="dxa"/>
            <w:vAlign w:val="top"/>
            <w:tcBorders>
              <w:bottom w:val="single" w:color="000000" w:sz="2" w:space="0"/>
              <w:top w:val="single" w:color="000000" w:sz="2" w:space="0"/>
            </w:tcBorders>
          </w:tcPr>
          <w:p>
            <w:pPr>
              <w:ind w:left="1226"/>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875,476</w:t>
            </w:r>
          </w:p>
        </w:tc>
        <w:tc>
          <w:tcPr>
            <w:shd w:val="clear" w:fill="DBE5F1"/>
            <w:tcW w:w="1863" w:type="dxa"/>
            <w:vAlign w:val="top"/>
            <w:tcBorders>
              <w:bottom w:val="single" w:color="000000" w:sz="2" w:space="0"/>
              <w:top w:val="single" w:color="000000" w:sz="2" w:space="0"/>
            </w:tcBorders>
          </w:tcPr>
          <w:p>
            <w:pPr>
              <w:ind w:left="1412"/>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12.00</w:t>
            </w:r>
          </w:p>
        </w:tc>
        <w:tc>
          <w:tcPr>
            <w:tcW w:w="2705" w:type="dxa"/>
            <w:vAlign w:val="top"/>
            <w:tcBorders>
              <w:bottom w:val="single" w:color="000000" w:sz="2" w:space="0"/>
              <w:top w:val="single" w:color="000000" w:sz="2" w:space="0"/>
            </w:tcBorders>
          </w:tcPr>
          <w:p>
            <w:pPr>
              <w:ind w:left="1226"/>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774,445</w:t>
            </w:r>
          </w:p>
        </w:tc>
        <w:tc>
          <w:tcPr>
            <w:tcW w:w="1020" w:type="dxa"/>
            <w:vAlign w:val="top"/>
            <w:tcBorders>
              <w:bottom w:val="single" w:color="000000" w:sz="2" w:space="0"/>
              <w:top w:val="single" w:color="000000" w:sz="2" w:space="0"/>
            </w:tcBorders>
          </w:tcPr>
          <w:p>
            <w:pPr>
              <w:ind w:left="585"/>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11.80</w:t>
            </w:r>
          </w:p>
        </w:tc>
      </w:tr>
      <w:tr>
        <w:trPr>
          <w:trHeight w:val="379" w:hRule="atLeast"/>
        </w:trPr>
        <w:tc>
          <w:tcPr>
            <w:tcW w:w="2203" w:type="dxa"/>
            <w:vAlign w:val="top"/>
            <w:tcBorders>
              <w:bottom w:val="single" w:color="000000" w:sz="2" w:space="0"/>
              <w:top w:val="single" w:color="000000" w:sz="2" w:space="0"/>
            </w:tcBorders>
          </w:tcPr>
          <w:p>
            <w:pPr>
              <w:pStyle w:val="TableText"/>
              <w:ind w:left="85"/>
              <w:spacing w:before="112" w:line="220" w:lineRule="auto"/>
              <w:rPr>
                <w:sz w:val="18"/>
                <w:szCs w:val="18"/>
              </w:rPr>
            </w:pPr>
            <w:r>
              <w:rPr>
                <w:sz w:val="18"/>
                <w:szCs w:val="18"/>
                <w:spacing w:val="-3"/>
              </w:rPr>
              <w:t>东北地区</w:t>
            </w:r>
          </w:p>
        </w:tc>
        <w:tc>
          <w:tcPr>
            <w:shd w:val="clear" w:fill="DBE5F1"/>
            <w:tcW w:w="1863" w:type="dxa"/>
            <w:vAlign w:val="top"/>
            <w:tcBorders>
              <w:bottom w:val="single" w:color="000000" w:sz="2" w:space="0"/>
              <w:top w:val="single" w:color="000000" w:sz="2" w:space="0"/>
            </w:tcBorders>
          </w:tcPr>
          <w:p>
            <w:pPr>
              <w:ind w:left="1224"/>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250,190</w:t>
            </w:r>
          </w:p>
        </w:tc>
        <w:tc>
          <w:tcPr>
            <w:shd w:val="clear" w:fill="DBE5F1"/>
            <w:tcW w:w="1863" w:type="dxa"/>
            <w:vAlign w:val="top"/>
            <w:tcBorders>
              <w:bottom w:val="single" w:color="000000" w:sz="2" w:space="0"/>
              <w:top w:val="single" w:color="000000" w:sz="2" w:space="0"/>
            </w:tcBorders>
          </w:tcPr>
          <w:p>
            <w:pPr>
              <w:ind w:left="1494"/>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3.43</w:t>
            </w:r>
          </w:p>
        </w:tc>
        <w:tc>
          <w:tcPr>
            <w:tcW w:w="2705" w:type="dxa"/>
            <w:vAlign w:val="top"/>
            <w:tcBorders>
              <w:bottom w:val="single" w:color="000000" w:sz="2" w:space="0"/>
              <w:top w:val="single" w:color="000000" w:sz="2" w:space="0"/>
            </w:tcBorders>
          </w:tcPr>
          <w:p>
            <w:pPr>
              <w:ind w:left="1223"/>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247,023</w:t>
            </w:r>
          </w:p>
        </w:tc>
        <w:tc>
          <w:tcPr>
            <w:tcW w:w="1020" w:type="dxa"/>
            <w:vAlign w:val="top"/>
            <w:tcBorders>
              <w:bottom w:val="single" w:color="000000" w:sz="2" w:space="0"/>
              <w:top w:val="single" w:color="000000" w:sz="2" w:space="0"/>
            </w:tcBorders>
          </w:tcPr>
          <w:p>
            <w:pPr>
              <w:ind w:left="656"/>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3.77</w:t>
            </w:r>
          </w:p>
        </w:tc>
      </w:tr>
      <w:tr>
        <w:trPr>
          <w:trHeight w:val="378" w:hRule="atLeast"/>
        </w:trPr>
        <w:tc>
          <w:tcPr>
            <w:tcW w:w="2203" w:type="dxa"/>
            <w:vAlign w:val="top"/>
            <w:tcBorders>
              <w:bottom w:val="single" w:color="000000" w:sz="2" w:space="0"/>
              <w:top w:val="single" w:color="000000" w:sz="2" w:space="0"/>
            </w:tcBorders>
          </w:tcPr>
          <w:p>
            <w:pPr>
              <w:pStyle w:val="TableText"/>
              <w:ind w:left="79"/>
              <w:spacing w:before="112" w:line="221" w:lineRule="auto"/>
              <w:rPr>
                <w:sz w:val="18"/>
                <w:szCs w:val="18"/>
              </w:rPr>
            </w:pPr>
            <w:r>
              <w:rPr>
                <w:sz w:val="18"/>
                <w:szCs w:val="18"/>
                <w:spacing w:val="-2"/>
              </w:rPr>
              <w:t>境外</w:t>
            </w:r>
          </w:p>
        </w:tc>
        <w:tc>
          <w:tcPr>
            <w:shd w:val="clear" w:fill="DBE5F1"/>
            <w:tcW w:w="1863" w:type="dxa"/>
            <w:vAlign w:val="top"/>
            <w:tcBorders>
              <w:bottom w:val="single" w:color="000000" w:sz="2" w:space="0"/>
              <w:top w:val="single" w:color="000000" w:sz="2" w:space="0"/>
            </w:tcBorders>
          </w:tcPr>
          <w:p>
            <w:pPr>
              <w:ind w:left="1223"/>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376,277</w:t>
            </w:r>
          </w:p>
        </w:tc>
        <w:tc>
          <w:tcPr>
            <w:shd w:val="clear" w:fill="DBE5F1"/>
            <w:tcW w:w="1863" w:type="dxa"/>
            <w:vAlign w:val="top"/>
            <w:tcBorders>
              <w:bottom w:val="single" w:color="000000" w:sz="2" w:space="0"/>
              <w:top w:val="single" w:color="000000" w:sz="2" w:space="0"/>
            </w:tcBorders>
          </w:tcPr>
          <w:p>
            <w:pPr>
              <w:ind w:left="1497"/>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5.16</w:t>
            </w:r>
          </w:p>
        </w:tc>
        <w:tc>
          <w:tcPr>
            <w:tcW w:w="2705" w:type="dxa"/>
            <w:vAlign w:val="top"/>
            <w:tcBorders>
              <w:bottom w:val="single" w:color="000000" w:sz="2" w:space="0"/>
              <w:top w:val="single" w:color="000000" w:sz="2" w:space="0"/>
            </w:tcBorders>
          </w:tcPr>
          <w:p>
            <w:pPr>
              <w:ind w:left="1226"/>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348,948</w:t>
            </w:r>
          </w:p>
        </w:tc>
        <w:tc>
          <w:tcPr>
            <w:tcW w:w="1020" w:type="dxa"/>
            <w:vAlign w:val="top"/>
            <w:tcBorders>
              <w:bottom w:val="single" w:color="000000" w:sz="2" w:space="0"/>
              <w:top w:val="single" w:color="000000" w:sz="2" w:space="0"/>
            </w:tcBorders>
          </w:tcPr>
          <w:p>
            <w:pPr>
              <w:ind w:left="657"/>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5.32</w:t>
            </w:r>
          </w:p>
        </w:tc>
      </w:tr>
      <w:tr>
        <w:trPr>
          <w:trHeight w:val="379" w:hRule="atLeast"/>
        </w:trPr>
        <w:tc>
          <w:tcPr>
            <w:tcW w:w="2203" w:type="dxa"/>
            <w:vAlign w:val="top"/>
            <w:tcBorders>
              <w:bottom w:val="single" w:color="000000" w:sz="2" w:space="0"/>
              <w:top w:val="single" w:color="000000" w:sz="2" w:space="0"/>
            </w:tcBorders>
          </w:tcPr>
          <w:p>
            <w:pPr>
              <w:pStyle w:val="TableText"/>
              <w:ind w:left="81"/>
              <w:spacing w:before="113" w:line="221" w:lineRule="auto"/>
              <w:rPr>
                <w:sz w:val="18"/>
                <w:szCs w:val="18"/>
              </w:rPr>
            </w:pPr>
            <w:r>
              <w:rPr>
                <w:sz w:val="18"/>
                <w:szCs w:val="18"/>
                <w:spacing w:val="-3"/>
              </w:rPr>
              <w:t>总行</w:t>
            </w:r>
          </w:p>
        </w:tc>
        <w:tc>
          <w:tcPr>
            <w:shd w:val="clear" w:fill="DBE5F1"/>
            <w:tcW w:w="1863" w:type="dxa"/>
            <w:vAlign w:val="top"/>
            <w:tcBorders>
              <w:bottom w:val="single" w:color="000000" w:sz="2" w:space="0"/>
              <w:top w:val="single" w:color="000000" w:sz="2" w:space="0"/>
            </w:tcBorders>
          </w:tcPr>
          <w:p>
            <w:pPr>
              <w:ind w:left="1224"/>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481,741</w:t>
            </w:r>
          </w:p>
        </w:tc>
        <w:tc>
          <w:tcPr>
            <w:shd w:val="clear" w:fill="DBE5F1"/>
            <w:tcW w:w="1863" w:type="dxa"/>
            <w:vAlign w:val="top"/>
            <w:tcBorders>
              <w:bottom w:val="single" w:color="000000" w:sz="2" w:space="0"/>
              <w:top w:val="single" w:color="000000" w:sz="2" w:space="0"/>
            </w:tcBorders>
          </w:tcPr>
          <w:p>
            <w:pPr>
              <w:ind w:left="1498"/>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6.60</w:t>
            </w:r>
          </w:p>
        </w:tc>
        <w:tc>
          <w:tcPr>
            <w:tcW w:w="2705" w:type="dxa"/>
            <w:vAlign w:val="top"/>
            <w:tcBorders>
              <w:bottom w:val="single" w:color="000000" w:sz="2" w:space="0"/>
              <w:top w:val="single" w:color="000000" w:sz="2" w:space="0"/>
            </w:tcBorders>
          </w:tcPr>
          <w:p>
            <w:pPr>
              <w:ind w:left="1222"/>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492,884</w:t>
            </w:r>
          </w:p>
        </w:tc>
        <w:tc>
          <w:tcPr>
            <w:tcW w:w="1020" w:type="dxa"/>
            <w:vAlign w:val="top"/>
            <w:tcBorders>
              <w:bottom w:val="single" w:color="000000" w:sz="2" w:space="0"/>
              <w:top w:val="single" w:color="000000" w:sz="2" w:space="0"/>
            </w:tcBorders>
          </w:tcPr>
          <w:p>
            <w:pPr>
              <w:ind w:left="655"/>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7.52</w:t>
            </w:r>
          </w:p>
        </w:tc>
      </w:tr>
      <w:tr>
        <w:trPr>
          <w:trHeight w:val="383" w:hRule="atLeast"/>
        </w:trPr>
        <w:tc>
          <w:tcPr>
            <w:tcW w:w="2203" w:type="dxa"/>
            <w:vAlign w:val="top"/>
            <w:tcBorders>
              <w:bottom w:val="single" w:color="000000" w:sz="2" w:space="0"/>
              <w:top w:val="single" w:color="000000" w:sz="2" w:space="0"/>
            </w:tcBorders>
          </w:tcPr>
          <w:p>
            <w:pPr>
              <w:pStyle w:val="TableText"/>
              <w:ind w:left="79"/>
              <w:spacing w:before="113" w:line="222" w:lineRule="auto"/>
              <w:rPr>
                <w:sz w:val="18"/>
                <w:szCs w:val="18"/>
              </w:rPr>
            </w:pPr>
            <w:r>
              <w:rPr>
                <w:sz w:val="18"/>
                <w:szCs w:val="18"/>
                <w:b/>
                <w:bCs/>
                <w:spacing w:val="-4"/>
              </w:rPr>
              <w:t>合计</w:t>
            </w:r>
          </w:p>
        </w:tc>
        <w:tc>
          <w:tcPr>
            <w:shd w:val="clear" w:fill="DBE5F1"/>
            <w:tcW w:w="1863" w:type="dxa"/>
            <w:vAlign w:val="top"/>
            <w:tcBorders>
              <w:bottom w:val="single" w:color="000000" w:sz="2" w:space="0"/>
              <w:top w:val="single" w:color="000000" w:sz="2" w:space="0"/>
            </w:tcBorders>
          </w:tcPr>
          <w:p>
            <w:pPr>
              <w:ind w:left="1089"/>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7,296,155</w:t>
            </w:r>
          </w:p>
        </w:tc>
        <w:tc>
          <w:tcPr>
            <w:shd w:val="clear" w:fill="DBE5F1"/>
            <w:tcW w:w="1863" w:type="dxa"/>
            <w:vAlign w:val="top"/>
            <w:tcBorders>
              <w:bottom w:val="single" w:color="000000" w:sz="2" w:space="0"/>
              <w:top w:val="single" w:color="000000" w:sz="2" w:space="0"/>
            </w:tcBorders>
          </w:tcPr>
          <w:p>
            <w:pPr>
              <w:ind w:left="1323"/>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100.00</w:t>
            </w:r>
          </w:p>
        </w:tc>
        <w:tc>
          <w:tcPr>
            <w:tcW w:w="2705" w:type="dxa"/>
            <w:vAlign w:val="top"/>
            <w:tcBorders>
              <w:bottom w:val="single" w:color="000000" w:sz="2" w:space="0"/>
              <w:top w:val="single" w:color="000000" w:sz="2" w:space="0"/>
            </w:tcBorders>
          </w:tcPr>
          <w:p>
            <w:pPr>
              <w:ind w:left="1092"/>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6,560,400</w:t>
            </w:r>
          </w:p>
        </w:tc>
        <w:tc>
          <w:tcPr>
            <w:tcW w:w="1020" w:type="dxa"/>
            <w:vAlign w:val="top"/>
            <w:tcBorders>
              <w:bottom w:val="single" w:color="000000" w:sz="2" w:space="0"/>
              <w:top w:val="single" w:color="000000" w:sz="2" w:space="0"/>
            </w:tcBorders>
          </w:tcPr>
          <w:p>
            <w:pPr>
              <w:ind w:left="489"/>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100.00</w:t>
            </w:r>
          </w:p>
        </w:tc>
      </w:tr>
    </w:tbl>
    <w:p>
      <w:pPr>
        <w:ind w:left="443"/>
        <w:spacing w:before="305" w:line="221" w:lineRule="auto"/>
        <w:rPr>
          <w:rFonts w:ascii="SimSun" w:hAnsi="SimSun" w:eastAsia="SimSun" w:cs="SimSun"/>
          <w:sz w:val="21"/>
          <w:szCs w:val="21"/>
        </w:rPr>
      </w:pPr>
      <w:r>
        <w:rPr>
          <w:rFonts w:ascii="SimSun" w:hAnsi="SimSun" w:eastAsia="SimSun" w:cs="SimSun"/>
          <w:sz w:val="21"/>
          <w:szCs w:val="21"/>
          <w:spacing w:val="-1"/>
        </w:rPr>
        <w:t>本集团在所示日期按地区划分的存款余额如下:</w:t>
      </w:r>
    </w:p>
    <w:p>
      <w:pPr>
        <w:ind w:left="7056"/>
        <w:spacing w:before="227" w:line="215" w:lineRule="auto"/>
        <w:rPr>
          <w:rFonts w:ascii="SimSun" w:hAnsi="SimSun" w:eastAsia="SimSun" w:cs="SimSun"/>
          <w:sz w:val="18"/>
          <w:szCs w:val="18"/>
        </w:rPr>
      </w:pPr>
      <w:r>
        <w:rPr>
          <w:rFonts w:ascii="SimSun" w:hAnsi="SimSun" w:eastAsia="SimSun" w:cs="SimSun"/>
          <w:sz w:val="18"/>
          <w:szCs w:val="18"/>
          <w:spacing w:val="6"/>
        </w:rPr>
        <w:t>(除另有标明外,人民币百万元)</w:t>
      </w:r>
    </w:p>
    <w:tbl>
      <w:tblPr>
        <w:tblStyle w:val="TableNormal"/>
        <w:tblW w:w="9654"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203"/>
        <w:gridCol w:w="1863"/>
        <w:gridCol w:w="1863"/>
        <w:gridCol w:w="2705"/>
        <w:gridCol w:w="497"/>
        <w:gridCol w:w="523"/>
      </w:tblGrid>
      <w:tr>
        <w:trPr>
          <w:trHeight w:val="384" w:hRule="atLeast"/>
        </w:trPr>
        <w:tc>
          <w:tcPr>
            <w:tcW w:w="2203" w:type="dxa"/>
            <w:vAlign w:val="top"/>
            <w:vMerge w:val="restart"/>
            <w:tcBorders>
              <w:bottom w:val="nil"/>
              <w:top w:val="single" w:color="000000" w:sz="2" w:space="0"/>
            </w:tcBorders>
          </w:tcPr>
          <w:p>
            <w:pPr>
              <w:rPr>
                <w:rFonts w:ascii="Arial"/>
                <w:sz w:val="21"/>
              </w:rPr>
            </w:pPr>
            <w:r/>
          </w:p>
        </w:tc>
        <w:tc>
          <w:tcPr>
            <w:shd w:val="clear" w:fill="DBE5F1"/>
            <w:tcW w:w="3726" w:type="dxa"/>
            <w:vAlign w:val="top"/>
            <w:gridSpan w:val="2"/>
            <w:tcBorders>
              <w:bottom w:val="single" w:color="000000" w:sz="2" w:space="0"/>
              <w:top w:val="single" w:color="000000" w:sz="2" w:space="0"/>
            </w:tcBorders>
          </w:tcPr>
          <w:p>
            <w:pPr>
              <w:pStyle w:val="TableText"/>
              <w:ind w:left="1123"/>
              <w:spacing w:before="114" w:line="220" w:lineRule="auto"/>
              <w:rPr>
                <w:sz w:val="18"/>
                <w:szCs w:val="18"/>
              </w:rPr>
            </w:pPr>
            <w:r>
              <w:rPr>
                <w:rFonts w:ascii="Times New Roman" w:hAnsi="Times New Roman" w:eastAsia="Times New Roman" w:cs="Times New Roman"/>
                <w:sz w:val="18"/>
                <w:szCs w:val="18"/>
                <w:b/>
                <w:bCs/>
                <w:spacing w:val="-3"/>
              </w:rPr>
              <w:t>2022 </w:t>
            </w:r>
            <w:r>
              <w:rPr>
                <w:sz w:val="18"/>
                <w:szCs w:val="18"/>
                <w:b/>
                <w:bCs/>
                <w:spacing w:val="-3"/>
              </w:rPr>
              <w:t>年</w:t>
            </w:r>
            <w:r>
              <w:rPr>
                <w:sz w:val="18"/>
                <w:szCs w:val="18"/>
                <w:spacing w:val="-33"/>
              </w:rPr>
              <w:t xml:space="preserve"> </w:t>
            </w:r>
            <w:r>
              <w:rPr>
                <w:rFonts w:ascii="Times New Roman" w:hAnsi="Times New Roman" w:eastAsia="Times New Roman" w:cs="Times New Roman"/>
                <w:sz w:val="18"/>
                <w:szCs w:val="18"/>
                <w:b/>
                <w:bCs/>
                <w:spacing w:val="-3"/>
              </w:rPr>
              <w:t>12</w:t>
            </w:r>
            <w:r>
              <w:rPr>
                <w:rFonts w:ascii="Times New Roman" w:hAnsi="Times New Roman" w:eastAsia="Times New Roman" w:cs="Times New Roman"/>
                <w:sz w:val="18"/>
                <w:szCs w:val="18"/>
                <w:b/>
                <w:bCs/>
                <w:spacing w:val="11"/>
                <w:w w:val="101"/>
              </w:rPr>
              <w:t xml:space="preserve"> </w:t>
            </w:r>
            <w:r>
              <w:rPr>
                <w:sz w:val="18"/>
                <w:szCs w:val="18"/>
                <w:b/>
                <w:bCs/>
                <w:spacing w:val="-3"/>
              </w:rPr>
              <w:t>月</w:t>
            </w:r>
            <w:r>
              <w:rPr>
                <w:sz w:val="18"/>
                <w:szCs w:val="18"/>
                <w:spacing w:val="-42"/>
              </w:rPr>
              <w:t xml:space="preserve"> </w:t>
            </w:r>
            <w:r>
              <w:rPr>
                <w:rFonts w:ascii="Times New Roman" w:hAnsi="Times New Roman" w:eastAsia="Times New Roman" w:cs="Times New Roman"/>
                <w:sz w:val="18"/>
                <w:szCs w:val="18"/>
                <w:b/>
                <w:bCs/>
                <w:spacing w:val="-3"/>
              </w:rPr>
              <w:t>31  </w:t>
            </w:r>
            <w:r>
              <w:rPr>
                <w:sz w:val="18"/>
                <w:szCs w:val="18"/>
                <w:b/>
                <w:bCs/>
                <w:spacing w:val="-3"/>
              </w:rPr>
              <w:t>日</w:t>
            </w:r>
          </w:p>
        </w:tc>
        <w:tc>
          <w:tcPr>
            <w:tcW w:w="2705" w:type="dxa"/>
            <w:vAlign w:val="top"/>
            <w:tcBorders>
              <w:bottom w:val="single" w:color="000000" w:sz="2" w:space="0"/>
              <w:top w:val="single" w:color="000000" w:sz="2" w:space="0"/>
            </w:tcBorders>
          </w:tcPr>
          <w:p>
            <w:pPr>
              <w:pStyle w:val="TableText"/>
              <w:ind w:left="1124"/>
              <w:spacing w:before="114" w:line="220" w:lineRule="auto"/>
              <w:rPr>
                <w:sz w:val="18"/>
                <w:szCs w:val="18"/>
              </w:rPr>
            </w:pPr>
            <w:r>
              <w:rPr>
                <w:rFonts w:ascii="Times New Roman" w:hAnsi="Times New Roman" w:eastAsia="Times New Roman" w:cs="Times New Roman"/>
                <w:sz w:val="18"/>
                <w:szCs w:val="18"/>
                <w:spacing w:val="-5"/>
              </w:rPr>
              <w:t>2021</w:t>
            </w:r>
            <w:r>
              <w:rPr>
                <w:rFonts w:ascii="Times New Roman" w:hAnsi="Times New Roman" w:eastAsia="Times New Roman" w:cs="Times New Roman"/>
                <w:sz w:val="18"/>
                <w:szCs w:val="18"/>
                <w:spacing w:val="11"/>
              </w:rPr>
              <w:t xml:space="preserve"> </w:t>
            </w:r>
            <w:r>
              <w:rPr>
                <w:sz w:val="18"/>
                <w:szCs w:val="18"/>
                <w:spacing w:val="-5"/>
              </w:rPr>
              <w:t>年</w:t>
            </w:r>
            <w:r>
              <w:rPr>
                <w:sz w:val="18"/>
                <w:szCs w:val="18"/>
                <w:spacing w:val="-26"/>
              </w:rPr>
              <w:t xml:space="preserve"> </w:t>
            </w:r>
            <w:r>
              <w:rPr>
                <w:rFonts w:ascii="Times New Roman" w:hAnsi="Times New Roman" w:eastAsia="Times New Roman" w:cs="Times New Roman"/>
                <w:sz w:val="18"/>
                <w:szCs w:val="18"/>
                <w:spacing w:val="-5"/>
              </w:rPr>
              <w:t>12</w:t>
            </w:r>
            <w:r>
              <w:rPr>
                <w:rFonts w:ascii="Times New Roman" w:hAnsi="Times New Roman" w:eastAsia="Times New Roman" w:cs="Times New Roman"/>
                <w:sz w:val="18"/>
                <w:szCs w:val="18"/>
                <w:spacing w:val="14"/>
              </w:rPr>
              <w:t xml:space="preserve"> </w:t>
            </w:r>
            <w:r>
              <w:rPr>
                <w:sz w:val="18"/>
                <w:szCs w:val="18"/>
                <w:spacing w:val="-5"/>
              </w:rPr>
              <w:t>月</w:t>
            </w:r>
            <w:r>
              <w:rPr>
                <w:sz w:val="18"/>
                <w:szCs w:val="18"/>
                <w:spacing w:val="-37"/>
              </w:rPr>
              <w:t xml:space="preserve"> </w:t>
            </w:r>
            <w:r>
              <w:rPr>
                <w:rFonts w:ascii="Times New Roman" w:hAnsi="Times New Roman" w:eastAsia="Times New Roman" w:cs="Times New Roman"/>
                <w:sz w:val="18"/>
                <w:szCs w:val="18"/>
                <w:spacing w:val="-5"/>
              </w:rPr>
              <w:t>31</w:t>
            </w:r>
            <w:r>
              <w:rPr>
                <w:rFonts w:ascii="Times New Roman" w:hAnsi="Times New Roman" w:eastAsia="Times New Roman" w:cs="Times New Roman"/>
                <w:sz w:val="18"/>
                <w:szCs w:val="18"/>
                <w:spacing w:val="39"/>
                <w:w w:val="101"/>
              </w:rPr>
              <w:t xml:space="preserve"> </w:t>
            </w:r>
            <w:r>
              <w:rPr>
                <w:sz w:val="18"/>
                <w:szCs w:val="18"/>
                <w:spacing w:val="-5"/>
              </w:rPr>
              <w:t>日</w:t>
            </w:r>
          </w:p>
        </w:tc>
        <w:tc>
          <w:tcPr>
            <w:tcW w:w="497" w:type="dxa"/>
            <w:vAlign w:val="top"/>
            <w:tcBorders>
              <w:bottom w:val="single" w:color="000000" w:sz="2" w:space="0"/>
              <w:top w:val="single" w:color="000000" w:sz="2" w:space="0"/>
            </w:tcBorders>
          </w:tcPr>
          <w:p>
            <w:pPr>
              <w:rPr>
                <w:rFonts w:ascii="Arial"/>
                <w:sz w:val="21"/>
              </w:rPr>
            </w:pPr>
            <w:r/>
          </w:p>
        </w:tc>
        <w:tc>
          <w:tcPr>
            <w:tcW w:w="523" w:type="dxa"/>
            <w:vAlign w:val="top"/>
            <w:tcBorders>
              <w:bottom w:val="single" w:color="000000" w:sz="2" w:space="0"/>
              <w:top w:val="single" w:color="000000" w:sz="2" w:space="0"/>
            </w:tcBorders>
          </w:tcPr>
          <w:p>
            <w:pPr>
              <w:rPr>
                <w:rFonts w:ascii="Arial"/>
                <w:sz w:val="21"/>
              </w:rPr>
            </w:pPr>
            <w:r/>
          </w:p>
        </w:tc>
      </w:tr>
      <w:tr>
        <w:trPr>
          <w:trHeight w:val="379" w:hRule="atLeast"/>
        </w:trPr>
        <w:tc>
          <w:tcPr>
            <w:tcW w:w="2203" w:type="dxa"/>
            <w:vAlign w:val="top"/>
            <w:vMerge w:val="continue"/>
            <w:tcBorders>
              <w:bottom w:val="single" w:color="000000" w:sz="2" w:space="0"/>
              <w:top w:val="nil"/>
            </w:tcBorders>
          </w:tcPr>
          <w:p>
            <w:pPr>
              <w:rPr>
                <w:rFonts w:ascii="Arial"/>
                <w:sz w:val="21"/>
              </w:rPr>
            </w:pPr>
            <w:r/>
          </w:p>
        </w:tc>
        <w:tc>
          <w:tcPr>
            <w:shd w:val="clear" w:fill="DBE5F1"/>
            <w:tcW w:w="3726" w:type="dxa"/>
            <w:vAlign w:val="top"/>
            <w:gridSpan w:val="2"/>
            <w:tcBorders>
              <w:bottom w:val="single" w:color="000000" w:sz="2" w:space="0"/>
              <w:top w:val="single" w:color="000000" w:sz="2" w:space="0"/>
            </w:tcBorders>
          </w:tcPr>
          <w:p>
            <w:pPr>
              <w:pStyle w:val="TableText"/>
              <w:ind w:left="1089"/>
              <w:spacing w:before="109" w:line="220" w:lineRule="auto"/>
              <w:rPr>
                <w:sz w:val="18"/>
                <w:szCs w:val="18"/>
              </w:rPr>
            </w:pPr>
            <w:r>
              <w:rPr>
                <w:sz w:val="18"/>
                <w:szCs w:val="18"/>
                <w:b/>
                <w:bCs/>
                <w:spacing w:val="5"/>
              </w:rPr>
              <w:t>存款余额</w:t>
            </w:r>
            <w:r>
              <w:rPr>
                <w:sz w:val="18"/>
                <w:szCs w:val="18"/>
              </w:rPr>
              <w:t xml:space="preserve">           </w:t>
            </w:r>
            <w:r>
              <w:rPr>
                <w:sz w:val="18"/>
                <w:szCs w:val="18"/>
                <w:b/>
                <w:bCs/>
                <w:spacing w:val="5"/>
              </w:rPr>
              <w:t>占比(</w:t>
            </w:r>
            <w:r>
              <w:rPr>
                <w:rFonts w:ascii="Times New Roman" w:hAnsi="Times New Roman" w:eastAsia="Times New Roman" w:cs="Times New Roman"/>
                <w:sz w:val="18"/>
                <w:szCs w:val="18"/>
                <w:b/>
                <w:bCs/>
                <w:spacing w:val="5"/>
              </w:rPr>
              <w:t>%</w:t>
            </w:r>
            <w:r>
              <w:rPr>
                <w:sz w:val="18"/>
                <w:szCs w:val="18"/>
                <w:b/>
                <w:bCs/>
                <w:spacing w:val="5"/>
              </w:rPr>
              <w:t>)</w:t>
            </w:r>
          </w:p>
        </w:tc>
        <w:tc>
          <w:tcPr>
            <w:tcW w:w="2705" w:type="dxa"/>
            <w:vAlign w:val="top"/>
            <w:tcBorders>
              <w:bottom w:val="single" w:color="000000" w:sz="2" w:space="0"/>
              <w:top w:val="single" w:color="000000" w:sz="2" w:space="0"/>
            </w:tcBorders>
          </w:tcPr>
          <w:p>
            <w:pPr>
              <w:pStyle w:val="TableText"/>
              <w:ind w:left="1091"/>
              <w:spacing w:before="109" w:line="220" w:lineRule="auto"/>
              <w:rPr>
                <w:sz w:val="18"/>
                <w:szCs w:val="18"/>
              </w:rPr>
            </w:pPr>
            <w:r>
              <w:rPr>
                <w:sz w:val="18"/>
                <w:szCs w:val="18"/>
                <w:spacing w:val="-2"/>
              </w:rPr>
              <w:t>存款余额</w:t>
            </w:r>
          </w:p>
        </w:tc>
        <w:tc>
          <w:tcPr>
            <w:tcW w:w="497" w:type="dxa"/>
            <w:vAlign w:val="top"/>
            <w:tcBorders>
              <w:bottom w:val="single" w:color="000000" w:sz="2" w:space="0"/>
              <w:top w:val="single" w:color="000000" w:sz="2" w:space="0"/>
            </w:tcBorders>
          </w:tcPr>
          <w:p>
            <w:pPr>
              <w:pStyle w:val="TableText"/>
              <w:ind w:left="128"/>
              <w:spacing w:before="109" w:line="222" w:lineRule="auto"/>
              <w:rPr>
                <w:sz w:val="18"/>
                <w:szCs w:val="18"/>
              </w:rPr>
            </w:pPr>
            <w:r>
              <w:rPr>
                <w:sz w:val="18"/>
                <w:szCs w:val="18"/>
                <w:spacing w:val="-10"/>
              </w:rPr>
              <w:t>占比</w:t>
            </w:r>
          </w:p>
        </w:tc>
        <w:tc>
          <w:tcPr>
            <w:tcW w:w="523" w:type="dxa"/>
            <w:vAlign w:val="top"/>
            <w:tcBorders>
              <w:bottom w:val="single" w:color="000000" w:sz="2" w:space="0"/>
              <w:top w:val="single" w:color="000000" w:sz="2" w:space="0"/>
            </w:tcBorders>
          </w:tcPr>
          <w:p>
            <w:pPr>
              <w:pStyle w:val="TableText"/>
              <w:ind w:left="56"/>
              <w:spacing w:before="109" w:line="223" w:lineRule="auto"/>
              <w:rPr>
                <w:sz w:val="18"/>
                <w:szCs w:val="18"/>
              </w:rPr>
            </w:pPr>
            <w:r>
              <w:rPr>
                <w:sz w:val="18"/>
                <w:szCs w:val="18"/>
              </w:rPr>
              <w:t>(</w:t>
            </w:r>
            <w:r>
              <w:rPr>
                <w:rFonts w:ascii="Times New Roman" w:hAnsi="Times New Roman" w:eastAsia="Times New Roman" w:cs="Times New Roman"/>
                <w:sz w:val="18"/>
                <w:szCs w:val="18"/>
              </w:rPr>
              <w:t>%</w:t>
            </w:r>
            <w:r>
              <w:rPr>
                <w:sz w:val="18"/>
                <w:szCs w:val="18"/>
              </w:rPr>
              <w:t>)</w:t>
            </w:r>
          </w:p>
        </w:tc>
      </w:tr>
      <w:tr>
        <w:trPr>
          <w:trHeight w:val="379" w:hRule="atLeast"/>
        </w:trPr>
        <w:tc>
          <w:tcPr>
            <w:tcW w:w="2203" w:type="dxa"/>
            <w:vAlign w:val="top"/>
            <w:tcBorders>
              <w:bottom w:val="single" w:color="000000" w:sz="2" w:space="0"/>
              <w:top w:val="single" w:color="000000" w:sz="2" w:space="0"/>
            </w:tcBorders>
          </w:tcPr>
          <w:p>
            <w:pPr>
              <w:pStyle w:val="TableText"/>
              <w:ind w:left="79"/>
              <w:spacing w:before="109" w:line="220" w:lineRule="auto"/>
              <w:rPr>
                <w:sz w:val="18"/>
                <w:szCs w:val="18"/>
              </w:rPr>
            </w:pPr>
            <w:r>
              <w:rPr>
                <w:sz w:val="18"/>
                <w:szCs w:val="18"/>
                <w:spacing w:val="-2"/>
              </w:rPr>
              <w:t>长江三角洲</w:t>
            </w:r>
          </w:p>
        </w:tc>
        <w:tc>
          <w:tcPr>
            <w:shd w:val="clear" w:fill="DBE5F1"/>
            <w:tcW w:w="1863" w:type="dxa"/>
            <w:vAlign w:val="top"/>
            <w:tcBorders>
              <w:bottom w:val="single" w:color="000000" w:sz="2" w:space="0"/>
              <w:top w:val="single" w:color="000000" w:sz="2" w:space="0"/>
            </w:tcBorders>
          </w:tcPr>
          <w:p>
            <w:pPr>
              <w:ind w:left="1087"/>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2,157,812</w:t>
            </w:r>
          </w:p>
        </w:tc>
        <w:tc>
          <w:tcPr>
            <w:shd w:val="clear" w:fill="DBE5F1"/>
            <w:tcW w:w="1863" w:type="dxa"/>
            <w:vAlign w:val="top"/>
            <w:tcBorders>
              <w:bottom w:val="single" w:color="000000" w:sz="2" w:space="0"/>
              <w:top w:val="single" w:color="000000" w:sz="2" w:space="0"/>
            </w:tcBorders>
          </w:tcPr>
          <w:p>
            <w:pPr>
              <w:ind w:left="1404"/>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27.15</w:t>
            </w:r>
          </w:p>
        </w:tc>
        <w:tc>
          <w:tcPr>
            <w:tcW w:w="2705" w:type="dxa"/>
            <w:vAlign w:val="top"/>
            <w:tcBorders>
              <w:bottom w:val="single" w:color="000000" w:sz="2" w:space="0"/>
              <w:top w:val="single" w:color="000000" w:sz="2" w:space="0"/>
            </w:tcBorders>
          </w:tcPr>
          <w:p>
            <w:pPr>
              <w:ind w:left="1106"/>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1,878,481</w:t>
            </w:r>
          </w:p>
        </w:tc>
        <w:tc>
          <w:tcPr>
            <w:tcW w:w="497" w:type="dxa"/>
            <w:vAlign w:val="top"/>
            <w:tcBorders>
              <w:bottom w:val="single" w:color="000000" w:sz="2" w:space="0"/>
              <w:top w:val="single" w:color="000000" w:sz="2" w:space="0"/>
            </w:tcBorders>
          </w:tcPr>
          <w:p>
            <w:pPr>
              <w:rPr>
                <w:rFonts w:ascii="Arial"/>
                <w:sz w:val="21"/>
              </w:rPr>
            </w:pPr>
            <w:r/>
          </w:p>
        </w:tc>
        <w:tc>
          <w:tcPr>
            <w:tcW w:w="523" w:type="dxa"/>
            <w:vAlign w:val="top"/>
            <w:tcBorders>
              <w:bottom w:val="single" w:color="000000" w:sz="2" w:space="0"/>
              <w:top w:val="single" w:color="000000" w:sz="2" w:space="0"/>
            </w:tcBorders>
          </w:tcPr>
          <w:p>
            <w:pPr>
              <w:ind w:left="64"/>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26.68</w:t>
            </w:r>
          </w:p>
        </w:tc>
      </w:tr>
      <w:tr>
        <w:trPr>
          <w:trHeight w:val="378" w:hRule="atLeast"/>
        </w:trPr>
        <w:tc>
          <w:tcPr>
            <w:tcW w:w="2203" w:type="dxa"/>
            <w:vAlign w:val="top"/>
            <w:tcBorders>
              <w:bottom w:val="single" w:color="000000" w:sz="2" w:space="0"/>
              <w:top w:val="single" w:color="000000" w:sz="2" w:space="0"/>
            </w:tcBorders>
          </w:tcPr>
          <w:p>
            <w:pPr>
              <w:pStyle w:val="TableText"/>
              <w:ind w:left="79"/>
              <w:spacing w:before="109" w:line="220" w:lineRule="auto"/>
              <w:rPr>
                <w:sz w:val="18"/>
                <w:szCs w:val="18"/>
              </w:rPr>
            </w:pPr>
            <w:r>
              <w:rPr>
                <w:sz w:val="18"/>
                <w:szCs w:val="18"/>
                <w:spacing w:val="-2"/>
              </w:rPr>
              <w:t>珠江三角洲</w:t>
            </w:r>
          </w:p>
        </w:tc>
        <w:tc>
          <w:tcPr>
            <w:shd w:val="clear" w:fill="DBE5F1"/>
            <w:tcW w:w="1863" w:type="dxa"/>
            <w:vAlign w:val="top"/>
            <w:tcBorders>
              <w:bottom w:val="single" w:color="000000" w:sz="2" w:space="0"/>
              <w:top w:val="single" w:color="000000" w:sz="2" w:space="0"/>
            </w:tcBorders>
          </w:tcPr>
          <w:p>
            <w:pPr>
              <w:ind w:left="1095"/>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1,024,315</w:t>
            </w:r>
          </w:p>
        </w:tc>
        <w:tc>
          <w:tcPr>
            <w:shd w:val="clear" w:fill="DBE5F1"/>
            <w:tcW w:w="1863" w:type="dxa"/>
            <w:vAlign w:val="top"/>
            <w:tcBorders>
              <w:bottom w:val="single" w:color="000000" w:sz="2" w:space="0"/>
              <w:top w:val="single" w:color="000000" w:sz="2" w:space="0"/>
            </w:tcBorders>
          </w:tcPr>
          <w:p>
            <w:pPr>
              <w:ind w:left="1412"/>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12.89</w:t>
            </w:r>
          </w:p>
        </w:tc>
        <w:tc>
          <w:tcPr>
            <w:tcW w:w="2705" w:type="dxa"/>
            <w:vAlign w:val="top"/>
            <w:tcBorders>
              <w:bottom w:val="single" w:color="000000" w:sz="2" w:space="0"/>
              <w:top w:val="single" w:color="000000" w:sz="2" w:space="0"/>
            </w:tcBorders>
          </w:tcPr>
          <w:p>
            <w:pPr>
              <w:ind w:left="1230"/>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871,667</w:t>
            </w:r>
          </w:p>
        </w:tc>
        <w:tc>
          <w:tcPr>
            <w:tcW w:w="497" w:type="dxa"/>
            <w:vAlign w:val="top"/>
            <w:tcBorders>
              <w:bottom w:val="single" w:color="000000" w:sz="2" w:space="0"/>
              <w:top w:val="single" w:color="000000" w:sz="2" w:space="0"/>
            </w:tcBorders>
          </w:tcPr>
          <w:p>
            <w:pPr>
              <w:rPr>
                <w:rFonts w:ascii="Arial"/>
                <w:sz w:val="21"/>
              </w:rPr>
            </w:pPr>
            <w:r/>
          </w:p>
        </w:tc>
        <w:tc>
          <w:tcPr>
            <w:tcW w:w="523" w:type="dxa"/>
            <w:vAlign w:val="top"/>
            <w:tcBorders>
              <w:bottom w:val="single" w:color="000000" w:sz="2" w:space="0"/>
              <w:top w:val="single" w:color="000000" w:sz="2" w:space="0"/>
            </w:tcBorders>
          </w:tcPr>
          <w:p>
            <w:pPr>
              <w:ind w:left="81"/>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12.38</w:t>
            </w:r>
          </w:p>
        </w:tc>
      </w:tr>
      <w:tr>
        <w:trPr>
          <w:trHeight w:val="378" w:hRule="atLeast"/>
        </w:trPr>
        <w:tc>
          <w:tcPr>
            <w:tcW w:w="2203" w:type="dxa"/>
            <w:vAlign w:val="top"/>
            <w:tcBorders>
              <w:bottom w:val="single" w:color="000000" w:sz="2" w:space="0"/>
              <w:top w:val="single" w:color="000000" w:sz="2" w:space="0"/>
            </w:tcBorders>
          </w:tcPr>
          <w:p>
            <w:pPr>
              <w:pStyle w:val="TableText"/>
              <w:ind w:left="79"/>
              <w:spacing w:before="110" w:line="220" w:lineRule="auto"/>
              <w:rPr>
                <w:sz w:val="18"/>
                <w:szCs w:val="18"/>
              </w:rPr>
            </w:pPr>
            <w:r>
              <w:rPr>
                <w:sz w:val="18"/>
                <w:szCs w:val="18"/>
                <w:spacing w:val="-2"/>
              </w:rPr>
              <w:t>环渤海地区</w:t>
            </w:r>
          </w:p>
        </w:tc>
        <w:tc>
          <w:tcPr>
            <w:shd w:val="clear" w:fill="DBE5F1"/>
            <w:tcW w:w="1863" w:type="dxa"/>
            <w:vAlign w:val="top"/>
            <w:tcBorders>
              <w:bottom w:val="single" w:color="000000" w:sz="2" w:space="0"/>
              <w:top w:val="single" w:color="000000" w:sz="2" w:space="0"/>
            </w:tcBorders>
          </w:tcPr>
          <w:p>
            <w:pPr>
              <w:ind w:left="1095"/>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1,671,923</w:t>
            </w:r>
          </w:p>
        </w:tc>
        <w:tc>
          <w:tcPr>
            <w:shd w:val="clear" w:fill="DBE5F1"/>
            <w:tcW w:w="1863" w:type="dxa"/>
            <w:vAlign w:val="top"/>
            <w:tcBorders>
              <w:bottom w:val="single" w:color="000000" w:sz="2" w:space="0"/>
              <w:top w:val="single" w:color="000000" w:sz="2" w:space="0"/>
            </w:tcBorders>
          </w:tcPr>
          <w:p>
            <w:pPr>
              <w:ind w:left="1404"/>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21.02</w:t>
            </w:r>
          </w:p>
        </w:tc>
        <w:tc>
          <w:tcPr>
            <w:tcW w:w="2705" w:type="dxa"/>
            <w:vAlign w:val="top"/>
            <w:tcBorders>
              <w:bottom w:val="single" w:color="000000" w:sz="2" w:space="0"/>
              <w:top w:val="single" w:color="000000" w:sz="2" w:space="0"/>
            </w:tcBorders>
          </w:tcPr>
          <w:p>
            <w:pPr>
              <w:ind w:left="1106"/>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1,491,168</w:t>
            </w:r>
          </w:p>
        </w:tc>
        <w:tc>
          <w:tcPr>
            <w:tcW w:w="497" w:type="dxa"/>
            <w:vAlign w:val="top"/>
            <w:tcBorders>
              <w:bottom w:val="single" w:color="000000" w:sz="2" w:space="0"/>
              <w:top w:val="single" w:color="000000" w:sz="2" w:space="0"/>
            </w:tcBorders>
          </w:tcPr>
          <w:p>
            <w:pPr>
              <w:rPr>
                <w:rFonts w:ascii="Arial"/>
                <w:sz w:val="21"/>
              </w:rPr>
            </w:pPr>
            <w:r/>
          </w:p>
        </w:tc>
        <w:tc>
          <w:tcPr>
            <w:tcW w:w="523" w:type="dxa"/>
            <w:vAlign w:val="top"/>
            <w:tcBorders>
              <w:bottom w:val="single" w:color="000000" w:sz="2" w:space="0"/>
              <w:top w:val="single" w:color="000000" w:sz="2" w:space="0"/>
            </w:tcBorders>
          </w:tcPr>
          <w:p>
            <w:pPr>
              <w:ind w:left="64"/>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21.18</w:t>
            </w:r>
          </w:p>
        </w:tc>
      </w:tr>
      <w:tr>
        <w:trPr>
          <w:trHeight w:val="378" w:hRule="atLeast"/>
        </w:trPr>
        <w:tc>
          <w:tcPr>
            <w:tcW w:w="2203" w:type="dxa"/>
            <w:vAlign w:val="top"/>
            <w:tcBorders>
              <w:bottom w:val="single" w:color="000000" w:sz="2" w:space="0"/>
              <w:top w:val="single" w:color="000000" w:sz="2" w:space="0"/>
            </w:tcBorders>
          </w:tcPr>
          <w:p>
            <w:pPr>
              <w:pStyle w:val="TableText"/>
              <w:ind w:left="95"/>
              <w:spacing w:before="111" w:line="220" w:lineRule="auto"/>
              <w:rPr>
                <w:sz w:val="18"/>
                <w:szCs w:val="18"/>
              </w:rPr>
            </w:pPr>
            <w:r>
              <w:rPr>
                <w:sz w:val="18"/>
                <w:szCs w:val="18"/>
                <w:spacing w:val="-5"/>
              </w:rPr>
              <w:t>中部地区</w:t>
            </w:r>
          </w:p>
        </w:tc>
        <w:tc>
          <w:tcPr>
            <w:shd w:val="clear" w:fill="DBE5F1"/>
            <w:tcW w:w="1863" w:type="dxa"/>
            <w:vAlign w:val="top"/>
            <w:tcBorders>
              <w:bottom w:val="single" w:color="000000" w:sz="2" w:space="0"/>
              <w:top w:val="single" w:color="000000" w:sz="2" w:space="0"/>
            </w:tcBorders>
          </w:tcPr>
          <w:p>
            <w:pPr>
              <w:ind w:left="1095"/>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1,260,425</w:t>
            </w:r>
          </w:p>
        </w:tc>
        <w:tc>
          <w:tcPr>
            <w:shd w:val="clear" w:fill="DBE5F1"/>
            <w:tcW w:w="1863" w:type="dxa"/>
            <w:vAlign w:val="top"/>
            <w:tcBorders>
              <w:bottom w:val="single" w:color="000000" w:sz="2" w:space="0"/>
              <w:top w:val="single" w:color="000000" w:sz="2" w:space="0"/>
            </w:tcBorders>
          </w:tcPr>
          <w:p>
            <w:pPr>
              <w:ind w:left="1412"/>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15.86</w:t>
            </w:r>
          </w:p>
        </w:tc>
        <w:tc>
          <w:tcPr>
            <w:tcW w:w="2705" w:type="dxa"/>
            <w:vAlign w:val="top"/>
            <w:tcBorders>
              <w:bottom w:val="single" w:color="000000" w:sz="2" w:space="0"/>
              <w:top w:val="single" w:color="000000" w:sz="2" w:space="0"/>
            </w:tcBorders>
          </w:tcPr>
          <w:p>
            <w:pPr>
              <w:ind w:left="1106"/>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1,130,712</w:t>
            </w:r>
          </w:p>
        </w:tc>
        <w:tc>
          <w:tcPr>
            <w:tcW w:w="497" w:type="dxa"/>
            <w:vAlign w:val="top"/>
            <w:tcBorders>
              <w:bottom w:val="single" w:color="000000" w:sz="2" w:space="0"/>
              <w:top w:val="single" w:color="000000" w:sz="2" w:space="0"/>
            </w:tcBorders>
          </w:tcPr>
          <w:p>
            <w:pPr>
              <w:rPr>
                <w:rFonts w:ascii="Arial"/>
                <w:sz w:val="21"/>
              </w:rPr>
            </w:pPr>
            <w:r/>
          </w:p>
        </w:tc>
        <w:tc>
          <w:tcPr>
            <w:tcW w:w="523" w:type="dxa"/>
            <w:vAlign w:val="top"/>
            <w:tcBorders>
              <w:bottom w:val="single" w:color="000000" w:sz="2" w:space="0"/>
              <w:top w:val="single" w:color="000000" w:sz="2" w:space="0"/>
            </w:tcBorders>
          </w:tcPr>
          <w:p>
            <w:pPr>
              <w:ind w:left="81"/>
              <w:spacing w:before="14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16.06</w:t>
            </w:r>
          </w:p>
        </w:tc>
      </w:tr>
      <w:tr>
        <w:trPr>
          <w:trHeight w:val="379" w:hRule="atLeast"/>
        </w:trPr>
        <w:tc>
          <w:tcPr>
            <w:tcW w:w="2203" w:type="dxa"/>
            <w:vAlign w:val="top"/>
            <w:tcBorders>
              <w:bottom w:val="single" w:color="000000" w:sz="2" w:space="0"/>
              <w:top w:val="single" w:color="000000" w:sz="2" w:space="0"/>
            </w:tcBorders>
          </w:tcPr>
          <w:p>
            <w:pPr>
              <w:pStyle w:val="TableText"/>
              <w:ind w:left="83"/>
              <w:spacing w:before="112" w:line="220" w:lineRule="auto"/>
              <w:rPr>
                <w:sz w:val="18"/>
                <w:szCs w:val="18"/>
              </w:rPr>
            </w:pPr>
            <w:r>
              <w:rPr>
                <w:sz w:val="18"/>
                <w:szCs w:val="18"/>
                <w:spacing w:val="-3"/>
              </w:rPr>
              <w:t>西部地区</w:t>
            </w:r>
          </w:p>
        </w:tc>
        <w:tc>
          <w:tcPr>
            <w:shd w:val="clear" w:fill="DBE5F1"/>
            <w:tcW w:w="1863" w:type="dxa"/>
            <w:vAlign w:val="top"/>
            <w:tcBorders>
              <w:bottom w:val="single" w:color="000000" w:sz="2" w:space="0"/>
              <w:top w:val="single" w:color="000000" w:sz="2" w:space="0"/>
            </w:tcBorders>
          </w:tcPr>
          <w:p>
            <w:pPr>
              <w:ind w:left="1226"/>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846,610</w:t>
            </w:r>
          </w:p>
        </w:tc>
        <w:tc>
          <w:tcPr>
            <w:shd w:val="clear" w:fill="DBE5F1"/>
            <w:tcW w:w="1863" w:type="dxa"/>
            <w:vAlign w:val="top"/>
            <w:tcBorders>
              <w:bottom w:val="single" w:color="000000" w:sz="2" w:space="0"/>
              <w:top w:val="single" w:color="000000" w:sz="2" w:space="0"/>
            </w:tcBorders>
          </w:tcPr>
          <w:p>
            <w:pPr>
              <w:ind w:left="1412"/>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10.65</w:t>
            </w:r>
          </w:p>
        </w:tc>
        <w:tc>
          <w:tcPr>
            <w:tcW w:w="2705" w:type="dxa"/>
            <w:vAlign w:val="top"/>
            <w:tcBorders>
              <w:bottom w:val="single" w:color="000000" w:sz="2" w:space="0"/>
              <w:top w:val="single" w:color="000000" w:sz="2" w:space="0"/>
            </w:tcBorders>
          </w:tcPr>
          <w:p>
            <w:pPr>
              <w:ind w:left="1226"/>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763,629</w:t>
            </w:r>
          </w:p>
        </w:tc>
        <w:tc>
          <w:tcPr>
            <w:tcW w:w="497" w:type="dxa"/>
            <w:vAlign w:val="top"/>
            <w:tcBorders>
              <w:bottom w:val="single" w:color="000000" w:sz="2" w:space="0"/>
              <w:top w:val="single" w:color="000000" w:sz="2" w:space="0"/>
            </w:tcBorders>
          </w:tcPr>
          <w:p>
            <w:pPr>
              <w:rPr>
                <w:rFonts w:ascii="Arial"/>
                <w:sz w:val="21"/>
              </w:rPr>
            </w:pPr>
            <w:r/>
          </w:p>
        </w:tc>
        <w:tc>
          <w:tcPr>
            <w:tcW w:w="523" w:type="dxa"/>
            <w:vAlign w:val="top"/>
            <w:tcBorders>
              <w:bottom w:val="single" w:color="000000" w:sz="2" w:space="0"/>
              <w:top w:val="single" w:color="000000" w:sz="2" w:space="0"/>
            </w:tcBorders>
          </w:tcPr>
          <w:p>
            <w:pPr>
              <w:ind w:left="81"/>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10.85</w:t>
            </w:r>
          </w:p>
        </w:tc>
      </w:tr>
      <w:tr>
        <w:trPr>
          <w:trHeight w:val="378" w:hRule="atLeast"/>
        </w:trPr>
        <w:tc>
          <w:tcPr>
            <w:tcW w:w="2203" w:type="dxa"/>
            <w:vAlign w:val="top"/>
            <w:tcBorders>
              <w:bottom w:val="single" w:color="000000" w:sz="2" w:space="0"/>
              <w:top w:val="single" w:color="000000" w:sz="2" w:space="0"/>
            </w:tcBorders>
          </w:tcPr>
          <w:p>
            <w:pPr>
              <w:pStyle w:val="TableText"/>
              <w:ind w:left="85"/>
              <w:spacing w:before="112" w:line="220" w:lineRule="auto"/>
              <w:rPr>
                <w:sz w:val="18"/>
                <w:szCs w:val="18"/>
              </w:rPr>
            </w:pPr>
            <w:r>
              <w:rPr>
                <w:sz w:val="18"/>
                <w:szCs w:val="18"/>
                <w:spacing w:val="-3"/>
              </w:rPr>
              <w:t>东北地区</w:t>
            </w:r>
          </w:p>
        </w:tc>
        <w:tc>
          <w:tcPr>
            <w:shd w:val="clear" w:fill="DBE5F1"/>
            <w:tcW w:w="1863" w:type="dxa"/>
            <w:vAlign w:val="top"/>
            <w:tcBorders>
              <w:bottom w:val="single" w:color="000000" w:sz="2" w:space="0"/>
              <w:top w:val="single" w:color="000000" w:sz="2" w:space="0"/>
            </w:tcBorders>
          </w:tcPr>
          <w:p>
            <w:pPr>
              <w:ind w:left="1223"/>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391,719</w:t>
            </w:r>
          </w:p>
        </w:tc>
        <w:tc>
          <w:tcPr>
            <w:shd w:val="clear" w:fill="DBE5F1"/>
            <w:tcW w:w="1863" w:type="dxa"/>
            <w:vAlign w:val="top"/>
            <w:tcBorders>
              <w:bottom w:val="single" w:color="000000" w:sz="2" w:space="0"/>
              <w:top w:val="single" w:color="000000" w:sz="2" w:space="0"/>
            </w:tcBorders>
          </w:tcPr>
          <w:p>
            <w:pPr>
              <w:ind w:left="1495"/>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4.93</w:t>
            </w:r>
          </w:p>
        </w:tc>
        <w:tc>
          <w:tcPr>
            <w:tcW w:w="2705" w:type="dxa"/>
            <w:vAlign w:val="top"/>
            <w:tcBorders>
              <w:bottom w:val="single" w:color="000000" w:sz="2" w:space="0"/>
              <w:top w:val="single" w:color="000000" w:sz="2" w:space="0"/>
            </w:tcBorders>
          </w:tcPr>
          <w:p>
            <w:pPr>
              <w:ind w:left="1226"/>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360,775</w:t>
            </w:r>
          </w:p>
        </w:tc>
        <w:tc>
          <w:tcPr>
            <w:tcW w:w="497" w:type="dxa"/>
            <w:vAlign w:val="top"/>
            <w:tcBorders>
              <w:bottom w:val="single" w:color="000000" w:sz="2" w:space="0"/>
              <w:top w:val="single" w:color="000000" w:sz="2" w:space="0"/>
            </w:tcBorders>
          </w:tcPr>
          <w:p>
            <w:pPr>
              <w:rPr>
                <w:rFonts w:ascii="Arial"/>
                <w:sz w:val="21"/>
              </w:rPr>
            </w:pPr>
            <w:r/>
          </w:p>
        </w:tc>
        <w:tc>
          <w:tcPr>
            <w:tcW w:w="523" w:type="dxa"/>
            <w:vAlign w:val="top"/>
            <w:tcBorders>
              <w:bottom w:val="single" w:color="000000" w:sz="2" w:space="0"/>
              <w:top w:val="single" w:color="000000" w:sz="2" w:space="0"/>
            </w:tcBorders>
          </w:tcPr>
          <w:p>
            <w:pPr>
              <w:ind w:left="160"/>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5.12</w:t>
            </w:r>
          </w:p>
        </w:tc>
      </w:tr>
      <w:tr>
        <w:trPr>
          <w:trHeight w:val="379" w:hRule="atLeast"/>
        </w:trPr>
        <w:tc>
          <w:tcPr>
            <w:tcW w:w="2203" w:type="dxa"/>
            <w:vAlign w:val="top"/>
            <w:tcBorders>
              <w:bottom w:val="single" w:color="000000" w:sz="2" w:space="0"/>
              <w:top w:val="single" w:color="000000" w:sz="2" w:space="0"/>
            </w:tcBorders>
          </w:tcPr>
          <w:p>
            <w:pPr>
              <w:pStyle w:val="TableText"/>
              <w:ind w:left="79"/>
              <w:spacing w:before="113" w:line="221" w:lineRule="auto"/>
              <w:rPr>
                <w:sz w:val="18"/>
                <w:szCs w:val="18"/>
              </w:rPr>
            </w:pPr>
            <w:r>
              <w:rPr>
                <w:sz w:val="18"/>
                <w:szCs w:val="18"/>
                <w:spacing w:val="-2"/>
              </w:rPr>
              <w:t>境外</w:t>
            </w:r>
          </w:p>
        </w:tc>
        <w:tc>
          <w:tcPr>
            <w:shd w:val="clear" w:fill="DBE5F1"/>
            <w:tcW w:w="1863" w:type="dxa"/>
            <w:vAlign w:val="top"/>
            <w:tcBorders>
              <w:bottom w:val="single" w:color="000000" w:sz="2" w:space="0"/>
              <w:top w:val="single" w:color="000000" w:sz="2" w:space="0"/>
            </w:tcBorders>
          </w:tcPr>
          <w:p>
            <w:pPr>
              <w:ind w:left="1224"/>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480,408</w:t>
            </w:r>
          </w:p>
        </w:tc>
        <w:tc>
          <w:tcPr>
            <w:shd w:val="clear" w:fill="DBE5F1"/>
            <w:tcW w:w="1863" w:type="dxa"/>
            <w:vAlign w:val="top"/>
            <w:tcBorders>
              <w:bottom w:val="single" w:color="000000" w:sz="2" w:space="0"/>
              <w:top w:val="single" w:color="000000" w:sz="2" w:space="0"/>
            </w:tcBorders>
          </w:tcPr>
          <w:p>
            <w:pPr>
              <w:ind w:left="1498"/>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6.04</w:t>
            </w:r>
          </w:p>
        </w:tc>
        <w:tc>
          <w:tcPr>
            <w:tcW w:w="2705" w:type="dxa"/>
            <w:vAlign w:val="top"/>
            <w:tcBorders>
              <w:bottom w:val="single" w:color="000000" w:sz="2" w:space="0"/>
              <w:top w:val="single" w:color="000000" w:sz="2" w:space="0"/>
            </w:tcBorders>
          </w:tcPr>
          <w:p>
            <w:pPr>
              <w:ind w:left="1222"/>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456,074</w:t>
            </w:r>
          </w:p>
        </w:tc>
        <w:tc>
          <w:tcPr>
            <w:tcW w:w="497" w:type="dxa"/>
            <w:vAlign w:val="top"/>
            <w:tcBorders>
              <w:bottom w:val="single" w:color="000000" w:sz="2" w:space="0"/>
              <w:top w:val="single" w:color="000000" w:sz="2" w:space="0"/>
            </w:tcBorders>
          </w:tcPr>
          <w:p>
            <w:pPr>
              <w:rPr>
                <w:rFonts w:ascii="Arial"/>
                <w:sz w:val="21"/>
              </w:rPr>
            </w:pPr>
            <w:r/>
          </w:p>
        </w:tc>
        <w:tc>
          <w:tcPr>
            <w:tcW w:w="523" w:type="dxa"/>
            <w:vAlign w:val="top"/>
            <w:tcBorders>
              <w:bottom w:val="single" w:color="000000" w:sz="2" w:space="0"/>
              <w:top w:val="single" w:color="000000" w:sz="2" w:space="0"/>
            </w:tcBorders>
          </w:tcPr>
          <w:p>
            <w:pPr>
              <w:ind w:left="159"/>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6.48</w:t>
            </w:r>
          </w:p>
        </w:tc>
      </w:tr>
      <w:tr>
        <w:trPr>
          <w:trHeight w:val="383" w:hRule="atLeast"/>
        </w:trPr>
        <w:tc>
          <w:tcPr>
            <w:tcW w:w="2203" w:type="dxa"/>
            <w:vAlign w:val="top"/>
            <w:tcBorders>
              <w:bottom w:val="single" w:color="000000" w:sz="2" w:space="0"/>
              <w:top w:val="single" w:color="000000" w:sz="2" w:space="0"/>
            </w:tcBorders>
          </w:tcPr>
          <w:p>
            <w:pPr>
              <w:pStyle w:val="TableText"/>
              <w:ind w:left="81"/>
              <w:spacing w:before="113" w:line="221" w:lineRule="auto"/>
              <w:rPr>
                <w:sz w:val="18"/>
                <w:szCs w:val="18"/>
              </w:rPr>
            </w:pPr>
            <w:r>
              <w:rPr>
                <w:sz w:val="18"/>
                <w:szCs w:val="18"/>
                <w:spacing w:val="-3"/>
              </w:rPr>
              <w:t>总行</w:t>
            </w:r>
          </w:p>
        </w:tc>
        <w:tc>
          <w:tcPr>
            <w:shd w:val="clear" w:fill="DBE5F1"/>
            <w:tcW w:w="1863" w:type="dxa"/>
            <w:vAlign w:val="top"/>
            <w:tcBorders>
              <w:bottom w:val="single" w:color="000000" w:sz="2" w:space="0"/>
              <w:top w:val="single" w:color="000000" w:sz="2" w:space="0"/>
            </w:tcBorders>
          </w:tcPr>
          <w:p>
            <w:pPr>
              <w:ind w:left="1403"/>
              <w:spacing w:before="14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3,772</w:t>
            </w:r>
          </w:p>
        </w:tc>
        <w:tc>
          <w:tcPr>
            <w:shd w:val="clear" w:fill="DBE5F1"/>
            <w:tcW w:w="1863" w:type="dxa"/>
            <w:vAlign w:val="top"/>
            <w:tcBorders>
              <w:bottom w:val="single" w:color="000000" w:sz="2" w:space="0"/>
              <w:top w:val="single" w:color="000000" w:sz="2" w:space="0"/>
            </w:tcBorders>
          </w:tcPr>
          <w:p>
            <w:pPr>
              <w:ind w:left="1497"/>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0.05</w:t>
            </w:r>
          </w:p>
        </w:tc>
        <w:tc>
          <w:tcPr>
            <w:tcW w:w="2705" w:type="dxa"/>
            <w:vAlign w:val="top"/>
            <w:tcBorders>
              <w:bottom w:val="single" w:color="000000" w:sz="2" w:space="0"/>
              <w:top w:val="single" w:color="000000" w:sz="2" w:space="0"/>
            </w:tcBorders>
          </w:tcPr>
          <w:p>
            <w:pPr>
              <w:ind w:left="1406"/>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3,685</w:t>
            </w:r>
          </w:p>
        </w:tc>
        <w:tc>
          <w:tcPr>
            <w:tcW w:w="497" w:type="dxa"/>
            <w:vAlign w:val="top"/>
            <w:tcBorders>
              <w:bottom w:val="single" w:color="000000" w:sz="2" w:space="0"/>
              <w:top w:val="single" w:color="000000" w:sz="2" w:space="0"/>
            </w:tcBorders>
          </w:tcPr>
          <w:p>
            <w:pPr>
              <w:rPr>
                <w:rFonts w:ascii="Arial"/>
                <w:sz w:val="21"/>
              </w:rPr>
            </w:pPr>
            <w:r/>
          </w:p>
        </w:tc>
        <w:tc>
          <w:tcPr>
            <w:tcW w:w="523" w:type="dxa"/>
            <w:vAlign w:val="top"/>
            <w:tcBorders>
              <w:bottom w:val="single" w:color="000000" w:sz="2" w:space="0"/>
              <w:top w:val="single" w:color="000000" w:sz="2" w:space="0"/>
            </w:tcBorders>
          </w:tcPr>
          <w:p>
            <w:pPr>
              <w:ind w:left="158"/>
              <w:spacing w:before="147"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0.05</w:t>
            </w:r>
          </w:p>
        </w:tc>
      </w:tr>
    </w:tbl>
    <w:p>
      <w:pPr>
        <w:pStyle w:val="BodyText"/>
        <w:rPr/>
      </w:pPr>
      <w:r/>
    </w:p>
    <w:p>
      <w:pPr>
        <w:sectPr>
          <w:footerReference w:type="default" r:id="rId32"/>
          <w:pgSz w:w="11907" w:h="16839"/>
          <w:pgMar w:top="1132" w:right="1133" w:bottom="1375" w:left="1118" w:header="0" w:footer="1211" w:gutter="0"/>
        </w:sectPr>
        <w:rPr/>
      </w:pPr>
    </w:p>
    <w:tbl>
      <w:tblPr>
        <w:tblStyle w:val="TableNormal"/>
        <w:tblW w:w="9654" w:type="dxa"/>
        <w:tblInd w:w="108"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203"/>
        <w:gridCol w:w="1863"/>
        <w:gridCol w:w="1863"/>
        <w:gridCol w:w="2496"/>
        <w:gridCol w:w="1229"/>
      </w:tblGrid>
      <w:tr>
        <w:trPr>
          <w:trHeight w:val="383" w:hRule="atLeast"/>
        </w:trPr>
        <w:tc>
          <w:tcPr>
            <w:tcW w:w="2203" w:type="dxa"/>
            <w:vAlign w:val="top"/>
            <w:tcBorders>
              <w:bottom w:val="single" w:color="000000" w:sz="2" w:space="0"/>
              <w:top w:val="single" w:color="000000" w:sz="2" w:space="0"/>
            </w:tcBorders>
          </w:tcPr>
          <w:p>
            <w:pPr>
              <w:pStyle w:val="TableText"/>
              <w:ind w:left="79"/>
              <w:spacing w:before="116" w:line="222" w:lineRule="auto"/>
              <w:rPr>
                <w:sz w:val="18"/>
                <w:szCs w:val="18"/>
              </w:rPr>
            </w:pPr>
            <w:r>
              <w:rPr>
                <w:sz w:val="18"/>
                <w:szCs w:val="18"/>
                <w:spacing w:val="-2"/>
              </w:rPr>
              <w:t>应计利息</w:t>
            </w:r>
          </w:p>
        </w:tc>
        <w:tc>
          <w:tcPr>
            <w:shd w:val="clear" w:fill="DBE5F1"/>
            <w:tcW w:w="1863" w:type="dxa"/>
            <w:vAlign w:val="top"/>
            <w:tcBorders>
              <w:bottom w:val="single" w:color="000000" w:sz="2" w:space="0"/>
              <w:top w:val="single" w:color="000000" w:sz="2" w:space="0"/>
            </w:tcBorders>
          </w:tcPr>
          <w:p>
            <w:pPr>
              <w:ind w:left="1241"/>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112,088</w:t>
            </w:r>
          </w:p>
        </w:tc>
        <w:tc>
          <w:tcPr>
            <w:shd w:val="clear" w:fill="DBE5F1"/>
            <w:tcW w:w="1863" w:type="dxa"/>
            <w:vAlign w:val="top"/>
            <w:tcBorders>
              <w:bottom w:val="single" w:color="000000" w:sz="2" w:space="0"/>
              <w:top w:val="single" w:color="000000" w:sz="2" w:space="0"/>
            </w:tcBorders>
          </w:tcPr>
          <w:p>
            <w:pPr>
              <w:ind w:left="1503"/>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1.41</w:t>
            </w:r>
          </w:p>
        </w:tc>
        <w:tc>
          <w:tcPr>
            <w:tcW w:w="2496" w:type="dxa"/>
            <w:vAlign w:val="top"/>
            <w:tcBorders>
              <w:bottom w:val="single" w:color="000000" w:sz="2" w:space="0"/>
              <w:top w:val="single" w:color="000000" w:sz="2" w:space="0"/>
            </w:tcBorders>
          </w:tcPr>
          <w:p>
            <w:pPr>
              <w:ind w:left="1321"/>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83,586</w:t>
            </w:r>
          </w:p>
        </w:tc>
        <w:tc>
          <w:tcPr>
            <w:tcW w:w="1229" w:type="dxa"/>
            <w:vAlign w:val="top"/>
            <w:tcBorders>
              <w:bottom w:val="single" w:color="000000" w:sz="2" w:space="0"/>
              <w:top w:val="single" w:color="000000" w:sz="2" w:space="0"/>
            </w:tcBorders>
          </w:tcPr>
          <w:p>
            <w:pPr>
              <w:ind w:left="878"/>
              <w:spacing w:before="14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1.20</w:t>
            </w:r>
          </w:p>
        </w:tc>
      </w:tr>
      <w:tr>
        <w:trPr>
          <w:trHeight w:val="382" w:hRule="atLeast"/>
        </w:trPr>
        <w:tc>
          <w:tcPr>
            <w:tcW w:w="2203" w:type="dxa"/>
            <w:vAlign w:val="top"/>
            <w:tcBorders>
              <w:bottom w:val="single" w:color="000000" w:sz="2" w:space="0"/>
              <w:top w:val="single" w:color="000000" w:sz="2" w:space="0"/>
            </w:tcBorders>
          </w:tcPr>
          <w:p>
            <w:pPr>
              <w:pStyle w:val="TableText"/>
              <w:ind w:left="79"/>
              <w:spacing w:before="112" w:line="222" w:lineRule="auto"/>
              <w:rPr>
                <w:sz w:val="18"/>
                <w:szCs w:val="18"/>
              </w:rPr>
            </w:pPr>
            <w:r>
              <w:rPr>
                <w:sz w:val="18"/>
                <w:szCs w:val="18"/>
                <w:b/>
                <w:bCs/>
                <w:spacing w:val="-4"/>
              </w:rPr>
              <w:t>合计</w:t>
            </w:r>
          </w:p>
        </w:tc>
        <w:tc>
          <w:tcPr>
            <w:shd w:val="clear" w:fill="DBE5F1"/>
            <w:tcW w:w="1863" w:type="dxa"/>
            <w:vAlign w:val="top"/>
            <w:tcBorders>
              <w:bottom w:val="single" w:color="000000" w:sz="2" w:space="0"/>
              <w:top w:val="single" w:color="000000" w:sz="2" w:space="0"/>
            </w:tcBorders>
          </w:tcPr>
          <w:p>
            <w:pPr>
              <w:ind w:left="1089"/>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7,949,072</w:t>
            </w:r>
          </w:p>
        </w:tc>
        <w:tc>
          <w:tcPr>
            <w:shd w:val="clear" w:fill="DBE5F1"/>
            <w:tcW w:w="1863" w:type="dxa"/>
            <w:vAlign w:val="top"/>
            <w:tcBorders>
              <w:bottom w:val="single" w:color="000000" w:sz="2" w:space="0"/>
              <w:top w:val="single" w:color="000000" w:sz="2" w:space="0"/>
            </w:tcBorders>
          </w:tcPr>
          <w:p>
            <w:pPr>
              <w:ind w:left="1323"/>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100.00</w:t>
            </w:r>
          </w:p>
        </w:tc>
        <w:tc>
          <w:tcPr>
            <w:tcW w:w="2496" w:type="dxa"/>
            <w:vAlign w:val="top"/>
            <w:tcBorders>
              <w:bottom w:val="single" w:color="000000" w:sz="2" w:space="0"/>
              <w:top w:val="single" w:color="000000" w:sz="2" w:space="0"/>
            </w:tcBorders>
          </w:tcPr>
          <w:p>
            <w:pPr>
              <w:ind w:left="1091"/>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7,039,777</w:t>
            </w:r>
          </w:p>
        </w:tc>
        <w:tc>
          <w:tcPr>
            <w:tcW w:w="1229" w:type="dxa"/>
            <w:vAlign w:val="top"/>
            <w:tcBorders>
              <w:bottom w:val="single" w:color="000000" w:sz="2" w:space="0"/>
              <w:top w:val="single" w:color="000000" w:sz="2" w:space="0"/>
            </w:tcBorders>
          </w:tcPr>
          <w:p>
            <w:pPr>
              <w:ind w:left="698"/>
              <w:spacing w:before="14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100.00</w:t>
            </w:r>
          </w:p>
        </w:tc>
      </w:tr>
    </w:tbl>
    <w:p>
      <w:pPr>
        <w:ind w:left="548"/>
        <w:spacing w:before="266"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3.</w:t>
      </w:r>
      <w:r>
        <w:rPr>
          <w:rFonts w:ascii="SimSun" w:hAnsi="SimSun" w:eastAsia="SimSun" w:cs="SimSun"/>
          <w:sz w:val="21"/>
          <w:szCs w:val="21"/>
          <w:b/>
          <w:bCs/>
          <w:spacing w:val="-2"/>
        </w:rPr>
        <w:t>按业务板块划分的经营业绩</w:t>
      </w:r>
    </w:p>
    <w:p>
      <w:pPr>
        <w:ind w:left="147" w:right="105" w:firstLine="404"/>
        <w:spacing w:before="307" w:line="269" w:lineRule="auto"/>
        <w:rPr>
          <w:rFonts w:ascii="SimSun" w:hAnsi="SimSun" w:eastAsia="SimSun" w:cs="SimSun"/>
          <w:sz w:val="21"/>
          <w:szCs w:val="21"/>
        </w:rPr>
      </w:pPr>
      <w:r>
        <w:rPr>
          <w:rFonts w:ascii="SimSun" w:hAnsi="SimSun" w:eastAsia="SimSun" w:cs="SimSun"/>
          <w:sz w:val="21"/>
          <w:szCs w:val="21"/>
          <w:spacing w:val="-1"/>
        </w:rPr>
        <w:t>本集团的业务主要分成四类:</w:t>
      </w:r>
      <w:r>
        <w:rPr>
          <w:rFonts w:ascii="SimSun" w:hAnsi="SimSun" w:eastAsia="SimSun" w:cs="SimSun"/>
          <w:sz w:val="21"/>
          <w:szCs w:val="21"/>
          <w:spacing w:val="31"/>
        </w:rPr>
        <w:t xml:space="preserve"> </w:t>
      </w:r>
      <w:r>
        <w:rPr>
          <w:rFonts w:ascii="SimSun" w:hAnsi="SimSun" w:eastAsia="SimSun" w:cs="SimSun"/>
          <w:sz w:val="21"/>
          <w:szCs w:val="21"/>
          <w:spacing w:val="-1"/>
        </w:rPr>
        <w:t>公司金融业务、个人金融业务、资金</w:t>
      </w:r>
      <w:r>
        <w:rPr>
          <w:rFonts w:ascii="SimSun" w:hAnsi="SimSun" w:eastAsia="SimSun" w:cs="SimSun"/>
          <w:sz w:val="21"/>
          <w:szCs w:val="21"/>
          <w:spacing w:val="-2"/>
        </w:rPr>
        <w:t>业务和其他业务。本集团在所示期</w:t>
      </w:r>
      <w:r>
        <w:rPr>
          <w:rFonts w:ascii="SimSun" w:hAnsi="SimSun" w:eastAsia="SimSun" w:cs="SimSun"/>
          <w:sz w:val="21"/>
          <w:szCs w:val="21"/>
        </w:rPr>
        <w:t xml:space="preserve"> </w:t>
      </w:r>
      <w:r>
        <w:rPr>
          <w:rFonts w:ascii="SimSun" w:hAnsi="SimSun" w:eastAsia="SimSun" w:cs="SimSun"/>
          <w:sz w:val="21"/>
          <w:szCs w:val="21"/>
          <w:spacing w:val="-1"/>
        </w:rPr>
        <w:t>间按业务板块划分的利润总额和营业收入情况如下:</w:t>
      </w:r>
    </w:p>
    <w:p>
      <w:pPr>
        <w:pStyle w:val="BodyText"/>
        <w:spacing w:line="248" w:lineRule="auto"/>
        <w:rPr/>
      </w:pPr>
      <w:r/>
    </w:p>
    <w:p>
      <w:pPr>
        <w:ind w:left="7309"/>
        <w:spacing w:before="59" w:line="250"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position w:val="2"/>
        </w:rPr>
        <w:t>(</w:t>
      </w:r>
      <w:r>
        <w:rPr>
          <w:rFonts w:ascii="SimSun" w:hAnsi="SimSun" w:eastAsia="SimSun" w:cs="SimSun"/>
          <w:sz w:val="18"/>
          <w:szCs w:val="18"/>
          <w:spacing w:val="5"/>
          <w:position w:val="2"/>
        </w:rPr>
        <w:t>除另有标明外,人民币百万元</w:t>
      </w:r>
      <w:r>
        <w:rPr>
          <w:rFonts w:ascii="Times New Roman" w:hAnsi="Times New Roman" w:eastAsia="Times New Roman" w:cs="Times New Roman"/>
          <w:sz w:val="18"/>
          <w:szCs w:val="18"/>
          <w:spacing w:val="5"/>
          <w:position w:val="2"/>
        </w:rPr>
        <w:t>)</w:t>
      </w:r>
    </w:p>
    <w:p>
      <w:pPr>
        <w:spacing w:line="30" w:lineRule="auto"/>
        <w:rPr>
          <w:rFonts w:ascii="Arial"/>
          <w:sz w:val="2"/>
        </w:rPr>
      </w:pPr>
      <w:r>
        <w:rPr>
          <w:rFonts w:ascii="Arial"/>
          <w:sz w:val="2"/>
        </w:rPr>
      </w:r>
    </w:p>
    <w:tbl>
      <w:tblPr>
        <w:tblStyle w:val="TableNormal"/>
        <w:tblW w:w="9870"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311"/>
        <w:gridCol w:w="1863"/>
        <w:gridCol w:w="1028"/>
        <w:gridCol w:w="1389"/>
        <w:gridCol w:w="653"/>
        <w:gridCol w:w="2626"/>
      </w:tblGrid>
      <w:tr>
        <w:trPr>
          <w:trHeight w:val="384" w:hRule="atLeast"/>
        </w:trPr>
        <w:tc>
          <w:tcPr>
            <w:tcW w:w="2311" w:type="dxa"/>
            <w:vAlign w:val="top"/>
            <w:vMerge w:val="restart"/>
            <w:tcBorders>
              <w:bottom w:val="nil"/>
              <w:top w:val="single" w:color="000000" w:sz="2" w:space="0"/>
            </w:tcBorders>
          </w:tcPr>
          <w:p>
            <w:pPr>
              <w:rPr>
                <w:rFonts w:ascii="Arial"/>
                <w:sz w:val="21"/>
              </w:rPr>
            </w:pPr>
            <w:r/>
          </w:p>
        </w:tc>
        <w:tc>
          <w:tcPr>
            <w:tcW w:w="4280" w:type="dxa"/>
            <w:vAlign w:val="top"/>
            <w:gridSpan w:val="3"/>
            <w:tcBorders>
              <w:bottom w:val="single" w:color="000000" w:sz="2" w:space="0"/>
              <w:top w:val="single" w:color="000000" w:sz="2" w:space="0"/>
            </w:tcBorders>
          </w:tcPr>
          <w:p>
            <w:pPr>
              <w:pStyle w:val="TableText"/>
              <w:spacing w:before="4" w:line="370" w:lineRule="exact"/>
              <w:rPr/>
            </w:pPr>
            <w:r>
              <w:rPr>
                <w:position w:val="-7"/>
              </w:rPr>
              <w:pict>
                <v:shape id="_x0000_s224" style="mso-position-vertical-relative:line;mso-position-horizontal-relative:char;width:186.3pt;height:18.75pt;" fillcolor="#DBE5F1" filled="true" stroked="false" type="#_x0000_t202">
                  <v:fill on="true"/>
                  <v:stroke on="false"/>
                  <v:path/>
                  <v:imagedata o:title=""/>
                  <o:lock v:ext="edit" aspectratio="false"/>
                  <v:textbox inset="0mm,0mm,0mm,0mm">
                    <w:txbxContent>
                      <w:p>
                        <w:pPr>
                          <w:ind w:left="1596"/>
                          <w:spacing w:before="109" w:line="220" w:lineRule="auto"/>
                          <w:rPr>
                            <w:rFonts w:ascii="SimSun" w:hAnsi="SimSun" w:eastAsia="SimSun" w:cs="SimSun"/>
                            <w:sz w:val="18"/>
                            <w:szCs w:val="18"/>
                          </w:rPr>
                        </w:pPr>
                        <w:r>
                          <w:rPr>
                            <w:rFonts w:ascii="Times New Roman" w:hAnsi="Times New Roman" w:eastAsia="Times New Roman" w:cs="Times New Roman"/>
                            <w:sz w:val="18"/>
                            <w:szCs w:val="18"/>
                            <w:b/>
                            <w:bCs/>
                            <w:spacing w:val="-2"/>
                          </w:rPr>
                          <w:t>2022</w:t>
                        </w:r>
                        <w:r>
                          <w:rPr>
                            <w:rFonts w:ascii="SimSun" w:hAnsi="SimSun" w:eastAsia="SimSun" w:cs="SimSun"/>
                            <w:sz w:val="18"/>
                            <w:szCs w:val="18"/>
                            <w:b/>
                            <w:bCs/>
                            <w:spacing w:val="-2"/>
                          </w:rPr>
                          <w:t>年</w:t>
                        </w:r>
                      </w:p>
                    </w:txbxContent>
                  </v:textbox>
                </v:shape>
              </w:pict>
            </w:r>
          </w:p>
        </w:tc>
        <w:tc>
          <w:tcPr>
            <w:tcW w:w="3279" w:type="dxa"/>
            <w:vAlign w:val="top"/>
            <w:gridSpan w:val="2"/>
            <w:tcBorders>
              <w:bottom w:val="single" w:color="000000" w:sz="2" w:space="0"/>
              <w:top w:val="single" w:color="000000" w:sz="2" w:space="0"/>
            </w:tcBorders>
          </w:tcPr>
          <w:p>
            <w:pPr>
              <w:pStyle w:val="TableText"/>
              <w:ind w:left="1043"/>
              <w:spacing w:before="114" w:line="220" w:lineRule="auto"/>
              <w:rPr>
                <w:sz w:val="18"/>
                <w:szCs w:val="18"/>
              </w:rPr>
            </w:pPr>
            <w:r>
              <w:rPr>
                <w:rFonts w:ascii="Times New Roman" w:hAnsi="Times New Roman" w:eastAsia="Times New Roman" w:cs="Times New Roman"/>
                <w:sz w:val="18"/>
                <w:szCs w:val="18"/>
                <w:spacing w:val="-1"/>
              </w:rPr>
              <w:t>2021</w:t>
            </w:r>
            <w:r>
              <w:rPr>
                <w:sz w:val="18"/>
                <w:szCs w:val="18"/>
                <w:spacing w:val="-1"/>
              </w:rPr>
              <w:t>年</w:t>
            </w:r>
          </w:p>
        </w:tc>
      </w:tr>
      <w:tr>
        <w:trPr>
          <w:trHeight w:val="379" w:hRule="atLeast"/>
        </w:trPr>
        <w:tc>
          <w:tcPr>
            <w:tcW w:w="2311" w:type="dxa"/>
            <w:vAlign w:val="top"/>
            <w:vMerge w:val="continue"/>
            <w:tcBorders>
              <w:bottom w:val="single" w:color="000000" w:sz="2" w:space="0"/>
              <w:top w:val="nil"/>
            </w:tcBorders>
          </w:tcPr>
          <w:p>
            <w:pPr>
              <w:rPr>
                <w:rFonts w:ascii="Arial"/>
                <w:sz w:val="21"/>
              </w:rPr>
            </w:pPr>
            <w:r/>
          </w:p>
        </w:tc>
        <w:tc>
          <w:tcPr>
            <w:shd w:val="clear" w:fill="DBE5F1"/>
            <w:tcW w:w="1863" w:type="dxa"/>
            <w:vAlign w:val="top"/>
            <w:tcBorders>
              <w:bottom w:val="single" w:color="000000" w:sz="2" w:space="0"/>
              <w:top w:val="single" w:color="000000" w:sz="2" w:space="0"/>
            </w:tcBorders>
          </w:tcPr>
          <w:p>
            <w:pPr>
              <w:pStyle w:val="TableText"/>
              <w:ind w:left="1452"/>
              <w:spacing w:before="109" w:line="220" w:lineRule="auto"/>
              <w:rPr>
                <w:sz w:val="18"/>
                <w:szCs w:val="18"/>
              </w:rPr>
            </w:pPr>
            <w:r>
              <w:rPr>
                <w:sz w:val="18"/>
                <w:szCs w:val="18"/>
                <w:b/>
                <w:bCs/>
                <w:spacing w:val="-4"/>
              </w:rPr>
              <w:t>金额</w:t>
            </w:r>
          </w:p>
        </w:tc>
        <w:tc>
          <w:tcPr>
            <w:tcW w:w="2417" w:type="dxa"/>
            <w:vAlign w:val="top"/>
            <w:gridSpan w:val="2"/>
            <w:tcBorders>
              <w:bottom w:val="single" w:color="000000" w:sz="2" w:space="0"/>
              <w:top w:val="single" w:color="000000" w:sz="2" w:space="0"/>
            </w:tcBorders>
          </w:tcPr>
          <w:p>
            <w:pPr>
              <w:pStyle w:val="TableText"/>
              <w:spacing w:line="369" w:lineRule="exact"/>
              <w:rPr/>
            </w:pPr>
            <w:r>
              <w:rPr>
                <w:position w:val="-7"/>
              </w:rPr>
              <w:pict>
                <v:shape id="_x0000_s226" style="mso-position-vertical-relative:line;mso-position-horizontal-relative:char;width:93.15pt;height:18.75pt;" fillcolor="#DBE5F1" filled="true" stroked="false" type="#_x0000_t202">
                  <v:fill on="true"/>
                  <v:stroke on="false"/>
                  <v:path/>
                  <v:imagedata o:title=""/>
                  <o:lock v:ext="edit" aspectratio="false"/>
                  <v:textbox inset="0mm,0mm,0mm,0mm">
                    <w:txbxContent>
                      <w:p>
                        <w:pPr>
                          <w:ind w:left="938"/>
                          <w:spacing w:before="109" w:line="222" w:lineRule="auto"/>
                          <w:rPr>
                            <w:rFonts w:ascii="SimSun" w:hAnsi="SimSun" w:eastAsia="SimSun" w:cs="SimSun"/>
                            <w:sz w:val="18"/>
                            <w:szCs w:val="18"/>
                          </w:rPr>
                        </w:pPr>
                        <w:r>
                          <w:rPr>
                            <w:rFonts w:ascii="SimSun" w:hAnsi="SimSun" w:eastAsia="SimSun" w:cs="SimSun"/>
                            <w:sz w:val="18"/>
                            <w:szCs w:val="18"/>
                            <w:b/>
                            <w:bCs/>
                            <w:spacing w:val="12"/>
                          </w:rPr>
                          <w:t>占比(</w:t>
                        </w:r>
                        <w:r>
                          <w:rPr>
                            <w:rFonts w:ascii="Times New Roman" w:hAnsi="Times New Roman" w:eastAsia="Times New Roman" w:cs="Times New Roman"/>
                            <w:sz w:val="18"/>
                            <w:szCs w:val="18"/>
                            <w:b/>
                            <w:bCs/>
                            <w:spacing w:val="12"/>
                          </w:rPr>
                          <w:t>%</w:t>
                        </w:r>
                        <w:r>
                          <w:rPr>
                            <w:rFonts w:ascii="SimSun" w:hAnsi="SimSun" w:eastAsia="SimSun" w:cs="SimSun"/>
                            <w:sz w:val="18"/>
                            <w:szCs w:val="18"/>
                            <w:b/>
                            <w:bCs/>
                            <w:spacing w:val="12"/>
                          </w:rPr>
                          <w:t>)</w:t>
                        </w:r>
                      </w:p>
                    </w:txbxContent>
                  </v:textbox>
                </v:shape>
              </w:pict>
            </w:r>
          </w:p>
        </w:tc>
        <w:tc>
          <w:tcPr>
            <w:tcW w:w="3279" w:type="dxa"/>
            <w:vAlign w:val="top"/>
            <w:gridSpan w:val="2"/>
            <w:tcBorders>
              <w:bottom w:val="single" w:color="000000" w:sz="2" w:space="0"/>
              <w:top w:val="single" w:color="000000" w:sz="2" w:space="0"/>
            </w:tcBorders>
          </w:tcPr>
          <w:p>
            <w:pPr>
              <w:pStyle w:val="TableText"/>
              <w:ind w:left="899"/>
              <w:spacing w:before="109" w:line="220" w:lineRule="auto"/>
              <w:rPr>
                <w:sz w:val="18"/>
                <w:szCs w:val="18"/>
              </w:rPr>
            </w:pPr>
            <w:r>
              <w:rPr>
                <w:sz w:val="18"/>
                <w:szCs w:val="18"/>
                <w:spacing w:val="8"/>
              </w:rPr>
              <w:t>金额</w:t>
            </w:r>
            <w:r>
              <w:rPr>
                <w:sz w:val="18"/>
                <w:szCs w:val="18"/>
                <w:spacing w:val="3"/>
              </w:rPr>
              <w:t xml:space="preserve">           </w:t>
            </w:r>
            <w:r>
              <w:rPr>
                <w:sz w:val="18"/>
                <w:szCs w:val="18"/>
                <w:spacing w:val="8"/>
              </w:rPr>
              <w:t>占比(</w:t>
            </w:r>
            <w:r>
              <w:rPr>
                <w:rFonts w:ascii="Times New Roman" w:hAnsi="Times New Roman" w:eastAsia="Times New Roman" w:cs="Times New Roman"/>
                <w:sz w:val="18"/>
                <w:szCs w:val="18"/>
                <w:spacing w:val="8"/>
              </w:rPr>
              <w:t>%</w:t>
            </w:r>
            <w:r>
              <w:rPr>
                <w:sz w:val="18"/>
                <w:szCs w:val="18"/>
                <w:spacing w:val="8"/>
              </w:rPr>
              <w:t>)</w:t>
            </w:r>
          </w:p>
        </w:tc>
      </w:tr>
      <w:tr>
        <w:trPr>
          <w:trHeight w:val="379" w:hRule="atLeast"/>
        </w:trPr>
        <w:tc>
          <w:tcPr>
            <w:tcW w:w="2311" w:type="dxa"/>
            <w:vAlign w:val="top"/>
            <w:tcBorders>
              <w:bottom w:val="single" w:color="000000" w:sz="2" w:space="0"/>
              <w:top w:val="single" w:color="000000" w:sz="2" w:space="0"/>
            </w:tcBorders>
          </w:tcPr>
          <w:p>
            <w:pPr>
              <w:pStyle w:val="TableText"/>
              <w:ind w:left="192"/>
              <w:spacing w:before="109" w:line="220" w:lineRule="auto"/>
              <w:rPr>
                <w:sz w:val="18"/>
                <w:szCs w:val="18"/>
              </w:rPr>
            </w:pPr>
            <w:r>
              <w:rPr>
                <w:sz w:val="18"/>
                <w:szCs w:val="18"/>
                <w:b/>
                <w:bCs/>
                <w:spacing w:val="-5"/>
              </w:rPr>
              <w:t>营业收入</w:t>
            </w:r>
          </w:p>
        </w:tc>
        <w:tc>
          <w:tcPr>
            <w:shd w:val="clear" w:fill="DBE5F1"/>
            <w:tcW w:w="1863" w:type="dxa"/>
            <w:vAlign w:val="top"/>
            <w:tcBorders>
              <w:bottom w:val="single" w:color="000000" w:sz="2" w:space="0"/>
              <w:top w:val="single" w:color="000000" w:sz="2" w:space="0"/>
            </w:tcBorders>
          </w:tcPr>
          <w:p>
            <w:pPr>
              <w:ind w:left="1224"/>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272,978</w:t>
            </w:r>
          </w:p>
        </w:tc>
        <w:tc>
          <w:tcPr>
            <w:tcW w:w="2417" w:type="dxa"/>
            <w:vAlign w:val="top"/>
            <w:gridSpan w:val="2"/>
            <w:tcBorders>
              <w:bottom w:val="single" w:color="000000" w:sz="2" w:space="0"/>
              <w:top w:val="single" w:color="000000" w:sz="2" w:space="0"/>
            </w:tcBorders>
          </w:tcPr>
          <w:p>
            <w:pPr>
              <w:spacing w:line="369" w:lineRule="exact"/>
              <w:rPr/>
            </w:pPr>
            <w:r>
              <w:rPr>
                <w:position w:val="-7"/>
              </w:rPr>
              <w:pict>
                <v:shape id="_x0000_s228" style="mso-position-vertical-relative:line;mso-position-horizontal-relative:char;width:93.15pt;height:18.75pt;" fillcolor="#DBE5F1" filled="true" stroked="false" type="#_x0000_t202">
                  <v:fill on="true"/>
                  <v:stroke on="false"/>
                  <v:path/>
                  <v:imagedata o:title=""/>
                  <o:lock v:ext="edit" aspectratio="false"/>
                  <v:textbox inset="0mm,0mm,0mm,0mm">
                    <w:txbxContent>
                      <w:p>
                        <w:pPr>
                          <w:ind w:left="1322"/>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100.00</w:t>
                        </w:r>
                      </w:p>
                    </w:txbxContent>
                  </v:textbox>
                </v:shape>
              </w:pict>
            </w:r>
          </w:p>
        </w:tc>
        <w:tc>
          <w:tcPr>
            <w:tcW w:w="3279" w:type="dxa"/>
            <w:vAlign w:val="top"/>
            <w:gridSpan w:val="2"/>
            <w:tcBorders>
              <w:bottom w:val="single" w:color="000000" w:sz="2" w:space="0"/>
              <w:top w:val="single" w:color="000000" w:sz="2" w:space="0"/>
            </w:tcBorders>
          </w:tcPr>
          <w:p>
            <w:pPr>
              <w:ind w:left="669"/>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269,390</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spacing w:val="-2"/>
              </w:rPr>
              <w:t>100.00</w:t>
            </w:r>
          </w:p>
        </w:tc>
      </w:tr>
      <w:tr>
        <w:trPr>
          <w:trHeight w:val="379" w:hRule="atLeast"/>
        </w:trPr>
        <w:tc>
          <w:tcPr>
            <w:tcW w:w="2311" w:type="dxa"/>
            <w:vAlign w:val="top"/>
            <w:tcBorders>
              <w:bottom w:val="single" w:color="000000" w:sz="2" w:space="0"/>
              <w:top w:val="single" w:color="000000" w:sz="2" w:space="0"/>
            </w:tcBorders>
          </w:tcPr>
          <w:p>
            <w:pPr>
              <w:pStyle w:val="TableText"/>
              <w:ind w:left="192"/>
              <w:spacing w:before="109" w:line="220" w:lineRule="auto"/>
              <w:rPr>
                <w:sz w:val="18"/>
                <w:szCs w:val="18"/>
              </w:rPr>
            </w:pPr>
            <w:r>
              <w:rPr>
                <w:sz w:val="18"/>
                <w:szCs w:val="18"/>
                <w:spacing w:val="-2"/>
              </w:rPr>
              <w:t>公司金融业务</w:t>
            </w:r>
          </w:p>
        </w:tc>
        <w:tc>
          <w:tcPr>
            <w:shd w:val="clear" w:fill="DBE5F1"/>
            <w:tcW w:w="1863" w:type="dxa"/>
            <w:vAlign w:val="top"/>
            <w:tcBorders>
              <w:bottom w:val="single" w:color="000000" w:sz="2" w:space="0"/>
              <w:top w:val="single" w:color="000000" w:sz="2" w:space="0"/>
            </w:tcBorders>
          </w:tcPr>
          <w:p>
            <w:pPr>
              <w:ind w:left="1232"/>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126,170</w:t>
            </w:r>
          </w:p>
        </w:tc>
        <w:tc>
          <w:tcPr>
            <w:tcW w:w="2417" w:type="dxa"/>
            <w:vAlign w:val="top"/>
            <w:gridSpan w:val="2"/>
            <w:tcBorders>
              <w:bottom w:val="single" w:color="000000" w:sz="2" w:space="0"/>
              <w:top w:val="single" w:color="000000" w:sz="2" w:space="0"/>
            </w:tcBorders>
          </w:tcPr>
          <w:p>
            <w:pPr>
              <w:spacing w:line="369" w:lineRule="exact"/>
              <w:rPr/>
            </w:pPr>
            <w:r>
              <w:rPr>
                <w:position w:val="-7"/>
              </w:rPr>
              <w:pict>
                <v:shape id="_x0000_s230" style="mso-position-vertical-relative:line;mso-position-horizontal-relative:char;width:93.15pt;height:18.75pt;" fillcolor="#DBE5F1" filled="true" stroked="false" type="#_x0000_t202">
                  <v:fill on="true"/>
                  <v:stroke on="false"/>
                  <v:path/>
                  <v:imagedata o:title=""/>
                  <o:lock v:ext="edit" aspectratio="false"/>
                  <v:textbox inset="0mm,0mm,0mm,0mm">
                    <w:txbxContent>
                      <w:p>
                        <w:pPr>
                          <w:ind w:left="1404"/>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46.22</w:t>
                        </w:r>
                      </w:p>
                    </w:txbxContent>
                  </v:textbox>
                </v:shape>
              </w:pict>
            </w:r>
          </w:p>
        </w:tc>
        <w:tc>
          <w:tcPr>
            <w:tcW w:w="3279" w:type="dxa"/>
            <w:vAlign w:val="top"/>
            <w:gridSpan w:val="2"/>
            <w:tcBorders>
              <w:bottom w:val="single" w:color="000000" w:sz="2" w:space="0"/>
              <w:top w:val="single" w:color="000000" w:sz="2" w:space="0"/>
            </w:tcBorders>
          </w:tcPr>
          <w:p>
            <w:pPr>
              <w:ind w:left="686"/>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125,990                                 46</w:t>
            </w:r>
            <w:r>
              <w:rPr>
                <w:rFonts w:ascii="Times New Roman" w:hAnsi="Times New Roman" w:eastAsia="Times New Roman" w:cs="Times New Roman"/>
                <w:sz w:val="18"/>
                <w:szCs w:val="18"/>
                <w:spacing w:val="-2"/>
              </w:rPr>
              <w:t>.77</w:t>
            </w:r>
          </w:p>
        </w:tc>
      </w:tr>
      <w:tr>
        <w:trPr>
          <w:trHeight w:val="379" w:hRule="atLeast"/>
        </w:trPr>
        <w:tc>
          <w:tcPr>
            <w:tcW w:w="2311" w:type="dxa"/>
            <w:vAlign w:val="top"/>
            <w:tcBorders>
              <w:bottom w:val="single" w:color="000000" w:sz="2" w:space="0"/>
              <w:top w:val="single" w:color="000000" w:sz="2" w:space="0"/>
            </w:tcBorders>
          </w:tcPr>
          <w:p>
            <w:pPr>
              <w:pStyle w:val="TableText"/>
              <w:ind w:left="187"/>
              <w:spacing w:before="109" w:line="220" w:lineRule="auto"/>
              <w:rPr>
                <w:sz w:val="18"/>
                <w:szCs w:val="18"/>
              </w:rPr>
            </w:pPr>
            <w:r>
              <w:rPr>
                <w:sz w:val="18"/>
                <w:szCs w:val="18"/>
                <w:spacing w:val="-1"/>
              </w:rPr>
              <w:t>个人金融业务</w:t>
            </w:r>
          </w:p>
        </w:tc>
        <w:tc>
          <w:tcPr>
            <w:shd w:val="clear" w:fill="DBE5F1"/>
            <w:tcW w:w="1863" w:type="dxa"/>
            <w:vAlign w:val="top"/>
            <w:tcBorders>
              <w:bottom w:val="single" w:color="000000" w:sz="2" w:space="0"/>
              <w:top w:val="single" w:color="000000" w:sz="2" w:space="0"/>
            </w:tcBorders>
          </w:tcPr>
          <w:p>
            <w:pPr>
              <w:ind w:left="1241"/>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119,868</w:t>
            </w:r>
          </w:p>
        </w:tc>
        <w:tc>
          <w:tcPr>
            <w:tcW w:w="2417" w:type="dxa"/>
            <w:vAlign w:val="top"/>
            <w:gridSpan w:val="2"/>
            <w:tcBorders>
              <w:bottom w:val="single" w:color="000000" w:sz="2" w:space="0"/>
              <w:top w:val="single" w:color="000000" w:sz="2" w:space="0"/>
            </w:tcBorders>
          </w:tcPr>
          <w:p>
            <w:pPr>
              <w:spacing w:line="369" w:lineRule="exact"/>
              <w:rPr/>
            </w:pPr>
            <w:r>
              <w:rPr>
                <w:position w:val="-7"/>
              </w:rPr>
              <w:pict>
                <v:shape id="_x0000_s232" style="mso-position-vertical-relative:line;mso-position-horizontal-relative:char;width:93.15pt;height:18.75pt;" fillcolor="#DBE5F1" filled="true" stroked="false" type="#_x0000_t202">
                  <v:fill on="true"/>
                  <v:stroke on="false"/>
                  <v:path/>
                  <v:imagedata o:title=""/>
                  <o:lock v:ext="edit" aspectratio="false"/>
                  <v:textbox inset="0mm,0mm,0mm,0mm">
                    <w:txbxContent>
                      <w:p>
                        <w:pPr>
                          <w:ind w:left="1404"/>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43.91</w:t>
                        </w:r>
                      </w:p>
                    </w:txbxContent>
                  </v:textbox>
                </v:shape>
              </w:pict>
            </w:r>
          </w:p>
        </w:tc>
        <w:tc>
          <w:tcPr>
            <w:tcW w:w="3279" w:type="dxa"/>
            <w:vAlign w:val="top"/>
            <w:gridSpan w:val="2"/>
            <w:tcBorders>
              <w:bottom w:val="single" w:color="000000" w:sz="2" w:space="0"/>
              <w:top w:val="single" w:color="000000" w:sz="2" w:space="0"/>
            </w:tcBorders>
          </w:tcPr>
          <w:p>
            <w:pPr>
              <w:ind w:left="693"/>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117,618                            </w:t>
            </w:r>
            <w:r>
              <w:rPr>
                <w:rFonts w:ascii="Times New Roman" w:hAnsi="Times New Roman" w:eastAsia="Times New Roman" w:cs="Times New Roman"/>
                <w:sz w:val="18"/>
                <w:szCs w:val="18"/>
                <w:spacing w:val="-2"/>
              </w:rPr>
              <w:t xml:space="preserve">     43.66</w:t>
            </w:r>
          </w:p>
        </w:tc>
      </w:tr>
      <w:tr>
        <w:trPr>
          <w:trHeight w:val="379" w:hRule="atLeast"/>
        </w:trPr>
        <w:tc>
          <w:tcPr>
            <w:tcW w:w="2311" w:type="dxa"/>
            <w:vAlign w:val="top"/>
            <w:tcBorders>
              <w:bottom w:val="single" w:color="000000" w:sz="2" w:space="0"/>
              <w:top w:val="single" w:color="000000" w:sz="2" w:space="0"/>
            </w:tcBorders>
          </w:tcPr>
          <w:p>
            <w:pPr>
              <w:pStyle w:val="TableText"/>
              <w:ind w:left="194"/>
              <w:spacing w:before="109" w:line="220" w:lineRule="auto"/>
              <w:rPr>
                <w:sz w:val="18"/>
                <w:szCs w:val="18"/>
              </w:rPr>
            </w:pPr>
            <w:r>
              <w:rPr>
                <w:sz w:val="18"/>
                <w:szCs w:val="18"/>
                <w:spacing w:val="-3"/>
              </w:rPr>
              <w:t>资金业务</w:t>
            </w:r>
          </w:p>
        </w:tc>
        <w:tc>
          <w:tcPr>
            <w:shd w:val="clear" w:fill="DBE5F1"/>
            <w:tcW w:w="1863" w:type="dxa"/>
            <w:vAlign w:val="top"/>
            <w:tcBorders>
              <w:bottom w:val="single" w:color="000000" w:sz="2" w:space="0"/>
              <w:top w:val="single" w:color="000000" w:sz="2" w:space="0"/>
            </w:tcBorders>
          </w:tcPr>
          <w:p>
            <w:pPr>
              <w:ind w:left="1315"/>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25,763</w:t>
            </w:r>
          </w:p>
        </w:tc>
        <w:tc>
          <w:tcPr>
            <w:tcW w:w="2417" w:type="dxa"/>
            <w:vAlign w:val="top"/>
            <w:gridSpan w:val="2"/>
            <w:tcBorders>
              <w:bottom w:val="single" w:color="000000" w:sz="2" w:space="0"/>
              <w:top w:val="single" w:color="000000" w:sz="2" w:space="0"/>
            </w:tcBorders>
          </w:tcPr>
          <w:p>
            <w:pPr>
              <w:spacing w:line="369" w:lineRule="exact"/>
              <w:rPr/>
            </w:pPr>
            <w:r>
              <w:rPr>
                <w:position w:val="-7"/>
              </w:rPr>
              <w:pict>
                <v:shape id="_x0000_s234" style="mso-position-vertical-relative:line;mso-position-horizontal-relative:char;width:93.15pt;height:18.75pt;" fillcolor="#DBE5F1" filled="true" stroked="false" type="#_x0000_t202">
                  <v:fill on="true"/>
                  <v:stroke on="false"/>
                  <v:path/>
                  <v:imagedata o:title=""/>
                  <o:lock v:ext="edit" aspectratio="false"/>
                  <v:textbox inset="0mm,0mm,0mm,0mm">
                    <w:txbxContent>
                      <w:p>
                        <w:pPr>
                          <w:ind w:left="1496"/>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9.44</w:t>
                        </w:r>
                      </w:p>
                    </w:txbxContent>
                  </v:textbox>
                </v:shape>
              </w:pict>
            </w:r>
          </w:p>
        </w:tc>
        <w:tc>
          <w:tcPr>
            <w:tcW w:w="3279" w:type="dxa"/>
            <w:vAlign w:val="top"/>
            <w:gridSpan w:val="2"/>
            <w:tcBorders>
              <w:bottom w:val="single" w:color="000000" w:sz="2" w:space="0"/>
              <w:top w:val="single" w:color="000000" w:sz="2" w:space="0"/>
            </w:tcBorders>
          </w:tcPr>
          <w:p>
            <w:pPr>
              <w:ind w:left="760"/>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24,443</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1"/>
              </w:rPr>
              <w:t>9.07</w:t>
            </w:r>
          </w:p>
        </w:tc>
      </w:tr>
      <w:tr>
        <w:trPr>
          <w:trHeight w:val="379" w:hRule="atLeast"/>
        </w:trPr>
        <w:tc>
          <w:tcPr>
            <w:tcW w:w="2311" w:type="dxa"/>
            <w:vAlign w:val="top"/>
            <w:tcBorders>
              <w:bottom w:val="single" w:color="000000" w:sz="2" w:space="0"/>
              <w:top w:val="single" w:color="000000" w:sz="2" w:space="0"/>
            </w:tcBorders>
          </w:tcPr>
          <w:p>
            <w:pPr>
              <w:pStyle w:val="TableText"/>
              <w:ind w:left="187"/>
              <w:spacing w:before="109" w:line="220" w:lineRule="auto"/>
              <w:rPr>
                <w:sz w:val="18"/>
                <w:szCs w:val="18"/>
              </w:rPr>
            </w:pPr>
            <w:r>
              <w:rPr>
                <w:sz w:val="18"/>
                <w:szCs w:val="18"/>
                <w:spacing w:val="-2"/>
              </w:rPr>
              <w:t>其他业务</w:t>
            </w:r>
          </w:p>
        </w:tc>
        <w:tc>
          <w:tcPr>
            <w:shd w:val="clear" w:fill="DBE5F1"/>
            <w:tcW w:w="1863" w:type="dxa"/>
            <w:vAlign w:val="top"/>
            <w:tcBorders>
              <w:bottom w:val="single" w:color="000000" w:sz="2" w:space="0"/>
              <w:top w:val="single" w:color="000000" w:sz="2" w:space="0"/>
            </w:tcBorders>
          </w:tcPr>
          <w:p>
            <w:pPr>
              <w:ind w:left="1412"/>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1,177</w:t>
            </w:r>
          </w:p>
        </w:tc>
        <w:tc>
          <w:tcPr>
            <w:tcW w:w="2417" w:type="dxa"/>
            <w:vAlign w:val="top"/>
            <w:gridSpan w:val="2"/>
            <w:tcBorders>
              <w:bottom w:val="single" w:color="000000" w:sz="2" w:space="0"/>
              <w:top w:val="single" w:color="000000" w:sz="2" w:space="0"/>
            </w:tcBorders>
          </w:tcPr>
          <w:p>
            <w:pPr>
              <w:spacing w:line="369" w:lineRule="exact"/>
              <w:rPr/>
            </w:pPr>
            <w:r>
              <w:rPr>
                <w:position w:val="-7"/>
              </w:rPr>
              <w:pict>
                <v:shape id="_x0000_s236" style="mso-position-vertical-relative:line;mso-position-horizontal-relative:char;width:93.15pt;height:18.75pt;" fillcolor="#DBE5F1" filled="true" stroked="false" type="#_x0000_t202">
                  <v:fill on="true"/>
                  <v:stroke on="false"/>
                  <v:path/>
                  <v:imagedata o:title=""/>
                  <o:lock v:ext="edit" aspectratio="false"/>
                  <v:textbox inset="0mm,0mm,0mm,0mm">
                    <w:txbxContent>
                      <w:p>
                        <w:pPr>
                          <w:ind w:left="1497"/>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0.43</w:t>
                        </w:r>
                      </w:p>
                    </w:txbxContent>
                  </v:textbox>
                </v:shape>
              </w:pict>
            </w:r>
          </w:p>
        </w:tc>
        <w:tc>
          <w:tcPr>
            <w:tcW w:w="3279" w:type="dxa"/>
            <w:vAlign w:val="top"/>
            <w:gridSpan w:val="2"/>
            <w:tcBorders>
              <w:bottom w:val="single" w:color="000000" w:sz="2" w:space="0"/>
              <w:top w:val="single" w:color="000000" w:sz="2" w:space="0"/>
            </w:tcBorders>
          </w:tcPr>
          <w:p>
            <w:pPr>
              <w:ind w:left="866"/>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1,339</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3"/>
              </w:rPr>
              <w:t>0.50</w:t>
            </w:r>
          </w:p>
        </w:tc>
      </w:tr>
      <w:tr>
        <w:trPr>
          <w:trHeight w:val="379" w:hRule="atLeast"/>
        </w:trPr>
        <w:tc>
          <w:tcPr>
            <w:tcW w:w="2311" w:type="dxa"/>
            <w:vAlign w:val="top"/>
            <w:tcBorders>
              <w:bottom w:val="single" w:color="000000" w:sz="2" w:space="0"/>
              <w:top w:val="single" w:color="000000" w:sz="2" w:space="0"/>
            </w:tcBorders>
          </w:tcPr>
          <w:p>
            <w:pPr>
              <w:pStyle w:val="TableText"/>
              <w:ind w:left="187"/>
              <w:spacing w:before="109" w:line="220" w:lineRule="auto"/>
              <w:rPr>
                <w:sz w:val="18"/>
                <w:szCs w:val="18"/>
              </w:rPr>
            </w:pPr>
            <w:r>
              <w:rPr>
                <w:sz w:val="18"/>
                <w:szCs w:val="18"/>
                <w:b/>
                <w:bCs/>
                <w:spacing w:val="-4"/>
              </w:rPr>
              <w:t>利润总额</w:t>
            </w:r>
          </w:p>
        </w:tc>
        <w:tc>
          <w:tcPr>
            <w:shd w:val="clear" w:fill="DBE5F1"/>
            <w:tcW w:w="1863" w:type="dxa"/>
            <w:vAlign w:val="top"/>
            <w:tcBorders>
              <w:bottom w:val="single" w:color="000000" w:sz="2" w:space="0"/>
              <w:top w:val="single" w:color="000000" w:sz="2" w:space="0"/>
            </w:tcBorders>
          </w:tcPr>
          <w:p>
            <w:pPr>
              <w:ind w:left="1314"/>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98,215</w:t>
            </w:r>
          </w:p>
        </w:tc>
        <w:tc>
          <w:tcPr>
            <w:tcW w:w="2417" w:type="dxa"/>
            <w:vAlign w:val="top"/>
            <w:gridSpan w:val="2"/>
            <w:tcBorders>
              <w:bottom w:val="single" w:color="000000" w:sz="2" w:space="0"/>
              <w:top w:val="single" w:color="000000" w:sz="2" w:space="0"/>
            </w:tcBorders>
          </w:tcPr>
          <w:p>
            <w:pPr>
              <w:spacing w:line="369" w:lineRule="exact"/>
              <w:rPr/>
            </w:pPr>
            <w:r>
              <w:rPr>
                <w:position w:val="-7"/>
              </w:rPr>
              <w:pict>
                <v:shape id="_x0000_s238" style="mso-position-vertical-relative:line;mso-position-horizontal-relative:char;width:93.15pt;height:18.75pt;" fillcolor="#DBE5F1" filled="true" stroked="false" type="#_x0000_t202">
                  <v:fill on="true"/>
                  <v:stroke on="false"/>
                  <v:path/>
                  <v:imagedata o:title=""/>
                  <o:lock v:ext="edit" aspectratio="false"/>
                  <v:textbox inset="0mm,0mm,0mm,0mm">
                    <w:txbxContent>
                      <w:p>
                        <w:pPr>
                          <w:ind w:left="1322"/>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100.00</w:t>
                        </w:r>
                      </w:p>
                    </w:txbxContent>
                  </v:textbox>
                </v:shape>
              </w:pict>
            </w:r>
          </w:p>
        </w:tc>
        <w:tc>
          <w:tcPr>
            <w:tcW w:w="3279" w:type="dxa"/>
            <w:vAlign w:val="top"/>
            <w:gridSpan w:val="2"/>
            <w:tcBorders>
              <w:bottom w:val="single" w:color="000000" w:sz="2" w:space="0"/>
              <w:top w:val="single" w:color="000000" w:sz="2" w:space="0"/>
            </w:tcBorders>
          </w:tcPr>
          <w:p>
            <w:pPr>
              <w:ind w:left="763"/>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93,959</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spacing w:val="-3"/>
              </w:rPr>
              <w:t>100.00</w:t>
            </w:r>
          </w:p>
        </w:tc>
      </w:tr>
      <w:tr>
        <w:trPr>
          <w:trHeight w:val="379" w:hRule="atLeast"/>
        </w:trPr>
        <w:tc>
          <w:tcPr>
            <w:tcW w:w="2311" w:type="dxa"/>
            <w:vAlign w:val="top"/>
            <w:tcBorders>
              <w:bottom w:val="single" w:color="000000" w:sz="2" w:space="0"/>
              <w:top w:val="single" w:color="000000" w:sz="2" w:space="0"/>
            </w:tcBorders>
          </w:tcPr>
          <w:p>
            <w:pPr>
              <w:pStyle w:val="TableText"/>
              <w:ind w:left="135"/>
              <w:spacing w:before="109" w:line="220" w:lineRule="auto"/>
              <w:rPr>
                <w:sz w:val="18"/>
                <w:szCs w:val="18"/>
              </w:rPr>
            </w:pPr>
            <w:r>
              <w:rPr>
                <w:sz w:val="18"/>
                <w:szCs w:val="18"/>
                <w:spacing w:val="-2"/>
              </w:rPr>
              <w:t>公司金融业务</w:t>
            </w:r>
          </w:p>
        </w:tc>
        <w:tc>
          <w:tcPr>
            <w:shd w:val="clear" w:fill="DBE5F1"/>
            <w:tcW w:w="1863" w:type="dxa"/>
            <w:vAlign w:val="top"/>
            <w:tcBorders>
              <w:bottom w:val="single" w:color="000000" w:sz="2" w:space="0"/>
              <w:top w:val="single" w:color="000000" w:sz="2" w:space="0"/>
            </w:tcBorders>
          </w:tcPr>
          <w:p>
            <w:pPr>
              <w:ind w:left="1316"/>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45,441</w:t>
            </w:r>
          </w:p>
        </w:tc>
        <w:tc>
          <w:tcPr>
            <w:tcW w:w="2417" w:type="dxa"/>
            <w:vAlign w:val="top"/>
            <w:gridSpan w:val="2"/>
            <w:tcBorders>
              <w:bottom w:val="single" w:color="000000" w:sz="2" w:space="0"/>
              <w:top w:val="single" w:color="000000" w:sz="2" w:space="0"/>
            </w:tcBorders>
          </w:tcPr>
          <w:p>
            <w:pPr>
              <w:spacing w:line="369" w:lineRule="exact"/>
              <w:rPr/>
            </w:pPr>
            <w:r>
              <w:rPr>
                <w:position w:val="-7"/>
              </w:rPr>
              <w:pict>
                <v:shape id="_x0000_s240" style="mso-position-vertical-relative:line;mso-position-horizontal-relative:char;width:93.15pt;height:18.75pt;" fillcolor="#DBE5F1" filled="true" stroked="false" type="#_x0000_t202">
                  <v:fill on="true"/>
                  <v:stroke on="false"/>
                  <v:path/>
                  <v:imagedata o:title=""/>
                  <o:lock v:ext="edit" aspectratio="false"/>
                  <v:textbox inset="0mm,0mm,0mm,0mm">
                    <w:txbxContent>
                      <w:p>
                        <w:pPr>
                          <w:ind w:left="1404"/>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46.27</w:t>
                        </w:r>
                      </w:p>
                    </w:txbxContent>
                  </v:textbox>
                </v:shape>
              </w:pict>
            </w:r>
          </w:p>
        </w:tc>
        <w:tc>
          <w:tcPr>
            <w:tcW w:w="3279" w:type="dxa"/>
            <w:vAlign w:val="top"/>
            <w:gridSpan w:val="2"/>
            <w:tcBorders>
              <w:bottom w:val="single" w:color="000000" w:sz="2" w:space="0"/>
              <w:top w:val="single" w:color="000000" w:sz="2" w:space="0"/>
            </w:tcBorders>
          </w:tcPr>
          <w:p>
            <w:pPr>
              <w:ind w:left="764"/>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38,263</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1"/>
              </w:rPr>
              <w:t>40.72</w:t>
            </w:r>
          </w:p>
        </w:tc>
      </w:tr>
      <w:tr>
        <w:trPr>
          <w:trHeight w:val="379" w:hRule="atLeast"/>
        </w:trPr>
        <w:tc>
          <w:tcPr>
            <w:tcW w:w="2311" w:type="dxa"/>
            <w:vAlign w:val="top"/>
            <w:tcBorders>
              <w:bottom w:val="single" w:color="000000" w:sz="2" w:space="0"/>
              <w:top w:val="single" w:color="000000" w:sz="2" w:space="0"/>
            </w:tcBorders>
          </w:tcPr>
          <w:p>
            <w:pPr>
              <w:pStyle w:val="TableText"/>
              <w:ind w:left="129"/>
              <w:spacing w:before="109" w:line="220" w:lineRule="auto"/>
              <w:rPr>
                <w:sz w:val="18"/>
                <w:szCs w:val="18"/>
              </w:rPr>
            </w:pPr>
            <w:r>
              <w:rPr>
                <w:sz w:val="18"/>
                <w:szCs w:val="18"/>
                <w:spacing w:val="-1"/>
              </w:rPr>
              <w:t>个人金融业务</w:t>
            </w:r>
          </w:p>
        </w:tc>
        <w:tc>
          <w:tcPr>
            <w:shd w:val="clear" w:fill="DBE5F1"/>
            <w:tcW w:w="1863" w:type="dxa"/>
            <w:vAlign w:val="top"/>
            <w:tcBorders>
              <w:bottom w:val="single" w:color="000000" w:sz="2" w:space="0"/>
              <w:top w:val="single" w:color="000000" w:sz="2" w:space="0"/>
            </w:tcBorders>
          </w:tcPr>
          <w:p>
            <w:pPr>
              <w:ind w:left="1314"/>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31,098</w:t>
            </w:r>
          </w:p>
        </w:tc>
        <w:tc>
          <w:tcPr>
            <w:tcW w:w="2417" w:type="dxa"/>
            <w:vAlign w:val="top"/>
            <w:gridSpan w:val="2"/>
            <w:tcBorders>
              <w:bottom w:val="single" w:color="000000" w:sz="2" w:space="0"/>
              <w:top w:val="single" w:color="000000" w:sz="2" w:space="0"/>
            </w:tcBorders>
          </w:tcPr>
          <w:p>
            <w:pPr>
              <w:spacing w:line="369" w:lineRule="exact"/>
              <w:rPr/>
            </w:pPr>
            <w:r>
              <w:rPr>
                <w:position w:val="-7"/>
              </w:rPr>
              <w:pict>
                <v:shape id="_x0000_s242" style="mso-position-vertical-relative:line;mso-position-horizontal-relative:char;width:93.15pt;height:18.75pt;" fillcolor="#DBE5F1" filled="true" stroked="false" type="#_x0000_t202">
                  <v:fill on="true"/>
                  <v:stroke on="false"/>
                  <v:path/>
                  <v:imagedata o:title=""/>
                  <o:lock v:ext="edit" aspectratio="false"/>
                  <v:textbox inset="0mm,0mm,0mm,0mm">
                    <w:txbxContent>
                      <w:p>
                        <w:pPr>
                          <w:ind w:left="1402"/>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31.66</w:t>
                        </w:r>
                      </w:p>
                    </w:txbxContent>
                  </v:textbox>
                </v:shape>
              </w:pict>
            </w:r>
          </w:p>
        </w:tc>
        <w:tc>
          <w:tcPr>
            <w:tcW w:w="3279" w:type="dxa"/>
            <w:vAlign w:val="top"/>
            <w:gridSpan w:val="2"/>
            <w:tcBorders>
              <w:bottom w:val="single" w:color="000000" w:sz="2" w:space="0"/>
              <w:top w:val="single" w:color="000000" w:sz="2" w:space="0"/>
            </w:tcBorders>
          </w:tcPr>
          <w:p>
            <w:pPr>
              <w:ind w:left="764"/>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36,844                                 39.21</w:t>
            </w:r>
          </w:p>
        </w:tc>
      </w:tr>
      <w:tr>
        <w:trPr>
          <w:trHeight w:val="379" w:hRule="atLeast"/>
        </w:trPr>
        <w:tc>
          <w:tcPr>
            <w:tcW w:w="2311" w:type="dxa"/>
            <w:vAlign w:val="top"/>
            <w:tcBorders>
              <w:bottom w:val="single" w:color="000000" w:sz="2" w:space="0"/>
              <w:top w:val="single" w:color="000000" w:sz="2" w:space="0"/>
            </w:tcBorders>
          </w:tcPr>
          <w:p>
            <w:pPr>
              <w:pStyle w:val="TableText"/>
              <w:ind w:left="137"/>
              <w:spacing w:before="109" w:line="220" w:lineRule="auto"/>
              <w:rPr>
                <w:sz w:val="18"/>
                <w:szCs w:val="18"/>
              </w:rPr>
            </w:pPr>
            <w:r>
              <w:rPr>
                <w:sz w:val="18"/>
                <w:szCs w:val="18"/>
                <w:spacing w:val="-3"/>
              </w:rPr>
              <w:t>资金业务</w:t>
            </w:r>
          </w:p>
        </w:tc>
        <w:tc>
          <w:tcPr>
            <w:shd w:val="clear" w:fill="DBE5F1"/>
            <w:tcW w:w="1863" w:type="dxa"/>
            <w:vAlign w:val="top"/>
            <w:tcBorders>
              <w:bottom w:val="single" w:color="000000" w:sz="2" w:space="0"/>
              <w:top w:val="single" w:color="000000" w:sz="2" w:space="0"/>
            </w:tcBorders>
          </w:tcPr>
          <w:p>
            <w:pPr>
              <w:ind w:left="1315"/>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21,885</w:t>
            </w:r>
          </w:p>
        </w:tc>
        <w:tc>
          <w:tcPr>
            <w:tcW w:w="2417" w:type="dxa"/>
            <w:vAlign w:val="top"/>
            <w:gridSpan w:val="2"/>
            <w:tcBorders>
              <w:bottom w:val="single" w:color="000000" w:sz="2" w:space="0"/>
              <w:top w:val="single" w:color="000000" w:sz="2" w:space="0"/>
            </w:tcBorders>
          </w:tcPr>
          <w:p>
            <w:pPr>
              <w:spacing w:line="369" w:lineRule="exact"/>
              <w:rPr/>
            </w:pPr>
            <w:r>
              <w:rPr>
                <w:position w:val="-7"/>
              </w:rPr>
              <w:pict>
                <v:shape id="_x0000_s244" style="mso-position-vertical-relative:line;mso-position-horizontal-relative:char;width:93.15pt;height:18.75pt;" fillcolor="#DBE5F1" filled="true" stroked="false" type="#_x0000_t202">
                  <v:fill on="true"/>
                  <v:stroke on="false"/>
                  <v:path/>
                  <v:imagedata o:title=""/>
                  <o:lock v:ext="edit" aspectratio="false"/>
                  <v:textbox inset="0mm,0mm,0mm,0mm">
                    <w:txbxContent>
                      <w:p>
                        <w:pPr>
                          <w:ind w:left="1403"/>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22.28</w:t>
                        </w:r>
                      </w:p>
                    </w:txbxContent>
                  </v:textbox>
                </v:shape>
              </w:pict>
            </w:r>
          </w:p>
        </w:tc>
        <w:tc>
          <w:tcPr>
            <w:tcW w:w="3279" w:type="dxa"/>
            <w:vAlign w:val="top"/>
            <w:gridSpan w:val="2"/>
            <w:tcBorders>
              <w:bottom w:val="single" w:color="000000" w:sz="2" w:space="0"/>
              <w:top w:val="single" w:color="000000" w:sz="2" w:space="0"/>
            </w:tcBorders>
          </w:tcPr>
          <w:p>
            <w:pPr>
              <w:ind w:left="777"/>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18,563                                  1</w:t>
            </w:r>
            <w:r>
              <w:rPr>
                <w:rFonts w:ascii="Times New Roman" w:hAnsi="Times New Roman" w:eastAsia="Times New Roman" w:cs="Times New Roman"/>
                <w:sz w:val="18"/>
                <w:szCs w:val="18"/>
                <w:spacing w:val="-3"/>
              </w:rPr>
              <w:t>9.76</w:t>
            </w:r>
          </w:p>
        </w:tc>
      </w:tr>
      <w:tr>
        <w:trPr>
          <w:trHeight w:val="379" w:hRule="atLeast"/>
        </w:trPr>
        <w:tc>
          <w:tcPr>
            <w:tcW w:w="2311" w:type="dxa"/>
            <w:vAlign w:val="top"/>
            <w:tcBorders>
              <w:bottom w:val="single" w:color="000000" w:sz="2" w:space="0"/>
              <w:top w:val="single" w:color="000000" w:sz="2" w:space="0"/>
            </w:tcBorders>
          </w:tcPr>
          <w:p>
            <w:pPr>
              <w:pStyle w:val="TableText"/>
              <w:ind w:left="130"/>
              <w:spacing w:before="110" w:line="220" w:lineRule="auto"/>
              <w:rPr>
                <w:sz w:val="18"/>
                <w:szCs w:val="18"/>
              </w:rPr>
            </w:pPr>
            <w:r>
              <w:rPr>
                <w:sz w:val="18"/>
                <w:szCs w:val="18"/>
                <w:spacing w:val="-2"/>
              </w:rPr>
              <w:t>其他业务</w:t>
            </w:r>
          </w:p>
        </w:tc>
        <w:tc>
          <w:tcPr>
            <w:shd w:val="clear" w:fill="DBE5F1"/>
            <w:tcW w:w="1863" w:type="dxa"/>
            <w:vAlign w:val="top"/>
            <w:tcBorders>
              <w:bottom w:val="single" w:color="000000" w:sz="2" w:space="0"/>
              <w:top w:val="single" w:color="000000" w:sz="2" w:space="0"/>
            </w:tcBorders>
          </w:tcPr>
          <w:p>
            <w:pPr>
              <w:ind w:left="1424"/>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(209)</w:t>
            </w:r>
          </w:p>
        </w:tc>
        <w:tc>
          <w:tcPr>
            <w:tcW w:w="2417" w:type="dxa"/>
            <w:vAlign w:val="top"/>
            <w:gridSpan w:val="2"/>
            <w:tcBorders>
              <w:bottom w:val="single" w:color="000000" w:sz="2" w:space="0"/>
              <w:top w:val="single" w:color="000000" w:sz="2" w:space="0"/>
            </w:tcBorders>
          </w:tcPr>
          <w:p>
            <w:pPr>
              <w:spacing w:line="369" w:lineRule="exact"/>
              <w:rPr/>
            </w:pPr>
            <w:r>
              <w:rPr>
                <w:position w:val="-7"/>
              </w:rPr>
              <w:pict>
                <v:shape id="_x0000_s246" style="mso-position-vertical-relative:line;mso-position-horizontal-relative:char;width:93.15pt;height:18.75pt;" fillcolor="#DBE5F1" filled="true" stroked="false" type="#_x0000_t202">
                  <v:fill on="true"/>
                  <v:stroke on="false"/>
                  <v:path/>
                  <v:imagedata o:title=""/>
                  <o:lock v:ext="edit" aspectratio="false"/>
                  <v:textbox inset="0mm,0mm,0mm,0mm">
                    <w:txbxContent>
                      <w:p>
                        <w:pPr>
                          <w:ind w:left="1377"/>
                          <w:spacing w:before="14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(0.21)</w:t>
                        </w:r>
                      </w:p>
                    </w:txbxContent>
                  </v:textbox>
                </v:shape>
              </w:pict>
            </w:r>
          </w:p>
        </w:tc>
        <w:tc>
          <w:tcPr>
            <w:tcW w:w="3279" w:type="dxa"/>
            <w:vAlign w:val="top"/>
            <w:gridSpan w:val="2"/>
            <w:tcBorders>
              <w:bottom w:val="single" w:color="000000" w:sz="2" w:space="0"/>
              <w:top w:val="single" w:color="000000" w:sz="2" w:space="0"/>
            </w:tcBorders>
          </w:tcPr>
          <w:p>
            <w:pPr>
              <w:ind w:left="983"/>
              <w:spacing w:before="14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289</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1"/>
              </w:rPr>
              <w:t>0.31</w:t>
            </w:r>
          </w:p>
        </w:tc>
      </w:tr>
      <w:tr>
        <w:trPr>
          <w:trHeight w:val="3284" w:hRule="atLeast"/>
        </w:trPr>
        <w:tc>
          <w:tcPr>
            <w:tcW w:w="9870" w:type="dxa"/>
            <w:vAlign w:val="top"/>
            <w:gridSpan w:val="6"/>
            <w:tcBorders>
              <w:bottom w:val="single" w:color="000000" w:sz="2" w:space="0"/>
              <w:top w:val="single" w:color="000000" w:sz="2" w:space="0"/>
            </w:tcBorders>
          </w:tcPr>
          <w:p>
            <w:pPr>
              <w:pStyle w:val="TableText"/>
              <w:ind w:left="129"/>
              <w:spacing w:before="38" w:line="217" w:lineRule="auto"/>
              <w:rPr>
                <w:sz w:val="18"/>
                <w:szCs w:val="18"/>
              </w:rPr>
            </w:pPr>
            <w:r>
              <w:rPr>
                <w:sz w:val="18"/>
                <w:szCs w:val="18"/>
                <w:spacing w:val="4"/>
              </w:rPr>
              <w:t>注:因分部间收入和支出分配考核规则的调整,同期比较数据已根</w:t>
            </w:r>
            <w:r>
              <w:rPr>
                <w:sz w:val="18"/>
                <w:szCs w:val="18"/>
                <w:spacing w:val="3"/>
              </w:rPr>
              <w:t>据当期口径进行编制。</w:t>
            </w:r>
          </w:p>
          <w:p>
            <w:pPr>
              <w:pStyle w:val="TableText"/>
              <w:ind w:left="664"/>
              <w:spacing w:before="216" w:line="221" w:lineRule="auto"/>
              <w:rPr/>
            </w:pPr>
            <w:r>
              <w:rPr>
                <w:b/>
                <w:bCs/>
                <w:spacing w:val="10"/>
              </w:rPr>
              <w:t>(五)资本充足率</w:t>
            </w:r>
          </w:p>
          <w:p>
            <w:pPr>
              <w:rPr>
                <w:rFonts w:ascii="Arial"/>
                <w:sz w:val="21"/>
              </w:rPr>
            </w:pPr>
            <w:r/>
          </w:p>
          <w:p>
            <w:pPr>
              <w:pStyle w:val="TableText"/>
              <w:ind w:left="131" w:right="102" w:firstLine="420"/>
              <w:spacing w:before="68" w:line="297" w:lineRule="auto"/>
              <w:jc w:val="both"/>
              <w:rPr/>
            </w:pPr>
            <w:r>
              <w:rPr>
                <w:spacing w:val="4"/>
              </w:rPr>
              <w:t>本集团遵照银保监会《商业银行资本管理办法(试行)》及其相关规定计量资本充足率。自</w:t>
            </w:r>
            <w:r>
              <w:rPr>
                <w:rFonts w:ascii="Times New Roman" w:hAnsi="Times New Roman" w:eastAsia="Times New Roman" w:cs="Times New Roman"/>
                <w:spacing w:val="4"/>
              </w:rPr>
              <w:t>2014</w:t>
            </w:r>
            <w:r>
              <w:rPr>
                <w:spacing w:val="4"/>
              </w:rPr>
              <w:t>年银</w:t>
            </w:r>
            <w:r>
              <w:rPr/>
              <w:t xml:space="preserve"> </w:t>
            </w:r>
            <w:r>
              <w:rPr/>
              <w:t>保监会首次核准使用资本管理高级方法以来, 本行按监</w:t>
            </w:r>
            <w:r>
              <w:rPr>
                <w:spacing w:val="-1"/>
              </w:rPr>
              <w:t>管要求稳步推进高级方法的实施和深化应用, </w:t>
            </w:r>
            <w:r>
              <w:rPr>
                <w:rFonts w:ascii="Times New Roman" w:hAnsi="Times New Roman" w:eastAsia="Times New Roman" w:cs="Times New Roman"/>
                <w:spacing w:val="-1"/>
              </w:rPr>
              <w:t>2018</w:t>
            </w:r>
            <w:r>
              <w:rPr>
                <w:rFonts w:ascii="Times New Roman" w:hAnsi="Times New Roman" w:eastAsia="Times New Roman" w:cs="Times New Roman"/>
              </w:rPr>
              <w:t xml:space="preserve"> </w:t>
            </w:r>
            <w:r>
              <w:rPr>
                <w:spacing w:val="-1"/>
              </w:rPr>
              <w:t>年经银保监会核准,</w:t>
            </w:r>
            <w:r>
              <w:rPr>
                <w:spacing w:val="26"/>
              </w:rPr>
              <w:t xml:space="preserve"> </w:t>
            </w:r>
            <w:r>
              <w:rPr>
                <w:spacing w:val="-1"/>
              </w:rPr>
              <w:t>扩大高级方法实施范围并结束并行期。根据</w:t>
            </w:r>
            <w:r>
              <w:rPr>
                <w:rFonts w:ascii="Times New Roman" w:hAnsi="Times New Roman" w:eastAsia="Times New Roman" w:cs="Times New Roman"/>
                <w:spacing w:val="-1"/>
              </w:rPr>
              <w:t>2021</w:t>
            </w:r>
            <w:r>
              <w:rPr>
                <w:spacing w:val="-1"/>
              </w:rPr>
              <w:t>年人民银行、银保监会</w:t>
            </w:r>
            <w:r>
              <w:rPr>
                <w:spacing w:val="-2"/>
              </w:rPr>
              <w:t>《系统重要性</w:t>
            </w:r>
            <w:r>
              <w:rPr/>
              <w:t xml:space="preserve"> </w:t>
            </w:r>
            <w:r>
              <w:rPr>
                <w:spacing w:val="3"/>
              </w:rPr>
              <w:t>银行附加监管规定(试行)》要求,本集团附加资本要求为</w:t>
            </w:r>
            <w:r>
              <w:rPr>
                <w:rFonts w:ascii="Times New Roman" w:hAnsi="Times New Roman" w:eastAsia="Times New Roman" w:cs="Times New Roman"/>
                <w:spacing w:val="3"/>
              </w:rPr>
              <w:t>0.75%</w:t>
            </w:r>
            <w:r>
              <w:rPr>
                <w:rFonts w:ascii="Times New Roman" w:hAnsi="Times New Roman" w:eastAsia="Times New Roman" w:cs="Times New Roman"/>
                <w:spacing w:val="-25"/>
              </w:rPr>
              <w:t xml:space="preserve"> </w:t>
            </w:r>
            <w:r>
              <w:rPr>
                <w:spacing w:val="3"/>
              </w:rPr>
              <w:t>。报告期末,</w:t>
            </w:r>
            <w:r>
              <w:rPr>
                <w:spacing w:val="30"/>
              </w:rPr>
              <w:t xml:space="preserve"> </w:t>
            </w:r>
            <w:r>
              <w:rPr>
                <w:spacing w:val="3"/>
              </w:rPr>
              <w:t>本集团资本充足率</w:t>
            </w:r>
            <w:r>
              <w:rPr>
                <w:rFonts w:ascii="Times New Roman" w:hAnsi="Times New Roman" w:eastAsia="Times New Roman" w:cs="Times New Roman"/>
                <w:spacing w:val="3"/>
              </w:rPr>
              <w:t>1</w:t>
            </w:r>
            <w:r>
              <w:rPr>
                <w:rFonts w:ascii="Times New Roman" w:hAnsi="Times New Roman" w:eastAsia="Times New Roman" w:cs="Times New Roman"/>
                <w:spacing w:val="2"/>
              </w:rPr>
              <w:t>4.97%</w:t>
            </w:r>
            <w:r>
              <w:rPr>
                <w:rFonts w:ascii="Times New Roman" w:hAnsi="Times New Roman" w:eastAsia="Times New Roman" w:cs="Times New Roman"/>
                <w:spacing w:val="-30"/>
              </w:rPr>
              <w:t xml:space="preserve"> </w:t>
            </w:r>
            <w:r>
              <w:rPr>
                <w:spacing w:val="2"/>
              </w:rPr>
              <w:t>,</w:t>
            </w:r>
            <w:r>
              <w:rPr/>
              <w:t xml:space="preserve"> </w:t>
            </w:r>
            <w:r>
              <w:rPr>
                <w:spacing w:val="1"/>
              </w:rPr>
              <w:t>一级资本充足率</w:t>
            </w:r>
            <w:r>
              <w:rPr>
                <w:rFonts w:ascii="Times New Roman" w:hAnsi="Times New Roman" w:eastAsia="Times New Roman" w:cs="Times New Roman"/>
                <w:spacing w:val="1"/>
              </w:rPr>
              <w:t>12.18%</w:t>
            </w:r>
            <w:r>
              <w:rPr>
                <w:spacing w:val="1"/>
              </w:rPr>
              <w:t>,</w:t>
            </w:r>
            <w:r>
              <w:rPr>
                <w:spacing w:val="37"/>
              </w:rPr>
              <w:t xml:space="preserve"> </w:t>
            </w:r>
            <w:r>
              <w:rPr>
                <w:spacing w:val="1"/>
              </w:rPr>
              <w:t>核心一级资本充足率</w:t>
            </w:r>
            <w:r>
              <w:rPr>
                <w:rFonts w:ascii="Times New Roman" w:hAnsi="Times New Roman" w:eastAsia="Times New Roman" w:cs="Times New Roman"/>
                <w:spacing w:val="1"/>
              </w:rPr>
              <w:t>10.06%</w:t>
            </w:r>
            <w:r>
              <w:rPr>
                <w:spacing w:val="1"/>
              </w:rPr>
              <w:t>,均满足各项监管资本要求。</w:t>
            </w:r>
          </w:p>
          <w:p>
            <w:pPr>
              <w:spacing w:line="278" w:lineRule="auto"/>
              <w:rPr>
                <w:rFonts w:ascii="Arial"/>
                <w:sz w:val="21"/>
              </w:rPr>
            </w:pPr>
            <w:r/>
          </w:p>
          <w:p>
            <w:pPr>
              <w:pStyle w:val="TableText"/>
              <w:ind w:left="7164"/>
              <w:spacing w:before="58" w:line="217" w:lineRule="auto"/>
              <w:rPr>
                <w:sz w:val="18"/>
                <w:szCs w:val="18"/>
              </w:rPr>
            </w:pPr>
            <w:r>
              <w:rPr>
                <w:sz w:val="18"/>
                <w:szCs w:val="18"/>
                <w:spacing w:val="6"/>
              </w:rPr>
              <w:t>(除另有标明外,人民币百万元)</w:t>
            </w:r>
          </w:p>
        </w:tc>
      </w:tr>
      <w:tr>
        <w:trPr>
          <w:trHeight w:val="398" w:hRule="atLeast"/>
        </w:trPr>
        <w:tc>
          <w:tcPr>
            <w:tcW w:w="2311" w:type="dxa"/>
            <w:vAlign w:val="top"/>
            <w:tcBorders>
              <w:bottom w:val="single" w:color="000000" w:sz="2" w:space="0"/>
              <w:top w:val="single" w:color="000000" w:sz="2" w:space="0"/>
            </w:tcBorders>
          </w:tcPr>
          <w:p>
            <w:pPr>
              <w:rPr>
                <w:rFonts w:ascii="Arial"/>
                <w:sz w:val="21"/>
              </w:rPr>
            </w:pPr>
            <w:r/>
          </w:p>
        </w:tc>
        <w:tc>
          <w:tcPr>
            <w:tcW w:w="1863" w:type="dxa"/>
            <w:vAlign w:val="top"/>
            <w:tcBorders>
              <w:bottom w:val="single" w:color="000000" w:sz="2" w:space="0"/>
              <w:top w:val="single" w:color="000000" w:sz="2" w:space="0"/>
            </w:tcBorders>
          </w:tcPr>
          <w:p>
            <w:pPr>
              <w:rPr>
                <w:rFonts w:ascii="Arial"/>
                <w:sz w:val="21"/>
              </w:rPr>
            </w:pPr>
            <w:r/>
          </w:p>
        </w:tc>
        <w:tc>
          <w:tcPr>
            <w:tcW w:w="2417" w:type="dxa"/>
            <w:vAlign w:val="top"/>
            <w:gridSpan w:val="2"/>
            <w:tcBorders>
              <w:bottom w:val="single" w:color="000000" w:sz="2" w:space="0"/>
              <w:top w:val="single" w:color="000000" w:sz="2" w:space="0"/>
            </w:tcBorders>
          </w:tcPr>
          <w:p>
            <w:pPr>
              <w:pStyle w:val="TableText"/>
              <w:ind w:left="312"/>
              <w:spacing w:before="129" w:line="220" w:lineRule="auto"/>
              <w:rPr>
                <w:sz w:val="18"/>
                <w:szCs w:val="18"/>
              </w:rPr>
            </w:pPr>
            <w:r>
              <mc:AlternateContent xmlns:mc="http://schemas.openxmlformats.org/markup-compatibility/2006">
                <mc:Choice Requires="wps">
                  <w:drawing>
                    <wp:anchor distT="0" distB="0" distL="0" distR="0" simplePos="0" relativeHeight="251763712" behindDoc="1" locked="0" layoutInCell="1" allowOverlap="1">
                      <wp:simplePos x="0" y="0"/>
                      <wp:positionH relativeFrom="column">
                        <wp:posOffset>-411098</wp:posOffset>
                      </wp:positionH>
                      <wp:positionV relativeFrom="paragraph">
                        <wp:posOffset>1808</wp:posOffset>
                      </wp:positionV>
                      <wp:extent cx="2015489" cy="250190"/>
                      <wp:effectExtent l="0" t="0" r="0" b="0"/>
                      <wp:wrapNone/>
                      <wp:docPr id="70" name="Rect 70"/>
                      <wp:cNvGraphicFramePr/>
                      <a:graphic>
                        <a:graphicData uri="http://schemas.microsoft.com/office/word/2010/wordprocessingShape">
                          <wps:wsp>
                            <wps:cNvPr id="70" name="Rect 70"/>
                            <wps:cNvSpPr/>
                            <wps:spPr>
                              <a:xfrm>
                                <a:off x="-411098" y="1808"/>
                                <a:ext cx="2015489" cy="250190"/>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48" style="position:absolute;margin-left:-32.37pt;margin-top:0.142396pt;mso-position-vertical-relative:text;mso-position-horizontal-relative:text;width:158.7pt;height:19.7pt;z-index:-251552768;" fillcolor="#DBE5F1" filled="true" stroked="false"/>
                  </w:pict>
                </mc:Fallback>
              </mc:AlternateContent>
            </w:r>
            <w:r>
              <w:rPr>
                <w:rFonts w:ascii="Times New Roman" w:hAnsi="Times New Roman" w:eastAsia="Times New Roman" w:cs="Times New Roman"/>
                <w:sz w:val="18"/>
                <w:szCs w:val="18"/>
                <w:b/>
                <w:bCs/>
                <w:spacing w:val="-1"/>
              </w:rPr>
              <w:t>2022</w:t>
            </w:r>
            <w:r>
              <w:rPr>
                <w:sz w:val="18"/>
                <w:szCs w:val="18"/>
                <w:b/>
                <w:bCs/>
                <w:spacing w:val="-1"/>
              </w:rPr>
              <w:t>年</w:t>
            </w:r>
            <w:r>
              <w:rPr>
                <w:rFonts w:ascii="Times New Roman" w:hAnsi="Times New Roman" w:eastAsia="Times New Roman" w:cs="Times New Roman"/>
                <w:sz w:val="18"/>
                <w:szCs w:val="18"/>
                <w:b/>
                <w:bCs/>
                <w:spacing w:val="-1"/>
              </w:rPr>
              <w:t>12</w:t>
            </w:r>
            <w:r>
              <w:rPr>
                <w:sz w:val="18"/>
                <w:szCs w:val="18"/>
                <w:b/>
                <w:bCs/>
                <w:spacing w:val="-1"/>
              </w:rPr>
              <w:t>月</w:t>
            </w:r>
            <w:r>
              <w:rPr>
                <w:rFonts w:ascii="Times New Roman" w:hAnsi="Times New Roman" w:eastAsia="Times New Roman" w:cs="Times New Roman"/>
                <w:sz w:val="18"/>
                <w:szCs w:val="18"/>
                <w:b/>
                <w:bCs/>
                <w:spacing w:val="-1"/>
              </w:rPr>
              <w:t>31</w:t>
            </w:r>
            <w:r>
              <w:rPr>
                <w:sz w:val="18"/>
                <w:szCs w:val="18"/>
                <w:b/>
                <w:bCs/>
                <w:spacing w:val="-1"/>
              </w:rPr>
              <w:t>日</w:t>
            </w:r>
          </w:p>
        </w:tc>
        <w:tc>
          <w:tcPr>
            <w:tcW w:w="3279" w:type="dxa"/>
            <w:vAlign w:val="top"/>
            <w:gridSpan w:val="2"/>
            <w:tcBorders>
              <w:bottom w:val="single" w:color="000000" w:sz="2" w:space="0"/>
              <w:top w:val="single" w:color="000000" w:sz="2" w:space="0"/>
            </w:tcBorders>
          </w:tcPr>
          <w:p>
            <w:pPr>
              <w:pStyle w:val="TableText"/>
              <w:ind w:left="1067"/>
              <w:spacing w:before="129" w:line="220" w:lineRule="auto"/>
              <w:rPr>
                <w:sz w:val="18"/>
                <w:szCs w:val="18"/>
              </w:rPr>
            </w:pPr>
            <w:r>
              <w:rPr>
                <w:rFonts w:ascii="Times New Roman" w:hAnsi="Times New Roman" w:eastAsia="Times New Roman" w:cs="Times New Roman"/>
                <w:sz w:val="18"/>
                <w:szCs w:val="18"/>
                <w:spacing w:val="-1"/>
              </w:rPr>
              <w:t>2021</w:t>
            </w:r>
            <w:r>
              <w:rPr>
                <w:sz w:val="18"/>
                <w:szCs w:val="18"/>
                <w:spacing w:val="-1"/>
              </w:rPr>
              <w:t>年</w:t>
            </w:r>
            <w:r>
              <w:rPr>
                <w:rFonts w:ascii="Times New Roman" w:hAnsi="Times New Roman" w:eastAsia="Times New Roman" w:cs="Times New Roman"/>
                <w:sz w:val="18"/>
                <w:szCs w:val="18"/>
                <w:spacing w:val="-1"/>
              </w:rPr>
              <w:t>12</w:t>
            </w:r>
            <w:r>
              <w:rPr>
                <w:sz w:val="18"/>
                <w:szCs w:val="18"/>
                <w:spacing w:val="-1"/>
              </w:rPr>
              <w:t>月</w:t>
            </w:r>
            <w:r>
              <w:rPr>
                <w:rFonts w:ascii="Times New Roman" w:hAnsi="Times New Roman" w:eastAsia="Times New Roman" w:cs="Times New Roman"/>
                <w:sz w:val="18"/>
                <w:szCs w:val="18"/>
                <w:spacing w:val="-1"/>
              </w:rPr>
              <w:t>31</w:t>
            </w:r>
            <w:r>
              <w:rPr>
                <w:sz w:val="18"/>
                <w:szCs w:val="18"/>
                <w:spacing w:val="-1"/>
              </w:rPr>
              <w:t>日</w:t>
            </w:r>
          </w:p>
        </w:tc>
      </w:tr>
      <w:tr>
        <w:trPr>
          <w:trHeight w:val="400" w:hRule="atLeast"/>
        </w:trPr>
        <w:tc>
          <w:tcPr>
            <w:tcW w:w="2311" w:type="dxa"/>
            <w:vAlign w:val="top"/>
            <w:tcBorders>
              <w:bottom w:val="single" w:color="000000" w:sz="2" w:space="0"/>
              <w:top w:val="single" w:color="000000" w:sz="2" w:space="0"/>
            </w:tcBorders>
          </w:tcPr>
          <w:p>
            <w:pPr>
              <w:rPr>
                <w:rFonts w:ascii="Arial"/>
                <w:sz w:val="21"/>
              </w:rPr>
            </w:pPr>
            <w:r/>
          </w:p>
        </w:tc>
        <w:tc>
          <w:tcPr>
            <w:tcW w:w="1863" w:type="dxa"/>
            <w:vAlign w:val="top"/>
            <w:tcBorders>
              <w:bottom w:val="single" w:color="000000" w:sz="2" w:space="0"/>
              <w:top w:val="single" w:color="000000" w:sz="2" w:space="0"/>
            </w:tcBorders>
          </w:tcPr>
          <w:p>
            <w:pPr>
              <w:rPr>
                <w:rFonts w:ascii="Arial"/>
                <w:sz w:val="21"/>
              </w:rPr>
            </w:pPr>
            <w:r/>
          </w:p>
        </w:tc>
        <w:tc>
          <w:tcPr>
            <w:tcW w:w="1028" w:type="dxa"/>
            <w:vAlign w:val="top"/>
            <w:tcBorders>
              <w:bottom w:val="single" w:color="000000" w:sz="2" w:space="0"/>
              <w:top w:val="single" w:color="000000" w:sz="2" w:space="0"/>
            </w:tcBorders>
          </w:tcPr>
          <w:p>
            <w:pPr>
              <w:pStyle w:val="TableText"/>
              <w:ind w:left="440"/>
              <w:spacing w:before="128" w:line="220" w:lineRule="auto"/>
              <w:rPr>
                <w:sz w:val="18"/>
                <w:szCs w:val="18"/>
              </w:rPr>
            </w:pPr>
            <w:r>
              <mc:AlternateContent xmlns:mc="http://schemas.openxmlformats.org/markup-compatibility/2006">
                <mc:Choice Requires="wps">
                  <w:drawing>
                    <wp:anchor distT="0" distB="0" distL="0" distR="0" simplePos="0" relativeHeight="251768832" behindDoc="1" locked="0" layoutInCell="1" allowOverlap="1">
                      <wp:simplePos x="0" y="0"/>
                      <wp:positionH relativeFrom="column">
                        <wp:posOffset>-411098</wp:posOffset>
                      </wp:positionH>
                      <wp:positionV relativeFrom="paragraph">
                        <wp:posOffset>1489</wp:posOffset>
                      </wp:positionV>
                      <wp:extent cx="1099185" cy="252095"/>
                      <wp:effectExtent l="0" t="0" r="0" b="0"/>
                      <wp:wrapNone/>
                      <wp:docPr id="72" name="Rect 72"/>
                      <wp:cNvGraphicFramePr/>
                      <a:graphic>
                        <a:graphicData uri="http://schemas.microsoft.com/office/word/2010/wordprocessingShape">
                          <wps:wsp>
                            <wps:cNvPr id="72" name="Rect 72"/>
                            <wps:cNvSpPr/>
                            <wps:spPr>
                              <a:xfrm>
                                <a:off x="-411098" y="1489"/>
                                <a:ext cx="1099185" cy="25209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50" style="position:absolute;margin-left:-32.37pt;margin-top:0.117249pt;mso-position-vertical-relative:text;mso-position-horizontal-relative:text;width:86.55pt;height:19.85pt;z-index:-251547648;" fillcolor="#DBE5F1" filled="true" stroked="false"/>
                  </w:pict>
                </mc:Fallback>
              </mc:AlternateContent>
            </w:r>
            <w:r>
              <w:rPr>
                <w:sz w:val="18"/>
                <w:szCs w:val="18"/>
                <w:b/>
                <w:bCs/>
                <w:spacing w:val="-4"/>
              </w:rPr>
              <w:t>本集团</w:t>
            </w:r>
          </w:p>
        </w:tc>
        <w:tc>
          <w:tcPr>
            <w:shd w:val="clear" w:fill="DBE5F1"/>
            <w:tcW w:w="1389" w:type="dxa"/>
            <w:vAlign w:val="top"/>
            <w:tcBorders>
              <w:bottom w:val="single" w:color="000000" w:sz="2" w:space="0"/>
              <w:top w:val="single" w:color="000000" w:sz="2" w:space="0"/>
            </w:tcBorders>
          </w:tcPr>
          <w:p>
            <w:pPr>
              <w:pStyle w:val="TableText"/>
              <w:spacing w:before="128" w:line="220" w:lineRule="auto"/>
              <w:jc w:val="right"/>
              <w:rPr>
                <w:sz w:val="18"/>
                <w:szCs w:val="18"/>
              </w:rPr>
            </w:pPr>
            <w:r>
              <w:rPr>
                <w:sz w:val="18"/>
                <w:szCs w:val="18"/>
                <w:b/>
                <w:bCs/>
                <w:spacing w:val="-5"/>
              </w:rPr>
              <w:t>本行</w:t>
            </w:r>
          </w:p>
        </w:tc>
        <w:tc>
          <w:tcPr>
            <w:tcW w:w="653" w:type="dxa"/>
            <w:vAlign w:val="top"/>
            <w:tcBorders>
              <w:bottom w:val="single" w:color="000000" w:sz="2" w:space="0"/>
              <w:top w:val="single" w:color="000000" w:sz="2" w:space="0"/>
            </w:tcBorders>
          </w:tcPr>
          <w:p>
            <w:pPr>
              <w:rPr>
                <w:rFonts w:ascii="Arial"/>
                <w:sz w:val="21"/>
              </w:rPr>
            </w:pPr>
            <w:r>
              <w:pict>
                <v:rect id="_x0000_s252" style="position:absolute;margin-left:-32.61pt;margin-top:0.139847pt;mso-position-vertical-relative:top-margin-area;mso-position-horizontal-relative:right-margin-area;width:5.4pt;height:19.85pt;z-index:251778048;" fillcolor="#DBE5F1" filled="true" stroked="false"/>
              </w:pict>
            </w:r>
            <w:r/>
          </w:p>
        </w:tc>
        <w:tc>
          <w:tcPr>
            <w:tcW w:w="2626" w:type="dxa"/>
            <w:vAlign w:val="top"/>
            <w:tcBorders>
              <w:bottom w:val="single" w:color="000000" w:sz="2" w:space="0"/>
              <w:top w:val="single" w:color="000000" w:sz="2" w:space="0"/>
            </w:tcBorders>
          </w:tcPr>
          <w:p>
            <w:pPr>
              <w:pStyle w:val="TableText"/>
              <w:ind w:left="545"/>
              <w:spacing w:before="128" w:line="220" w:lineRule="auto"/>
              <w:rPr>
                <w:sz w:val="18"/>
                <w:szCs w:val="18"/>
              </w:rPr>
            </w:pPr>
            <w:r>
              <w:rPr>
                <w:sz w:val="18"/>
                <w:szCs w:val="18"/>
                <w:spacing w:val="-3"/>
              </w:rPr>
              <w:t>本集团</w:t>
            </w:r>
            <w:r>
              <w:rPr>
                <w:sz w:val="18"/>
                <w:szCs w:val="18"/>
              </w:rPr>
              <w:t xml:space="preserve">            </w:t>
            </w:r>
            <w:r>
              <w:rPr>
                <w:sz w:val="18"/>
                <w:szCs w:val="18"/>
                <w:spacing w:val="-3"/>
              </w:rPr>
              <w:t>本行</w:t>
            </w:r>
          </w:p>
        </w:tc>
      </w:tr>
      <w:tr>
        <w:trPr>
          <w:trHeight w:val="398" w:hRule="atLeast"/>
        </w:trPr>
        <w:tc>
          <w:tcPr>
            <w:tcW w:w="2311" w:type="dxa"/>
            <w:vAlign w:val="top"/>
            <w:tcBorders>
              <w:bottom w:val="single" w:color="000000" w:sz="2" w:space="0"/>
              <w:top w:val="single" w:color="000000" w:sz="2" w:space="0"/>
            </w:tcBorders>
          </w:tcPr>
          <w:p>
            <w:pPr>
              <w:pStyle w:val="TableText"/>
              <w:ind w:left="131"/>
              <w:spacing w:before="129" w:line="220" w:lineRule="auto"/>
              <w:rPr>
                <w:sz w:val="18"/>
                <w:szCs w:val="18"/>
              </w:rPr>
            </w:pPr>
            <w:r>
              <w:rPr>
                <w:sz w:val="18"/>
                <w:szCs w:val="18"/>
                <w:spacing w:val="-2"/>
              </w:rPr>
              <w:t>核心一级资本净额</w:t>
            </w:r>
          </w:p>
        </w:tc>
        <w:tc>
          <w:tcPr>
            <w:tcW w:w="1863" w:type="dxa"/>
            <w:vAlign w:val="top"/>
            <w:tcBorders>
              <w:bottom w:val="single" w:color="000000" w:sz="2" w:space="0"/>
              <w:top w:val="single" w:color="000000" w:sz="2" w:space="0"/>
            </w:tcBorders>
          </w:tcPr>
          <w:p>
            <w:pPr>
              <w:rPr>
                <w:rFonts w:ascii="Arial"/>
                <w:sz w:val="21"/>
              </w:rPr>
            </w:pPr>
            <w:r/>
          </w:p>
        </w:tc>
        <w:tc>
          <w:tcPr>
            <w:tcW w:w="1028" w:type="dxa"/>
            <w:vAlign w:val="top"/>
            <w:tcBorders>
              <w:bottom w:val="single" w:color="000000" w:sz="2" w:space="0"/>
              <w:top w:val="single" w:color="000000" w:sz="2" w:space="0"/>
            </w:tcBorders>
          </w:tcPr>
          <w:p>
            <w:pPr>
              <w:ind w:left="395"/>
              <w:spacing w:before="162"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69856" behindDoc="1" locked="0" layoutInCell="1" allowOverlap="1">
                      <wp:simplePos x="0" y="0"/>
                      <wp:positionH relativeFrom="column">
                        <wp:posOffset>-411098</wp:posOffset>
                      </wp:positionH>
                      <wp:positionV relativeFrom="paragraph">
                        <wp:posOffset>2138</wp:posOffset>
                      </wp:positionV>
                      <wp:extent cx="1099185" cy="250190"/>
                      <wp:effectExtent l="0" t="0" r="0" b="0"/>
                      <wp:wrapNone/>
                      <wp:docPr id="74" name="Rect 74"/>
                      <wp:cNvGraphicFramePr/>
                      <a:graphic>
                        <a:graphicData uri="http://schemas.microsoft.com/office/word/2010/wordprocessingShape">
                          <wps:wsp>
                            <wps:cNvPr id="74" name="Rect 74"/>
                            <wps:cNvSpPr/>
                            <wps:spPr>
                              <a:xfrm>
                                <a:off x="-411098" y="2138"/>
                                <a:ext cx="1099185" cy="250190"/>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54" style="position:absolute;margin-left:-32.37pt;margin-top:0.168411pt;mso-position-vertical-relative:text;mso-position-horizontal-relative:text;width:86.55pt;height:19.7pt;z-index:-251546624;" fillcolor="#DBE5F1" filled="true" stroked="false"/>
                  </w:pict>
                </mc:Fallback>
              </mc:AlternateContent>
            </w:r>
            <w:r>
              <w:rPr>
                <w:rFonts w:ascii="Times New Roman" w:hAnsi="Times New Roman" w:eastAsia="Times New Roman" w:cs="Times New Roman"/>
                <w:sz w:val="18"/>
                <w:szCs w:val="18"/>
                <w:b/>
                <w:bCs/>
                <w:spacing w:val="-1"/>
              </w:rPr>
              <w:t>840,164</w:t>
            </w:r>
          </w:p>
        </w:tc>
        <w:tc>
          <w:tcPr>
            <w:shd w:val="clear" w:fill="DBE5F1"/>
            <w:tcW w:w="1389" w:type="dxa"/>
            <w:vAlign w:val="top"/>
            <w:tcBorders>
              <w:bottom w:val="single" w:color="000000" w:sz="2" w:space="0"/>
              <w:top w:val="single" w:color="000000" w:sz="2" w:space="0"/>
            </w:tcBorders>
          </w:tcPr>
          <w:p>
            <w:pPr>
              <w:spacing w:before="162"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701,902</w:t>
            </w:r>
          </w:p>
        </w:tc>
        <w:tc>
          <w:tcPr>
            <w:tcW w:w="653" w:type="dxa"/>
            <w:vAlign w:val="top"/>
            <w:tcBorders>
              <w:bottom w:val="single" w:color="000000" w:sz="2" w:space="0"/>
              <w:top w:val="single" w:color="000000" w:sz="2" w:space="0"/>
            </w:tcBorders>
          </w:tcPr>
          <w:p>
            <w:pPr>
              <w:rPr>
                <w:rFonts w:ascii="Arial"/>
                <w:sz w:val="21"/>
              </w:rPr>
            </w:pPr>
            <w:r>
              <w:pict>
                <v:rect id="_x0000_s256" style="position:absolute;margin-left:-32.61pt;margin-top:0.169846pt;mso-position-vertical-relative:top-margin-area;mso-position-horizontal-relative:right-margin-area;width:5.4pt;height:19.7pt;z-index:251777024;" fillcolor="#DBE5F1" filled="true" stroked="false"/>
              </w:pict>
            </w:r>
            <w:r/>
          </w:p>
        </w:tc>
        <w:tc>
          <w:tcPr>
            <w:tcW w:w="2626" w:type="dxa"/>
            <w:vAlign w:val="top"/>
            <w:tcBorders>
              <w:bottom w:val="single" w:color="000000" w:sz="2" w:space="0"/>
              <w:top w:val="single" w:color="000000" w:sz="2" w:space="0"/>
            </w:tcBorders>
          </w:tcPr>
          <w:p>
            <w:pPr>
              <w:ind w:left="499"/>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783,877</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spacing w:val="-2"/>
              </w:rPr>
              <w:t>659,155</w:t>
            </w:r>
          </w:p>
        </w:tc>
      </w:tr>
      <w:tr>
        <w:trPr>
          <w:trHeight w:val="398" w:hRule="atLeast"/>
        </w:trPr>
        <w:tc>
          <w:tcPr>
            <w:tcW w:w="2311" w:type="dxa"/>
            <w:vAlign w:val="top"/>
            <w:tcBorders>
              <w:bottom w:val="single" w:color="000000" w:sz="2" w:space="0"/>
              <w:top w:val="single" w:color="000000" w:sz="2" w:space="0"/>
            </w:tcBorders>
          </w:tcPr>
          <w:p>
            <w:pPr>
              <w:pStyle w:val="TableText"/>
              <w:ind w:left="132"/>
              <w:spacing w:before="129" w:line="220" w:lineRule="auto"/>
              <w:rPr>
                <w:sz w:val="18"/>
                <w:szCs w:val="18"/>
              </w:rPr>
            </w:pPr>
            <w:r>
              <w:rPr>
                <w:sz w:val="18"/>
                <w:szCs w:val="18"/>
                <w:spacing w:val="-2"/>
              </w:rPr>
              <w:t>一级资本净额</w:t>
            </w:r>
          </w:p>
        </w:tc>
        <w:tc>
          <w:tcPr>
            <w:tcW w:w="1863" w:type="dxa"/>
            <w:vAlign w:val="top"/>
            <w:tcBorders>
              <w:bottom w:val="single" w:color="000000" w:sz="2" w:space="0"/>
              <w:top w:val="single" w:color="000000" w:sz="2" w:space="0"/>
            </w:tcBorders>
          </w:tcPr>
          <w:p>
            <w:pPr>
              <w:rPr>
                <w:rFonts w:ascii="Arial"/>
                <w:sz w:val="21"/>
              </w:rPr>
            </w:pPr>
            <w:r/>
          </w:p>
        </w:tc>
        <w:tc>
          <w:tcPr>
            <w:tcW w:w="1028" w:type="dxa"/>
            <w:vAlign w:val="top"/>
            <w:tcBorders>
              <w:bottom w:val="single" w:color="000000" w:sz="2" w:space="0"/>
              <w:top w:val="single" w:color="000000" w:sz="2" w:space="0"/>
            </w:tcBorders>
          </w:tcPr>
          <w:p>
            <w:pPr>
              <w:ind w:left="264"/>
              <w:spacing w:before="162"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66784" behindDoc="1" locked="0" layoutInCell="1" allowOverlap="1">
                      <wp:simplePos x="0" y="0"/>
                      <wp:positionH relativeFrom="column">
                        <wp:posOffset>-411098</wp:posOffset>
                      </wp:positionH>
                      <wp:positionV relativeFrom="paragraph">
                        <wp:posOffset>2265</wp:posOffset>
                      </wp:positionV>
                      <wp:extent cx="1099185" cy="250190"/>
                      <wp:effectExtent l="0" t="0" r="0" b="0"/>
                      <wp:wrapNone/>
                      <wp:docPr id="76" name="Rect 76"/>
                      <wp:cNvGraphicFramePr/>
                      <a:graphic>
                        <a:graphicData uri="http://schemas.microsoft.com/office/word/2010/wordprocessingShape">
                          <wps:wsp>
                            <wps:cNvPr id="76" name="Rect 76"/>
                            <wps:cNvSpPr/>
                            <wps:spPr>
                              <a:xfrm>
                                <a:off x="-411098" y="2265"/>
                                <a:ext cx="1099185" cy="250190"/>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58" style="position:absolute;margin-left:-32.37pt;margin-top:0.178421pt;mso-position-vertical-relative:text;mso-position-horizontal-relative:text;width:86.55pt;height:19.7pt;z-index:-251549696;" fillcolor="#DBE5F1" filled="true" stroked="false"/>
                  </w:pict>
                </mc:Fallback>
              </mc:AlternateContent>
            </w:r>
            <w:r>
              <w:rPr>
                <w:rFonts w:ascii="Times New Roman" w:hAnsi="Times New Roman" w:eastAsia="Times New Roman" w:cs="Times New Roman"/>
                <w:sz w:val="18"/>
                <w:szCs w:val="18"/>
                <w:b/>
                <w:bCs/>
                <w:spacing w:val="-2"/>
              </w:rPr>
              <w:t>1,016,644</w:t>
            </w:r>
          </w:p>
        </w:tc>
        <w:tc>
          <w:tcPr>
            <w:shd w:val="clear" w:fill="DBE5F1"/>
            <w:tcW w:w="1389" w:type="dxa"/>
            <w:vAlign w:val="top"/>
            <w:tcBorders>
              <w:bottom w:val="single" w:color="000000" w:sz="2" w:space="0"/>
              <w:top w:val="single" w:color="000000" w:sz="2" w:space="0"/>
            </w:tcBorders>
          </w:tcPr>
          <w:p>
            <w:pPr>
              <w:spacing w:before="162"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876,692</w:t>
            </w:r>
          </w:p>
        </w:tc>
        <w:tc>
          <w:tcPr>
            <w:tcW w:w="653" w:type="dxa"/>
            <w:vAlign w:val="top"/>
            <w:tcBorders>
              <w:bottom w:val="single" w:color="000000" w:sz="2" w:space="0"/>
              <w:top w:val="single" w:color="000000" w:sz="2" w:space="0"/>
            </w:tcBorders>
          </w:tcPr>
          <w:p>
            <w:pPr>
              <w:rPr>
                <w:rFonts w:ascii="Arial"/>
                <w:sz w:val="21"/>
              </w:rPr>
            </w:pPr>
            <w:r>
              <w:pict>
                <v:rect id="_x0000_s260" style="position:absolute;margin-left:-32.61pt;margin-top:0.179855pt;mso-position-vertical-relative:top-margin-area;mso-position-horizontal-relative:right-margin-area;width:5.4pt;height:19.7pt;z-index:251776000;" fillcolor="#DBE5F1" filled="true" stroked="false"/>
              </w:pict>
            </w:r>
            <w:r/>
          </w:p>
        </w:tc>
        <w:tc>
          <w:tcPr>
            <w:tcW w:w="2626" w:type="dxa"/>
            <w:vAlign w:val="top"/>
            <w:tcBorders>
              <w:bottom w:val="single" w:color="000000" w:sz="2" w:space="0"/>
              <w:top w:val="single" w:color="000000" w:sz="2" w:space="0"/>
            </w:tcBorders>
          </w:tcPr>
          <w:p>
            <w:pPr>
              <w:ind w:left="499"/>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960,225</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spacing w:val="-2"/>
              </w:rPr>
              <w:t>833,945</w:t>
            </w:r>
          </w:p>
        </w:tc>
      </w:tr>
      <w:tr>
        <w:trPr>
          <w:trHeight w:val="400" w:hRule="atLeast"/>
        </w:trPr>
        <w:tc>
          <w:tcPr>
            <w:tcW w:w="2311" w:type="dxa"/>
            <w:vAlign w:val="top"/>
            <w:tcBorders>
              <w:bottom w:val="single" w:color="000000" w:sz="2" w:space="0"/>
              <w:top w:val="single" w:color="000000" w:sz="2" w:space="0"/>
            </w:tcBorders>
          </w:tcPr>
          <w:p>
            <w:pPr>
              <w:pStyle w:val="TableText"/>
              <w:ind w:left="137"/>
              <w:spacing w:before="129" w:line="220" w:lineRule="auto"/>
              <w:rPr>
                <w:sz w:val="18"/>
                <w:szCs w:val="18"/>
              </w:rPr>
            </w:pPr>
            <w:r>
              <w:rPr>
                <w:sz w:val="18"/>
                <w:szCs w:val="18"/>
                <w:spacing w:val="-3"/>
              </w:rPr>
              <w:t>资本净额</w:t>
            </w:r>
          </w:p>
        </w:tc>
        <w:tc>
          <w:tcPr>
            <w:tcW w:w="1863" w:type="dxa"/>
            <w:vAlign w:val="top"/>
            <w:tcBorders>
              <w:bottom w:val="single" w:color="000000" w:sz="2" w:space="0"/>
              <w:top w:val="single" w:color="000000" w:sz="2" w:space="0"/>
            </w:tcBorders>
          </w:tcPr>
          <w:p>
            <w:pPr>
              <w:rPr>
                <w:rFonts w:ascii="Arial"/>
                <w:sz w:val="21"/>
              </w:rPr>
            </w:pPr>
            <w:r/>
          </w:p>
        </w:tc>
        <w:tc>
          <w:tcPr>
            <w:tcW w:w="1028" w:type="dxa"/>
            <w:vAlign w:val="top"/>
            <w:tcBorders>
              <w:bottom w:val="single" w:color="000000" w:sz="2" w:space="0"/>
              <w:top w:val="single" w:color="000000" w:sz="2" w:space="0"/>
            </w:tcBorders>
          </w:tcPr>
          <w:p>
            <w:pPr>
              <w:ind w:left="264"/>
              <w:spacing w:before="162"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65760" behindDoc="1" locked="0" layoutInCell="1" allowOverlap="1">
                      <wp:simplePos x="0" y="0"/>
                      <wp:positionH relativeFrom="column">
                        <wp:posOffset>-411098</wp:posOffset>
                      </wp:positionH>
                      <wp:positionV relativeFrom="paragraph">
                        <wp:posOffset>2393</wp:posOffset>
                      </wp:positionV>
                      <wp:extent cx="1099185" cy="252095"/>
                      <wp:effectExtent l="0" t="0" r="0" b="0"/>
                      <wp:wrapNone/>
                      <wp:docPr id="78" name="Rect 78"/>
                      <wp:cNvGraphicFramePr/>
                      <a:graphic>
                        <a:graphicData uri="http://schemas.microsoft.com/office/word/2010/wordprocessingShape">
                          <wps:wsp>
                            <wps:cNvPr id="78" name="Rect 78"/>
                            <wps:cNvSpPr/>
                            <wps:spPr>
                              <a:xfrm>
                                <a:off x="-411098" y="2393"/>
                                <a:ext cx="1099185" cy="25209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62" style="position:absolute;margin-left:-32.37pt;margin-top:0.188431pt;mso-position-vertical-relative:text;mso-position-horizontal-relative:text;width:86.55pt;height:19.85pt;z-index:-251550720;" fillcolor="#DBE5F1" filled="true" stroked="false"/>
                  </w:pict>
                </mc:Fallback>
              </mc:AlternateContent>
            </w:r>
            <w:r>
              <w:rPr>
                <w:rFonts w:ascii="Times New Roman" w:hAnsi="Times New Roman" w:eastAsia="Times New Roman" w:cs="Times New Roman"/>
                <w:sz w:val="18"/>
                <w:szCs w:val="18"/>
                <w:b/>
                <w:bCs/>
                <w:spacing w:val="-2"/>
              </w:rPr>
              <w:t>1,250,317</w:t>
            </w:r>
          </w:p>
        </w:tc>
        <w:tc>
          <w:tcPr>
            <w:shd w:val="clear" w:fill="DBE5F1"/>
            <w:tcW w:w="1389" w:type="dxa"/>
            <w:vAlign w:val="top"/>
            <w:tcBorders>
              <w:bottom w:val="single" w:color="000000" w:sz="2" w:space="0"/>
              <w:top w:val="single" w:color="000000" w:sz="2" w:space="0"/>
            </w:tcBorders>
          </w:tcPr>
          <w:p>
            <w:pPr>
              <w:spacing w:before="162"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1,104,732</w:t>
            </w:r>
          </w:p>
        </w:tc>
        <w:tc>
          <w:tcPr>
            <w:tcW w:w="653" w:type="dxa"/>
            <w:vAlign w:val="top"/>
            <w:tcBorders>
              <w:bottom w:val="single" w:color="000000" w:sz="2" w:space="0"/>
              <w:top w:val="single" w:color="000000" w:sz="2" w:space="0"/>
            </w:tcBorders>
          </w:tcPr>
          <w:p>
            <w:pPr>
              <w:rPr>
                <w:rFonts w:ascii="Arial"/>
                <w:sz w:val="21"/>
              </w:rPr>
            </w:pPr>
            <w:r>
              <w:pict>
                <v:rect id="_x0000_s264" style="position:absolute;margin-left:-32.61pt;margin-top:0.189865pt;mso-position-vertical-relative:top-margin-area;mso-position-horizontal-relative:right-margin-area;width:5.4pt;height:19.85pt;z-index:251774976;" fillcolor="#DBE5F1" filled="true" stroked="false"/>
              </w:pict>
            </w:r>
            <w:r/>
          </w:p>
        </w:tc>
        <w:tc>
          <w:tcPr>
            <w:tcW w:w="2626" w:type="dxa"/>
            <w:vAlign w:val="top"/>
            <w:tcBorders>
              <w:bottom w:val="single" w:color="000000" w:sz="2" w:space="0"/>
              <w:top w:val="single" w:color="000000" w:sz="2" w:space="0"/>
            </w:tcBorders>
          </w:tcPr>
          <w:p>
            <w:pPr>
              <w:ind w:left="379"/>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1,139,957</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spacing w:val="-3"/>
              </w:rPr>
              <w:t>1,006,266</w:t>
            </w:r>
          </w:p>
        </w:tc>
      </w:tr>
      <w:tr>
        <w:trPr>
          <w:trHeight w:val="398" w:hRule="atLeast"/>
        </w:trPr>
        <w:tc>
          <w:tcPr>
            <w:tcW w:w="2311" w:type="dxa"/>
            <w:vAlign w:val="top"/>
            <w:tcBorders>
              <w:bottom w:val="single" w:color="000000" w:sz="2" w:space="0"/>
              <w:top w:val="single" w:color="000000" w:sz="2" w:space="0"/>
            </w:tcBorders>
          </w:tcPr>
          <w:p>
            <w:pPr>
              <w:pStyle w:val="TableText"/>
              <w:ind w:left="131"/>
              <w:spacing w:before="104" w:line="250" w:lineRule="exact"/>
              <w:rPr>
                <w:rFonts w:ascii="Times New Roman" w:hAnsi="Times New Roman" w:eastAsia="Times New Roman" w:cs="Times New Roman"/>
                <w:sz w:val="18"/>
                <w:szCs w:val="18"/>
              </w:rPr>
            </w:pPr>
            <w:r>
              <w:rPr>
                <w:sz w:val="18"/>
                <w:szCs w:val="18"/>
                <w:spacing w:val="-1"/>
                <w:position w:val="2"/>
              </w:rPr>
              <w:t>核心一级资本充足率</w:t>
            </w:r>
            <w:r>
              <w:rPr>
                <w:rFonts w:ascii="Times New Roman" w:hAnsi="Times New Roman" w:eastAsia="Times New Roman" w:cs="Times New Roman"/>
                <w:sz w:val="18"/>
                <w:szCs w:val="18"/>
                <w:spacing w:val="-1"/>
                <w:position w:val="2"/>
              </w:rPr>
              <w:t>(%)</w:t>
            </w:r>
          </w:p>
        </w:tc>
        <w:tc>
          <w:tcPr>
            <w:tcW w:w="1863" w:type="dxa"/>
            <w:vAlign w:val="top"/>
            <w:tcBorders>
              <w:bottom w:val="single" w:color="000000" w:sz="2" w:space="0"/>
              <w:top w:val="single" w:color="000000" w:sz="2" w:space="0"/>
            </w:tcBorders>
          </w:tcPr>
          <w:p>
            <w:pPr>
              <w:rPr>
                <w:rFonts w:ascii="Arial"/>
                <w:sz w:val="21"/>
              </w:rPr>
            </w:pPr>
            <w:r/>
          </w:p>
        </w:tc>
        <w:tc>
          <w:tcPr>
            <w:tcW w:w="1028" w:type="dxa"/>
            <w:vAlign w:val="top"/>
            <w:tcBorders>
              <w:bottom w:val="single" w:color="000000" w:sz="2" w:space="0"/>
              <w:top w:val="single" w:color="000000" w:sz="2" w:space="0"/>
            </w:tcBorders>
          </w:tcPr>
          <w:p>
            <w:pPr>
              <w:ind w:left="581"/>
              <w:spacing w:before="163"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64736" behindDoc="1" locked="0" layoutInCell="1" allowOverlap="1">
                      <wp:simplePos x="0" y="0"/>
                      <wp:positionH relativeFrom="column">
                        <wp:posOffset>-411098</wp:posOffset>
                      </wp:positionH>
                      <wp:positionV relativeFrom="paragraph">
                        <wp:posOffset>2845</wp:posOffset>
                      </wp:positionV>
                      <wp:extent cx="1099185" cy="250190"/>
                      <wp:effectExtent l="0" t="0" r="0" b="0"/>
                      <wp:wrapNone/>
                      <wp:docPr id="80" name="Rect 80"/>
                      <wp:cNvGraphicFramePr/>
                      <a:graphic>
                        <a:graphicData uri="http://schemas.microsoft.com/office/word/2010/wordprocessingShape">
                          <wps:wsp>
                            <wps:cNvPr id="80" name="Rect 80"/>
                            <wps:cNvSpPr/>
                            <wps:spPr>
                              <a:xfrm>
                                <a:off x="-411098" y="2845"/>
                                <a:ext cx="1099185" cy="250190"/>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66" style="position:absolute;margin-left:-32.37pt;margin-top:0.22403pt;mso-position-vertical-relative:text;mso-position-horizontal-relative:text;width:86.55pt;height:19.7pt;z-index:-251551744;" fillcolor="#DBE5F1" filled="true" stroked="false"/>
                  </w:pict>
                </mc:Fallback>
              </mc:AlternateContent>
            </w:r>
            <w:r>
              <w:rPr>
                <w:rFonts w:ascii="Times New Roman" w:hAnsi="Times New Roman" w:eastAsia="Times New Roman" w:cs="Times New Roman"/>
                <w:sz w:val="18"/>
                <w:szCs w:val="18"/>
                <w:b/>
                <w:bCs/>
                <w:spacing w:val="-3"/>
              </w:rPr>
              <w:t>10.06</w:t>
            </w:r>
          </w:p>
        </w:tc>
        <w:tc>
          <w:tcPr>
            <w:shd w:val="clear" w:fill="DBE5F1"/>
            <w:tcW w:w="1389" w:type="dxa"/>
            <w:vAlign w:val="top"/>
            <w:tcBorders>
              <w:bottom w:val="single" w:color="000000" w:sz="2" w:space="0"/>
              <w:top w:val="single" w:color="000000" w:sz="2" w:space="0"/>
            </w:tcBorders>
          </w:tcPr>
          <w:p>
            <w:pPr>
              <w:spacing w:before="163"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9.40</w:t>
            </w:r>
          </w:p>
        </w:tc>
        <w:tc>
          <w:tcPr>
            <w:tcW w:w="653" w:type="dxa"/>
            <w:vAlign w:val="top"/>
            <w:tcBorders>
              <w:bottom w:val="single" w:color="000000" w:sz="2" w:space="0"/>
              <w:top w:val="single" w:color="000000" w:sz="2" w:space="0"/>
            </w:tcBorders>
          </w:tcPr>
          <w:p>
            <w:pPr>
              <w:rPr>
                <w:rFonts w:ascii="Arial"/>
                <w:sz w:val="21"/>
              </w:rPr>
            </w:pPr>
            <w:r>
              <w:pict>
                <v:rect id="_x0000_s268" style="position:absolute;margin-left:-32.61pt;margin-top:0.219864pt;mso-position-vertical-relative:top-margin-area;mso-position-horizontal-relative:right-margin-area;width:5.4pt;height:19.7pt;z-index:251772928;" fillcolor="#DBE5F1" filled="true" stroked="false"/>
              </w:pict>
            </w:r>
            <w:r/>
          </w:p>
        </w:tc>
        <w:tc>
          <w:tcPr>
            <w:tcW w:w="2626" w:type="dxa"/>
            <w:vAlign w:val="top"/>
            <w:tcBorders>
              <w:bottom w:val="single" w:color="000000" w:sz="2" w:space="0"/>
              <w:top w:val="single" w:color="000000" w:sz="2" w:space="0"/>
            </w:tcBorders>
          </w:tcPr>
          <w:p>
            <w:pPr>
              <w:ind w:left="694"/>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10.62</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4"/>
              </w:rPr>
              <w:t>10.01</w:t>
            </w:r>
          </w:p>
        </w:tc>
      </w:tr>
      <w:tr>
        <w:trPr>
          <w:trHeight w:val="398" w:hRule="atLeast"/>
        </w:trPr>
        <w:tc>
          <w:tcPr>
            <w:tcW w:w="2311" w:type="dxa"/>
            <w:vAlign w:val="top"/>
            <w:tcBorders>
              <w:bottom w:val="single" w:color="000000" w:sz="2" w:space="0"/>
              <w:top w:val="single" w:color="000000" w:sz="2" w:space="0"/>
            </w:tcBorders>
          </w:tcPr>
          <w:p>
            <w:pPr>
              <w:pStyle w:val="TableText"/>
              <w:ind w:left="132"/>
              <w:spacing w:before="104" w:line="250" w:lineRule="exact"/>
              <w:rPr>
                <w:rFonts w:ascii="Times New Roman" w:hAnsi="Times New Roman" w:eastAsia="Times New Roman" w:cs="Times New Roman"/>
                <w:sz w:val="18"/>
                <w:szCs w:val="18"/>
              </w:rPr>
            </w:pPr>
            <w:r>
              <w:rPr>
                <w:sz w:val="18"/>
                <w:szCs w:val="18"/>
                <w:spacing w:val="-1"/>
                <w:position w:val="2"/>
              </w:rPr>
              <w:t>一级资本充足率</w:t>
            </w:r>
            <w:r>
              <w:rPr>
                <w:rFonts w:ascii="Times New Roman" w:hAnsi="Times New Roman" w:eastAsia="Times New Roman" w:cs="Times New Roman"/>
                <w:sz w:val="18"/>
                <w:szCs w:val="18"/>
                <w:spacing w:val="-1"/>
                <w:position w:val="2"/>
              </w:rPr>
              <w:t>(%)</w:t>
            </w:r>
          </w:p>
        </w:tc>
        <w:tc>
          <w:tcPr>
            <w:tcW w:w="1863" w:type="dxa"/>
            <w:vAlign w:val="top"/>
            <w:tcBorders>
              <w:bottom w:val="single" w:color="000000" w:sz="2" w:space="0"/>
              <w:top w:val="single" w:color="000000" w:sz="2" w:space="0"/>
            </w:tcBorders>
          </w:tcPr>
          <w:p>
            <w:pPr>
              <w:rPr>
                <w:rFonts w:ascii="Arial"/>
                <w:sz w:val="21"/>
              </w:rPr>
            </w:pPr>
            <w:r/>
          </w:p>
        </w:tc>
        <w:tc>
          <w:tcPr>
            <w:tcW w:w="1028" w:type="dxa"/>
            <w:vAlign w:val="top"/>
            <w:tcBorders>
              <w:bottom w:val="single" w:color="000000" w:sz="2" w:space="0"/>
              <w:top w:val="single" w:color="000000" w:sz="2" w:space="0"/>
            </w:tcBorders>
          </w:tcPr>
          <w:p>
            <w:pPr>
              <w:ind w:left="581"/>
              <w:spacing w:before="163"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70880" behindDoc="1" locked="0" layoutInCell="1" allowOverlap="1">
                      <wp:simplePos x="0" y="0"/>
                      <wp:positionH relativeFrom="column">
                        <wp:posOffset>-411098</wp:posOffset>
                      </wp:positionH>
                      <wp:positionV relativeFrom="paragraph">
                        <wp:posOffset>2972</wp:posOffset>
                      </wp:positionV>
                      <wp:extent cx="1099185" cy="250190"/>
                      <wp:effectExtent l="0" t="0" r="0" b="0"/>
                      <wp:wrapNone/>
                      <wp:docPr id="82" name="Rect 82"/>
                      <wp:cNvGraphicFramePr/>
                      <a:graphic>
                        <a:graphicData uri="http://schemas.microsoft.com/office/word/2010/wordprocessingShape">
                          <wps:wsp>
                            <wps:cNvPr id="82" name="Rect 82"/>
                            <wps:cNvSpPr/>
                            <wps:spPr>
                              <a:xfrm>
                                <a:off x="-411098" y="2972"/>
                                <a:ext cx="1099185" cy="250190"/>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70" style="position:absolute;margin-left:-32.37pt;margin-top:0.234032pt;mso-position-vertical-relative:text;mso-position-horizontal-relative:text;width:86.55pt;height:19.7pt;z-index:-251545600;" fillcolor="#DBE5F1" filled="true" stroked="false"/>
                  </w:pict>
                </mc:Fallback>
              </mc:AlternateContent>
            </w:r>
            <w:r>
              <w:rPr>
                <w:rFonts w:ascii="Times New Roman" w:hAnsi="Times New Roman" w:eastAsia="Times New Roman" w:cs="Times New Roman"/>
                <w:sz w:val="18"/>
                <w:szCs w:val="18"/>
                <w:b/>
                <w:bCs/>
                <w:spacing w:val="-3"/>
              </w:rPr>
              <w:t>12.18</w:t>
            </w:r>
          </w:p>
        </w:tc>
        <w:tc>
          <w:tcPr>
            <w:shd w:val="clear" w:fill="DBE5F1"/>
            <w:tcW w:w="1389" w:type="dxa"/>
            <w:vAlign w:val="top"/>
            <w:tcBorders>
              <w:bottom w:val="single" w:color="000000" w:sz="2" w:space="0"/>
              <w:top w:val="single" w:color="000000" w:sz="2" w:space="0"/>
            </w:tcBorders>
          </w:tcPr>
          <w:p>
            <w:pPr>
              <w:spacing w:before="163"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5"/>
              </w:rPr>
              <w:t>11.74</w:t>
            </w:r>
          </w:p>
        </w:tc>
        <w:tc>
          <w:tcPr>
            <w:tcW w:w="653" w:type="dxa"/>
            <w:vAlign w:val="top"/>
            <w:tcBorders>
              <w:bottom w:val="single" w:color="000000" w:sz="2" w:space="0"/>
              <w:top w:val="single" w:color="000000" w:sz="2" w:space="0"/>
            </w:tcBorders>
          </w:tcPr>
          <w:p>
            <w:pPr>
              <w:rPr>
                <w:rFonts w:ascii="Arial"/>
                <w:sz w:val="21"/>
              </w:rPr>
            </w:pPr>
            <w:r>
              <w:pict>
                <v:rect id="_x0000_s272" style="position:absolute;margin-left:-32.61pt;margin-top:0.229874pt;mso-position-vertical-relative:top-margin-area;mso-position-horizontal-relative:right-margin-area;width:5.4pt;height:19.7pt;z-index:251773952;" fillcolor="#DBE5F1" filled="true" stroked="false"/>
              </w:pict>
            </w:r>
            <w:r/>
          </w:p>
        </w:tc>
        <w:tc>
          <w:tcPr>
            <w:tcW w:w="2626" w:type="dxa"/>
            <w:vAlign w:val="top"/>
            <w:tcBorders>
              <w:bottom w:val="single" w:color="000000" w:sz="2" w:space="0"/>
              <w:top w:val="single" w:color="000000" w:sz="2" w:space="0"/>
            </w:tcBorders>
          </w:tcPr>
          <w:p>
            <w:pPr>
              <w:ind w:left="694"/>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13.01</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4"/>
              </w:rPr>
              <w:t>12.67</w:t>
            </w:r>
          </w:p>
        </w:tc>
      </w:tr>
      <w:tr>
        <w:trPr>
          <w:trHeight w:val="405" w:hRule="atLeast"/>
        </w:trPr>
        <w:tc>
          <w:tcPr>
            <w:tcW w:w="2311" w:type="dxa"/>
            <w:vAlign w:val="top"/>
            <w:tcBorders>
              <w:bottom w:val="single" w:color="000000" w:sz="2" w:space="0"/>
              <w:top w:val="single" w:color="000000" w:sz="2" w:space="0"/>
            </w:tcBorders>
          </w:tcPr>
          <w:p>
            <w:pPr>
              <w:pStyle w:val="TableText"/>
              <w:ind w:left="137"/>
              <w:spacing w:before="104" w:line="251" w:lineRule="exact"/>
              <w:rPr>
                <w:rFonts w:ascii="Times New Roman" w:hAnsi="Times New Roman" w:eastAsia="Times New Roman" w:cs="Times New Roman"/>
                <w:sz w:val="18"/>
                <w:szCs w:val="18"/>
              </w:rPr>
            </w:pPr>
            <w:r>
              <w:rPr>
                <w:sz w:val="18"/>
                <w:szCs w:val="18"/>
                <w:spacing w:val="-2"/>
                <w:position w:val="2"/>
              </w:rPr>
              <w:t>资本充足率</w:t>
            </w:r>
            <w:r>
              <w:rPr>
                <w:rFonts w:ascii="Times New Roman" w:hAnsi="Times New Roman" w:eastAsia="Times New Roman" w:cs="Times New Roman"/>
                <w:sz w:val="18"/>
                <w:szCs w:val="18"/>
                <w:spacing w:val="-2"/>
                <w:position w:val="2"/>
              </w:rPr>
              <w:t>(%)</w:t>
            </w:r>
          </w:p>
        </w:tc>
        <w:tc>
          <w:tcPr>
            <w:tcW w:w="1863" w:type="dxa"/>
            <w:vAlign w:val="top"/>
            <w:tcBorders>
              <w:bottom w:val="single" w:color="000000" w:sz="2" w:space="0"/>
              <w:top w:val="single" w:color="000000" w:sz="2" w:space="0"/>
            </w:tcBorders>
          </w:tcPr>
          <w:p>
            <w:pPr>
              <w:rPr>
                <w:rFonts w:ascii="Arial"/>
                <w:sz w:val="21"/>
              </w:rPr>
            </w:pPr>
            <w:r/>
          </w:p>
        </w:tc>
        <w:tc>
          <w:tcPr>
            <w:tcW w:w="1028" w:type="dxa"/>
            <w:vAlign w:val="top"/>
            <w:tcBorders>
              <w:bottom w:val="single" w:color="000000" w:sz="2" w:space="0"/>
              <w:top w:val="single" w:color="000000" w:sz="2" w:space="0"/>
            </w:tcBorders>
          </w:tcPr>
          <w:p>
            <w:pPr>
              <w:ind w:left="581"/>
              <w:spacing w:before="164"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67808" behindDoc="1" locked="0" layoutInCell="1" allowOverlap="1">
                      <wp:simplePos x="0" y="0"/>
                      <wp:positionH relativeFrom="column">
                        <wp:posOffset>-411098</wp:posOffset>
                      </wp:positionH>
                      <wp:positionV relativeFrom="paragraph">
                        <wp:posOffset>3048</wp:posOffset>
                      </wp:positionV>
                      <wp:extent cx="1099185" cy="252095"/>
                      <wp:effectExtent l="0" t="0" r="0" b="0"/>
                      <wp:wrapNone/>
                      <wp:docPr id="84" name="Rect 84"/>
                      <wp:cNvGraphicFramePr/>
                      <a:graphic>
                        <a:graphicData uri="http://schemas.microsoft.com/office/word/2010/wordprocessingShape">
                          <wps:wsp>
                            <wps:cNvPr id="84" name="Rect 84"/>
                            <wps:cNvSpPr/>
                            <wps:spPr>
                              <a:xfrm>
                                <a:off x="-411098" y="3048"/>
                                <a:ext cx="1099185" cy="25209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74" style="position:absolute;margin-left:-32.37pt;margin-top:0.240028pt;mso-position-vertical-relative:text;mso-position-horizontal-relative:text;width:86.55pt;height:19.85pt;z-index:-251548672;" fillcolor="#DBE5F1" filled="true" stroked="false"/>
                  </w:pict>
                </mc:Fallback>
              </mc:AlternateContent>
            </w:r>
            <w:r>
              <w:rPr>
                <w:rFonts w:ascii="Times New Roman" w:hAnsi="Times New Roman" w:eastAsia="Times New Roman" w:cs="Times New Roman"/>
                <w:sz w:val="18"/>
                <w:szCs w:val="18"/>
                <w:b/>
                <w:bCs/>
                <w:spacing w:val="-3"/>
              </w:rPr>
              <w:t>14.97</w:t>
            </w:r>
          </w:p>
        </w:tc>
        <w:tc>
          <w:tcPr>
            <w:shd w:val="clear" w:fill="DBE5F1"/>
            <w:tcW w:w="1389" w:type="dxa"/>
            <w:vAlign w:val="top"/>
            <w:tcBorders>
              <w:bottom w:val="single" w:color="000000" w:sz="2" w:space="0"/>
              <w:top w:val="single" w:color="000000" w:sz="2" w:space="0"/>
            </w:tcBorders>
          </w:tcPr>
          <w:p>
            <w:pPr>
              <w:spacing w:before="164"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14.80</w:t>
            </w:r>
          </w:p>
        </w:tc>
        <w:tc>
          <w:tcPr>
            <w:tcW w:w="653" w:type="dxa"/>
            <w:vAlign w:val="top"/>
            <w:tcBorders>
              <w:bottom w:val="single" w:color="000000" w:sz="2" w:space="0"/>
              <w:top w:val="single" w:color="000000" w:sz="2" w:space="0"/>
            </w:tcBorders>
          </w:tcPr>
          <w:p>
            <w:pPr>
              <w:rPr>
                <w:rFonts w:ascii="Arial"/>
                <w:sz w:val="21"/>
              </w:rPr>
            </w:pPr>
            <w:r>
              <w:pict>
                <v:rect id="_x0000_s276" style="position:absolute;margin-left:-32.61pt;margin-top:0.23587pt;mso-position-vertical-relative:top-margin-area;mso-position-horizontal-relative:right-margin-area;width:5.4pt;height:19.85pt;z-index:251771904;" fillcolor="#DBE5F1" filled="true" stroked="false"/>
              </w:pict>
            </w:r>
            <w:r/>
          </w:p>
        </w:tc>
        <w:tc>
          <w:tcPr>
            <w:tcW w:w="2626" w:type="dxa"/>
            <w:vAlign w:val="top"/>
            <w:tcBorders>
              <w:bottom w:val="single" w:color="000000" w:sz="2" w:space="0"/>
              <w:top w:val="single" w:color="000000" w:sz="2" w:space="0"/>
            </w:tcBorders>
          </w:tcPr>
          <w:p>
            <w:pPr>
              <w:ind w:left="694"/>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15.45</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4"/>
              </w:rPr>
              <w:t>15.29</w:t>
            </w:r>
          </w:p>
        </w:tc>
      </w:tr>
    </w:tbl>
    <w:p>
      <w:pPr>
        <w:pStyle w:val="BodyText"/>
        <w:rPr/>
      </w:pPr>
      <w:r/>
    </w:p>
    <w:p>
      <w:pPr>
        <w:sectPr>
          <w:footerReference w:type="default" r:id="rId33"/>
          <w:pgSz w:w="11907" w:h="16839"/>
          <w:pgMar w:top="1132" w:right="1025" w:bottom="1375" w:left="1010" w:header="0" w:footer="1211" w:gutter="0"/>
        </w:sectPr>
        <w:rPr/>
      </w:pPr>
    </w:p>
    <w:p>
      <w:pPr>
        <w:ind w:left="69"/>
        <w:spacing w:before="35" w:line="225" w:lineRule="auto"/>
        <w:rPr>
          <w:rFonts w:ascii="SimSun" w:hAnsi="SimSun" w:eastAsia="SimSun" w:cs="SimSun"/>
          <w:sz w:val="18"/>
          <w:szCs w:val="18"/>
        </w:rPr>
      </w:pPr>
      <w:r>
        <w:pict>
          <v:shape id="_x0000_s278" style="position:absolute;margin-left:88.704pt;margin-top:753.12pt;mso-position-vertical-relative:page;mso-position-horizontal-relative:page;width:144.05pt;height:0.75pt;z-index:251779072;" o:allowincell="f" fillcolor="#000000" filled="true" stroked="false" coordsize="2881,15" coordorigin="0,0" path="m0,14l2880,14l2880,0l0,0l0,14xe"/>
        </w:pict>
      </w:r>
      <w:r>
        <w:rPr>
          <w:rFonts w:ascii="SimSun" w:hAnsi="SimSun" w:eastAsia="SimSun" w:cs="SimSun"/>
          <w:sz w:val="18"/>
          <w:szCs w:val="18"/>
          <w:spacing w:val="-9"/>
        </w:rPr>
        <w:t>注:</w:t>
      </w:r>
    </w:p>
    <w:p>
      <w:pPr>
        <w:ind w:left="83"/>
        <w:spacing w:before="141" w:line="220" w:lineRule="auto"/>
        <w:rPr>
          <w:rFonts w:ascii="SimSun" w:hAnsi="SimSun" w:eastAsia="SimSun" w:cs="SimSun"/>
          <w:sz w:val="18"/>
          <w:szCs w:val="18"/>
        </w:rPr>
      </w:pPr>
      <w:r>
        <w:rPr>
          <w:rFonts w:ascii="Times New Roman" w:hAnsi="Times New Roman" w:eastAsia="Times New Roman" w:cs="Times New Roman"/>
          <w:sz w:val="18"/>
          <w:szCs w:val="18"/>
          <w:spacing w:val="-2"/>
        </w:rPr>
        <w:t>1.</w:t>
      </w:r>
      <w:r>
        <w:rPr>
          <w:rFonts w:ascii="Times New Roman" w:hAnsi="Times New Roman" w:eastAsia="Times New Roman" w:cs="Times New Roman"/>
          <w:sz w:val="18"/>
          <w:szCs w:val="18"/>
          <w:spacing w:val="13"/>
          <w:w w:val="101"/>
        </w:rPr>
        <w:t xml:space="preserve">  </w:t>
      </w:r>
      <w:r>
        <w:rPr>
          <w:rFonts w:ascii="SimSun" w:hAnsi="SimSun" w:eastAsia="SimSun" w:cs="SimSun"/>
          <w:sz w:val="18"/>
          <w:szCs w:val="18"/>
          <w:spacing w:val="-2"/>
        </w:rPr>
        <w:t>中国交银保险有限公司和交银人寿保险有限</w:t>
      </w:r>
      <w:r>
        <w:rPr>
          <w:rFonts w:ascii="SimSun" w:hAnsi="SimSun" w:eastAsia="SimSun" w:cs="SimSun"/>
          <w:sz w:val="18"/>
          <w:szCs w:val="18"/>
          <w:spacing w:val="-3"/>
        </w:rPr>
        <w:t>公司不纳入并表范围。</w:t>
      </w:r>
    </w:p>
    <w:p>
      <w:pPr>
        <w:ind w:left="72" w:right="74" w:hanging="6"/>
        <w:spacing w:before="146" w:line="237" w:lineRule="auto"/>
        <w:jc w:val="both"/>
        <w:rPr>
          <w:rFonts w:ascii="SimSun" w:hAnsi="SimSun" w:eastAsia="SimSun" w:cs="SimSun"/>
          <w:sz w:val="18"/>
          <w:szCs w:val="18"/>
        </w:rPr>
      </w:pPr>
      <w:r>
        <w:rPr>
          <w:rFonts w:ascii="Times New Roman" w:hAnsi="Times New Roman" w:eastAsia="Times New Roman" w:cs="Times New Roman"/>
          <w:sz w:val="18"/>
          <w:szCs w:val="18"/>
        </w:rPr>
        <w:t>2.  </w:t>
      </w:r>
      <w:r>
        <w:rPr>
          <w:rFonts w:ascii="SimSun" w:hAnsi="SimSun" w:eastAsia="SimSun" w:cs="SimSun"/>
          <w:sz w:val="18"/>
          <w:szCs w:val="18"/>
        </w:rPr>
        <w:t>按照银保监会批准的资本管理高级方法实施范围,</w:t>
      </w:r>
      <w:r>
        <w:rPr>
          <w:rFonts w:ascii="SimSun" w:hAnsi="SimSun" w:eastAsia="SimSun" w:cs="SimSun"/>
          <w:sz w:val="18"/>
          <w:szCs w:val="18"/>
          <w:spacing w:val="48"/>
        </w:rPr>
        <w:t xml:space="preserve"> </w:t>
      </w:r>
      <w:r>
        <w:rPr>
          <w:rFonts w:ascii="SimSun" w:hAnsi="SimSun" w:eastAsia="SimSun" w:cs="SimSun"/>
          <w:sz w:val="18"/>
          <w:szCs w:val="18"/>
        </w:rPr>
        <w:t>符合监管核准要求的信用风险采用内部评级法、市场风险采用内部模 </w:t>
      </w:r>
      <w:r>
        <w:rPr>
          <w:rFonts w:ascii="SimSun" w:hAnsi="SimSun" w:eastAsia="SimSun" w:cs="SimSun"/>
          <w:sz w:val="18"/>
          <w:szCs w:val="18"/>
          <w:spacing w:val="-2"/>
        </w:rPr>
        <w:t>型法、操作风险采用标准法,</w:t>
      </w:r>
      <w:r>
        <w:rPr>
          <w:rFonts w:ascii="SimSun" w:hAnsi="SimSun" w:eastAsia="SimSun" w:cs="SimSun"/>
          <w:sz w:val="18"/>
          <w:szCs w:val="18"/>
          <w:spacing w:val="29"/>
        </w:rPr>
        <w:t xml:space="preserve"> </w:t>
      </w:r>
      <w:r>
        <w:rPr>
          <w:rFonts w:ascii="SimSun" w:hAnsi="SimSun" w:eastAsia="SimSun" w:cs="SimSun"/>
          <w:sz w:val="18"/>
          <w:szCs w:val="18"/>
          <w:spacing w:val="-2"/>
        </w:rPr>
        <w:t>内部评级法未</w:t>
      </w:r>
      <w:r>
        <w:rPr>
          <w:rFonts w:ascii="SimSun" w:hAnsi="SimSun" w:eastAsia="SimSun" w:cs="SimSun"/>
          <w:sz w:val="18"/>
          <w:szCs w:val="18"/>
          <w:spacing w:val="-3"/>
        </w:rPr>
        <w:t>覆盖的信用风险采用权重法,</w:t>
      </w:r>
      <w:r>
        <w:rPr>
          <w:rFonts w:ascii="SimSun" w:hAnsi="SimSun" w:eastAsia="SimSun" w:cs="SimSun"/>
          <w:sz w:val="18"/>
          <w:szCs w:val="18"/>
          <w:spacing w:val="26"/>
        </w:rPr>
        <w:t xml:space="preserve"> </w:t>
      </w:r>
      <w:r>
        <w:rPr>
          <w:rFonts w:ascii="SimSun" w:hAnsi="SimSun" w:eastAsia="SimSun" w:cs="SimSun"/>
          <w:sz w:val="18"/>
          <w:szCs w:val="18"/>
          <w:spacing w:val="-3"/>
        </w:rPr>
        <w:t>内部模型法未覆盖的市场风险采用标准法, 标准法</w:t>
      </w:r>
      <w:r>
        <w:rPr>
          <w:rFonts w:ascii="SimSun" w:hAnsi="SimSun" w:eastAsia="SimSun" w:cs="SimSun"/>
          <w:sz w:val="18"/>
          <w:szCs w:val="18"/>
        </w:rPr>
        <w:t xml:space="preserve"> </w:t>
      </w:r>
      <w:r>
        <w:rPr>
          <w:rFonts w:ascii="SimSun" w:hAnsi="SimSun" w:eastAsia="SimSun" w:cs="SimSun"/>
          <w:sz w:val="18"/>
          <w:szCs w:val="18"/>
          <w:spacing w:val="-3"/>
        </w:rPr>
        <w:t>未覆盖的操作风险采用基本指标法。</w:t>
      </w:r>
    </w:p>
    <w:p>
      <w:pPr>
        <w:ind w:left="71" w:right="72" w:firstLine="420"/>
        <w:spacing w:before="215" w:line="268" w:lineRule="auto"/>
        <w:rPr>
          <w:rFonts w:ascii="SimSun" w:hAnsi="SimSun" w:eastAsia="SimSun" w:cs="SimSun"/>
          <w:sz w:val="21"/>
          <w:szCs w:val="21"/>
        </w:rPr>
      </w:pPr>
      <w:r>
        <w:rPr>
          <w:rFonts w:ascii="SimSun" w:hAnsi="SimSun" w:eastAsia="SimSun" w:cs="SimSun"/>
          <w:sz w:val="21"/>
          <w:szCs w:val="21"/>
          <w:spacing w:val="2"/>
        </w:rPr>
        <w:t>本集团资本计量的更多信息, 请参见本行在上交所网站、香港联交所</w:t>
      </w:r>
      <w:r>
        <w:rPr>
          <w:rFonts w:ascii="SimSun" w:hAnsi="SimSun" w:eastAsia="SimSun" w:cs="SimSun"/>
          <w:sz w:val="21"/>
          <w:szCs w:val="21"/>
          <w:spacing w:val="1"/>
        </w:rPr>
        <w:t>"披露易" 网站以及本行官方网</w:t>
      </w:r>
      <w:r>
        <w:rPr>
          <w:rFonts w:ascii="SimSun" w:hAnsi="SimSun" w:eastAsia="SimSun" w:cs="SimSun"/>
          <w:sz w:val="21"/>
          <w:szCs w:val="21"/>
        </w:rPr>
        <w:t xml:space="preserve"> </w:t>
      </w:r>
      <w:r>
        <w:rPr>
          <w:rFonts w:ascii="SimSun" w:hAnsi="SimSun" w:eastAsia="SimSun" w:cs="SimSun"/>
          <w:sz w:val="21"/>
          <w:szCs w:val="21"/>
          <w:spacing w:val="-4"/>
        </w:rPr>
        <w:t>站发布的《交通银行股份有限公司</w:t>
      </w:r>
      <w:r>
        <w:rPr>
          <w:rFonts w:ascii="Times New Roman" w:hAnsi="Times New Roman" w:eastAsia="Times New Roman" w:cs="Times New Roman"/>
          <w:sz w:val="21"/>
          <w:szCs w:val="21"/>
          <w:spacing w:val="-4"/>
        </w:rPr>
        <w:t>2022</w:t>
      </w:r>
      <w:r>
        <w:rPr>
          <w:rFonts w:ascii="SimSun" w:hAnsi="SimSun" w:eastAsia="SimSun" w:cs="SimSun"/>
          <w:sz w:val="21"/>
          <w:szCs w:val="21"/>
          <w:spacing w:val="-4"/>
        </w:rPr>
        <w:t>年度资本充足率报告》。</w:t>
      </w:r>
    </w:p>
    <w:p>
      <w:pPr>
        <w:pStyle w:val="BodyText"/>
        <w:spacing w:line="242" w:lineRule="auto"/>
        <w:rPr/>
      </w:pPr>
      <w:r/>
    </w:p>
    <w:p>
      <w:pPr>
        <w:ind w:left="604"/>
        <w:spacing w:before="68" w:line="221" w:lineRule="auto"/>
        <w:rPr>
          <w:rFonts w:ascii="SimSun" w:hAnsi="SimSun" w:eastAsia="SimSun" w:cs="SimSun"/>
          <w:sz w:val="21"/>
          <w:szCs w:val="21"/>
        </w:rPr>
      </w:pPr>
      <w:r>
        <w:rPr>
          <w:rFonts w:ascii="SimSun" w:hAnsi="SimSun" w:eastAsia="SimSun" w:cs="SimSun"/>
          <w:sz w:val="21"/>
          <w:szCs w:val="21"/>
          <w:b/>
          <w:bCs/>
          <w:spacing w:val="14"/>
        </w:rPr>
        <w:t>(六)杠杆率</w:t>
      </w:r>
    </w:p>
    <w:p>
      <w:pPr>
        <w:ind w:left="71" w:right="70" w:firstLine="420"/>
        <w:spacing w:before="307" w:line="284" w:lineRule="auto"/>
        <w:jc w:val="both"/>
        <w:rPr>
          <w:rFonts w:ascii="SimSun" w:hAnsi="SimSun" w:eastAsia="SimSun" w:cs="SimSun"/>
          <w:sz w:val="21"/>
          <w:szCs w:val="21"/>
        </w:rPr>
      </w:pPr>
      <w:r>
        <w:rPr>
          <w:rFonts w:ascii="SimSun" w:hAnsi="SimSun" w:eastAsia="SimSun" w:cs="SimSun"/>
          <w:sz w:val="21"/>
          <w:szCs w:val="21"/>
          <w:spacing w:val="4"/>
        </w:rPr>
        <w:t>本集团依据银保监会《商业银行杠杆率管理办法(修订)》计量杠杆率。根据</w:t>
      </w:r>
      <w:r>
        <w:rPr>
          <w:rFonts w:ascii="Times New Roman" w:hAnsi="Times New Roman" w:eastAsia="Times New Roman" w:cs="Times New Roman"/>
          <w:sz w:val="21"/>
          <w:szCs w:val="21"/>
          <w:spacing w:val="4"/>
        </w:rPr>
        <w:t>2021</w:t>
      </w:r>
      <w:r>
        <w:rPr>
          <w:rFonts w:ascii="SimSun" w:hAnsi="SimSun" w:eastAsia="SimSun" w:cs="SimSun"/>
          <w:sz w:val="21"/>
          <w:szCs w:val="21"/>
          <w:spacing w:val="4"/>
        </w:rPr>
        <w:t>年人民银行、银保</w:t>
      </w:r>
      <w:r>
        <w:rPr>
          <w:rFonts w:ascii="SimSun" w:hAnsi="SimSun" w:eastAsia="SimSun" w:cs="SimSun"/>
          <w:sz w:val="21"/>
          <w:szCs w:val="21"/>
        </w:rPr>
        <w:t xml:space="preserve"> </w:t>
      </w:r>
      <w:r>
        <w:rPr>
          <w:rFonts w:ascii="SimSun" w:hAnsi="SimSun" w:eastAsia="SimSun" w:cs="SimSun"/>
          <w:sz w:val="21"/>
          <w:szCs w:val="21"/>
          <w:spacing w:val="7"/>
        </w:rPr>
        <w:t>监会《系统重要性银行附加监管规定(试行)》要求,本集团附加杠杆率要求为</w:t>
      </w:r>
      <w:r>
        <w:rPr>
          <w:rFonts w:ascii="Times New Roman" w:hAnsi="Times New Roman" w:eastAsia="Times New Roman" w:cs="Times New Roman"/>
          <w:sz w:val="21"/>
          <w:szCs w:val="21"/>
          <w:spacing w:val="7"/>
        </w:rPr>
        <w:t>0.375%</w:t>
      </w:r>
      <w:r>
        <w:rPr>
          <w:rFonts w:ascii="Times New Roman" w:hAnsi="Times New Roman" w:eastAsia="Times New Roman" w:cs="Times New Roman"/>
          <w:sz w:val="21"/>
          <w:szCs w:val="21"/>
          <w:spacing w:val="-21"/>
        </w:rPr>
        <w:t xml:space="preserve"> </w:t>
      </w:r>
      <w:r>
        <w:rPr>
          <w:rFonts w:ascii="SimSun" w:hAnsi="SimSun" w:eastAsia="SimSun" w:cs="SimSun"/>
          <w:sz w:val="21"/>
          <w:szCs w:val="21"/>
          <w:spacing w:val="7"/>
        </w:rPr>
        <w:t>。报告期末,本集</w:t>
      </w:r>
      <w:r>
        <w:rPr>
          <w:rFonts w:ascii="SimSun" w:hAnsi="SimSun" w:eastAsia="SimSun" w:cs="SimSun"/>
          <w:sz w:val="21"/>
          <w:szCs w:val="21"/>
        </w:rPr>
        <w:t xml:space="preserve"> </w:t>
      </w:r>
      <w:r>
        <w:rPr>
          <w:rFonts w:ascii="SimSun" w:hAnsi="SimSun" w:eastAsia="SimSun" w:cs="SimSun"/>
          <w:sz w:val="21"/>
          <w:szCs w:val="21"/>
          <w:spacing w:val="-5"/>
        </w:rPr>
        <w:t>团杠杆率</w:t>
      </w:r>
      <w:r>
        <w:rPr>
          <w:rFonts w:ascii="Times New Roman" w:hAnsi="Times New Roman" w:eastAsia="Times New Roman" w:cs="Times New Roman"/>
          <w:sz w:val="21"/>
          <w:szCs w:val="21"/>
          <w:spacing w:val="-5"/>
        </w:rPr>
        <w:t>7.08%</w:t>
      </w:r>
      <w:r>
        <w:rPr>
          <w:rFonts w:ascii="Times New Roman" w:hAnsi="Times New Roman" w:eastAsia="Times New Roman" w:cs="Times New Roman"/>
          <w:sz w:val="21"/>
          <w:szCs w:val="21"/>
          <w:spacing w:val="-22"/>
        </w:rPr>
        <w:t xml:space="preserve"> </w:t>
      </w:r>
      <w:r>
        <w:rPr>
          <w:rFonts w:ascii="SimSun" w:hAnsi="SimSun" w:eastAsia="SimSun" w:cs="SimSun"/>
          <w:sz w:val="21"/>
          <w:szCs w:val="21"/>
          <w:spacing w:val="-5"/>
        </w:rPr>
        <w:t>,</w:t>
      </w:r>
      <w:r>
        <w:rPr>
          <w:rFonts w:ascii="SimSun" w:hAnsi="SimSun" w:eastAsia="SimSun" w:cs="SimSun"/>
          <w:sz w:val="21"/>
          <w:szCs w:val="21"/>
          <w:spacing w:val="29"/>
        </w:rPr>
        <w:t xml:space="preserve"> </w:t>
      </w:r>
      <w:r>
        <w:rPr>
          <w:rFonts w:ascii="SimSun" w:hAnsi="SimSun" w:eastAsia="SimSun" w:cs="SimSun"/>
          <w:sz w:val="21"/>
          <w:szCs w:val="21"/>
          <w:spacing w:val="-5"/>
        </w:rPr>
        <w:t>满足监管要求。</w:t>
      </w:r>
    </w:p>
    <w:p>
      <w:pPr>
        <w:pStyle w:val="BodyText"/>
        <w:spacing w:line="277" w:lineRule="auto"/>
        <w:rPr/>
      </w:pPr>
      <w:r/>
    </w:p>
    <w:p>
      <w:pPr>
        <w:ind w:left="7104"/>
        <w:spacing w:before="59" w:line="217" w:lineRule="auto"/>
        <w:rPr>
          <w:rFonts w:ascii="SimSun" w:hAnsi="SimSun" w:eastAsia="SimSun" w:cs="SimSun"/>
          <w:sz w:val="18"/>
          <w:szCs w:val="18"/>
        </w:rPr>
      </w:pPr>
      <w:r>
        <w:rPr>
          <w:rFonts w:ascii="SimSun" w:hAnsi="SimSun" w:eastAsia="SimSun" w:cs="SimSun"/>
          <w:sz w:val="18"/>
          <w:szCs w:val="18"/>
          <w:spacing w:val="6"/>
        </w:rPr>
        <w:t>(除另有标明外,人民币百万元)</w:t>
      </w:r>
    </w:p>
    <w:p>
      <w:pPr>
        <w:spacing w:line="15" w:lineRule="exact"/>
        <w:rPr/>
      </w:pPr>
      <w:r/>
    </w:p>
    <w:tbl>
      <w:tblPr>
        <w:tblStyle w:val="TableNormal"/>
        <w:tblW w:w="9702"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71"/>
        <w:gridCol w:w="1649"/>
        <w:gridCol w:w="2132"/>
        <w:gridCol w:w="1677"/>
        <w:gridCol w:w="1273"/>
      </w:tblGrid>
      <w:tr>
        <w:trPr>
          <w:trHeight w:val="684" w:hRule="atLeast"/>
        </w:trPr>
        <w:tc>
          <w:tcPr>
            <w:tcW w:w="2971" w:type="dxa"/>
            <w:vAlign w:val="top"/>
            <w:tcBorders>
              <w:left w:val="nil"/>
              <w:right w:val="single" w:color="FFFFFF" w:sz="2" w:space="0"/>
            </w:tcBorders>
          </w:tcPr>
          <w:p>
            <w:pPr>
              <w:rPr>
                <w:rFonts w:ascii="Arial"/>
                <w:sz w:val="21"/>
              </w:rPr>
            </w:pPr>
            <w:r/>
          </w:p>
        </w:tc>
        <w:tc>
          <w:tcPr>
            <w:shd w:val="clear" w:fill="DBE5F1"/>
            <w:tcW w:w="1649" w:type="dxa"/>
            <w:vAlign w:val="top"/>
            <w:tcBorders>
              <w:left w:val="single" w:color="DBE5F1" w:sz="2" w:space="0"/>
              <w:right w:val="single" w:color="DBE5F1" w:sz="2" w:space="0"/>
            </w:tcBorders>
          </w:tcPr>
          <w:p>
            <w:pPr>
              <w:pStyle w:val="TableText"/>
              <w:ind w:left="905" w:right="27" w:firstLine="174"/>
              <w:spacing w:before="132" w:line="253" w:lineRule="auto"/>
              <w:rPr>
                <w:sz w:val="18"/>
                <w:szCs w:val="18"/>
              </w:rPr>
            </w:pPr>
            <w:r>
              <w:rPr>
                <w:rFonts w:ascii="Times New Roman" w:hAnsi="Times New Roman" w:eastAsia="Times New Roman" w:cs="Times New Roman"/>
                <w:sz w:val="18"/>
                <w:szCs w:val="18"/>
                <w:b/>
                <w:bCs/>
                <w:spacing w:val="-2"/>
              </w:rPr>
              <w:t>2022</w:t>
            </w:r>
            <w:r>
              <w:rPr>
                <w:sz w:val="18"/>
                <w:szCs w:val="18"/>
                <w:b/>
                <w:bCs/>
                <w:spacing w:val="-2"/>
              </w:rPr>
              <w:t>年</w:t>
            </w:r>
            <w:r>
              <w:rPr>
                <w:sz w:val="18"/>
                <w:szCs w:val="18"/>
                <w:spacing w:val="2"/>
              </w:rPr>
              <w:t xml:space="preserve"> </w:t>
            </w:r>
            <w:r>
              <w:rPr>
                <w:rFonts w:ascii="Times New Roman" w:hAnsi="Times New Roman" w:eastAsia="Times New Roman" w:cs="Times New Roman"/>
                <w:sz w:val="18"/>
                <w:szCs w:val="18"/>
                <w:b/>
                <w:bCs/>
                <w:spacing w:val="-3"/>
              </w:rPr>
              <w:t>12</w:t>
            </w:r>
            <w:r>
              <w:rPr>
                <w:sz w:val="18"/>
                <w:szCs w:val="18"/>
                <w:b/>
                <w:bCs/>
                <w:spacing w:val="-3"/>
              </w:rPr>
              <w:t>月</w:t>
            </w:r>
            <w:r>
              <w:rPr>
                <w:rFonts w:ascii="Times New Roman" w:hAnsi="Times New Roman" w:eastAsia="Times New Roman" w:cs="Times New Roman"/>
                <w:sz w:val="18"/>
                <w:szCs w:val="18"/>
                <w:b/>
                <w:bCs/>
                <w:spacing w:val="-3"/>
              </w:rPr>
              <w:t>31</w:t>
            </w:r>
            <w:r>
              <w:rPr>
                <w:sz w:val="18"/>
                <w:szCs w:val="18"/>
                <w:b/>
                <w:bCs/>
                <w:spacing w:val="-3"/>
              </w:rPr>
              <w:t>日</w:t>
            </w:r>
          </w:p>
        </w:tc>
        <w:tc>
          <w:tcPr>
            <w:tcW w:w="2132" w:type="dxa"/>
            <w:vAlign w:val="top"/>
            <w:tcBorders>
              <w:right w:val="nil"/>
              <w:left w:val="single" w:color="FFFFFF" w:sz="2" w:space="0"/>
            </w:tcBorders>
          </w:tcPr>
          <w:p>
            <w:pPr>
              <w:pStyle w:val="TableText"/>
              <w:ind w:left="1137"/>
              <w:spacing w:before="133" w:line="278" w:lineRule="exact"/>
              <w:rPr>
                <w:sz w:val="18"/>
                <w:szCs w:val="18"/>
              </w:rPr>
            </w:pPr>
            <w:r>
              <w:rPr>
                <w:rFonts w:ascii="Times New Roman" w:hAnsi="Times New Roman" w:eastAsia="Times New Roman" w:cs="Times New Roman"/>
                <w:sz w:val="18"/>
                <w:szCs w:val="18"/>
                <w:spacing w:val="-1"/>
                <w:position w:val="7"/>
              </w:rPr>
              <w:t>2022</w:t>
            </w:r>
            <w:r>
              <w:rPr>
                <w:sz w:val="18"/>
                <w:szCs w:val="18"/>
                <w:spacing w:val="-1"/>
                <w:position w:val="7"/>
              </w:rPr>
              <w:t>年</w:t>
            </w:r>
          </w:p>
          <w:p>
            <w:pPr>
              <w:pStyle w:val="TableText"/>
              <w:ind w:left="1050"/>
              <w:spacing w:line="220" w:lineRule="auto"/>
              <w:rPr>
                <w:sz w:val="18"/>
                <w:szCs w:val="18"/>
              </w:rPr>
            </w:pPr>
            <w:r>
              <w:rPr>
                <w:rFonts w:ascii="Times New Roman" w:hAnsi="Times New Roman" w:eastAsia="Times New Roman" w:cs="Times New Roman"/>
                <w:sz w:val="18"/>
                <w:szCs w:val="18"/>
                <w:spacing w:val="-1"/>
              </w:rPr>
              <w:t>9</w:t>
            </w:r>
            <w:r>
              <w:rPr>
                <w:sz w:val="18"/>
                <w:szCs w:val="18"/>
                <w:spacing w:val="-1"/>
              </w:rPr>
              <w:t>月</w:t>
            </w:r>
            <w:r>
              <w:rPr>
                <w:rFonts w:ascii="Times New Roman" w:hAnsi="Times New Roman" w:eastAsia="Times New Roman" w:cs="Times New Roman"/>
                <w:sz w:val="18"/>
                <w:szCs w:val="18"/>
                <w:spacing w:val="-1"/>
              </w:rPr>
              <w:t>30</w:t>
            </w:r>
            <w:r>
              <w:rPr>
                <w:sz w:val="18"/>
                <w:szCs w:val="18"/>
                <w:spacing w:val="-1"/>
              </w:rPr>
              <w:t>日</w:t>
            </w:r>
          </w:p>
        </w:tc>
        <w:tc>
          <w:tcPr>
            <w:tcW w:w="1677" w:type="dxa"/>
            <w:vAlign w:val="top"/>
            <w:tcBorders>
              <w:left w:val="nil"/>
              <w:right w:val="nil"/>
            </w:tcBorders>
          </w:tcPr>
          <w:p>
            <w:pPr>
              <w:pStyle w:val="TableText"/>
              <w:ind w:left="714"/>
              <w:spacing w:before="133" w:line="278" w:lineRule="exact"/>
              <w:rPr>
                <w:sz w:val="18"/>
                <w:szCs w:val="18"/>
              </w:rPr>
            </w:pPr>
            <w:r>
              <w:rPr>
                <w:rFonts w:ascii="Times New Roman" w:hAnsi="Times New Roman" w:eastAsia="Times New Roman" w:cs="Times New Roman"/>
                <w:sz w:val="18"/>
                <w:szCs w:val="18"/>
                <w:spacing w:val="-1"/>
                <w:position w:val="7"/>
              </w:rPr>
              <w:t>2022</w:t>
            </w:r>
            <w:r>
              <w:rPr>
                <w:sz w:val="18"/>
                <w:szCs w:val="18"/>
                <w:spacing w:val="-1"/>
                <w:position w:val="7"/>
              </w:rPr>
              <w:t>年</w:t>
            </w:r>
          </w:p>
          <w:p>
            <w:pPr>
              <w:pStyle w:val="TableText"/>
              <w:ind w:left="627"/>
              <w:spacing w:line="220" w:lineRule="auto"/>
              <w:rPr>
                <w:sz w:val="18"/>
                <w:szCs w:val="18"/>
              </w:rPr>
            </w:pPr>
            <w:r>
              <w:rPr>
                <w:rFonts w:ascii="Times New Roman" w:hAnsi="Times New Roman" w:eastAsia="Times New Roman" w:cs="Times New Roman"/>
                <w:sz w:val="18"/>
                <w:szCs w:val="18"/>
                <w:spacing w:val="-1"/>
              </w:rPr>
              <w:t>6</w:t>
            </w:r>
            <w:r>
              <w:rPr>
                <w:sz w:val="18"/>
                <w:szCs w:val="18"/>
                <w:spacing w:val="-1"/>
              </w:rPr>
              <w:t>月</w:t>
            </w:r>
            <w:r>
              <w:rPr>
                <w:rFonts w:ascii="Times New Roman" w:hAnsi="Times New Roman" w:eastAsia="Times New Roman" w:cs="Times New Roman"/>
                <w:sz w:val="18"/>
                <w:szCs w:val="18"/>
                <w:spacing w:val="-1"/>
              </w:rPr>
              <w:t>30</w:t>
            </w:r>
            <w:r>
              <w:rPr>
                <w:sz w:val="18"/>
                <w:szCs w:val="18"/>
                <w:spacing w:val="-1"/>
              </w:rPr>
              <w:t>日</w:t>
            </w:r>
          </w:p>
        </w:tc>
        <w:tc>
          <w:tcPr>
            <w:tcW w:w="1273" w:type="dxa"/>
            <w:vAlign w:val="top"/>
            <w:tcBorders>
              <w:left w:val="nil"/>
              <w:right w:val="nil"/>
            </w:tcBorders>
          </w:tcPr>
          <w:p>
            <w:pPr>
              <w:pStyle w:val="TableText"/>
              <w:ind w:left="594" w:right="52" w:firstLine="87"/>
              <w:spacing w:before="132" w:line="253" w:lineRule="auto"/>
              <w:rPr>
                <w:sz w:val="18"/>
                <w:szCs w:val="18"/>
              </w:rPr>
            </w:pPr>
            <w:r>
              <w:rPr>
                <w:rFonts w:ascii="Times New Roman" w:hAnsi="Times New Roman" w:eastAsia="Times New Roman" w:cs="Times New Roman"/>
                <w:sz w:val="18"/>
                <w:szCs w:val="18"/>
                <w:spacing w:val="-1"/>
              </w:rPr>
              <w:t>2022</w:t>
            </w:r>
            <w:r>
              <w:rPr>
                <w:sz w:val="18"/>
                <w:szCs w:val="18"/>
                <w:spacing w:val="-1"/>
              </w:rPr>
              <w:t>年</w:t>
            </w:r>
            <w:r>
              <w:rPr>
                <w:sz w:val="18"/>
                <w:szCs w:val="18"/>
                <w:spacing w:val="2"/>
              </w:rPr>
              <w:t xml:space="preserve"> </w:t>
            </w:r>
            <w:r>
              <w:rPr>
                <w:rFonts w:ascii="Times New Roman" w:hAnsi="Times New Roman" w:eastAsia="Times New Roman" w:cs="Times New Roman"/>
                <w:sz w:val="18"/>
                <w:szCs w:val="18"/>
                <w:spacing w:val="-1"/>
              </w:rPr>
              <w:t>3</w:t>
            </w:r>
            <w:r>
              <w:rPr>
                <w:sz w:val="18"/>
                <w:szCs w:val="18"/>
                <w:spacing w:val="-1"/>
              </w:rPr>
              <w:t>月</w:t>
            </w:r>
            <w:r>
              <w:rPr>
                <w:rFonts w:ascii="Times New Roman" w:hAnsi="Times New Roman" w:eastAsia="Times New Roman" w:cs="Times New Roman"/>
                <w:sz w:val="18"/>
                <w:szCs w:val="18"/>
                <w:spacing w:val="-1"/>
              </w:rPr>
              <w:t>31</w:t>
            </w:r>
            <w:r>
              <w:rPr>
                <w:sz w:val="18"/>
                <w:szCs w:val="18"/>
                <w:spacing w:val="-1"/>
              </w:rPr>
              <w:t>日</w:t>
            </w:r>
          </w:p>
        </w:tc>
      </w:tr>
      <w:tr>
        <w:trPr>
          <w:trHeight w:val="397" w:hRule="atLeast"/>
        </w:trPr>
        <w:tc>
          <w:tcPr>
            <w:tcW w:w="2971" w:type="dxa"/>
            <w:vAlign w:val="top"/>
            <w:tcBorders>
              <w:left w:val="nil"/>
              <w:right w:val="single" w:color="FFFFFF" w:sz="2" w:space="0"/>
            </w:tcBorders>
          </w:tcPr>
          <w:p>
            <w:pPr>
              <w:pStyle w:val="TableText"/>
              <w:ind w:left="81"/>
              <w:spacing w:before="127" w:line="220" w:lineRule="auto"/>
              <w:rPr>
                <w:sz w:val="18"/>
                <w:szCs w:val="18"/>
              </w:rPr>
            </w:pPr>
            <w:r>
              <w:rPr>
                <w:sz w:val="18"/>
                <w:szCs w:val="18"/>
                <w:spacing w:val="-2"/>
              </w:rPr>
              <w:t>一级资本净额</w:t>
            </w:r>
          </w:p>
        </w:tc>
        <w:tc>
          <w:tcPr>
            <w:shd w:val="clear" w:fill="DBE5F1"/>
            <w:tcW w:w="1649" w:type="dxa"/>
            <w:vAlign w:val="top"/>
            <w:tcBorders>
              <w:left w:val="single" w:color="DBE5F1" w:sz="2" w:space="0"/>
              <w:right w:val="single" w:color="DBE5F1" w:sz="2" w:space="0"/>
            </w:tcBorders>
          </w:tcPr>
          <w:p>
            <w:pPr>
              <w:ind w:left="905"/>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1,016,644</w:t>
            </w:r>
          </w:p>
        </w:tc>
        <w:tc>
          <w:tcPr>
            <w:tcW w:w="2132" w:type="dxa"/>
            <w:vAlign w:val="top"/>
            <w:tcBorders>
              <w:right w:val="nil"/>
              <w:left w:val="single" w:color="FFFFFF" w:sz="2" w:space="0"/>
            </w:tcBorders>
          </w:tcPr>
          <w:p>
            <w:pPr>
              <w:ind w:left="1095"/>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993,562</w:t>
            </w:r>
          </w:p>
        </w:tc>
        <w:tc>
          <w:tcPr>
            <w:tcW w:w="1677" w:type="dxa"/>
            <w:vAlign w:val="top"/>
            <w:tcBorders>
              <w:left w:val="nil"/>
              <w:right w:val="nil"/>
            </w:tcBorders>
          </w:tcPr>
          <w:p>
            <w:pPr>
              <w:ind w:left="672"/>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970,873</w:t>
            </w:r>
          </w:p>
        </w:tc>
        <w:tc>
          <w:tcPr>
            <w:tcW w:w="1273" w:type="dxa"/>
            <w:vAlign w:val="top"/>
            <w:tcBorders>
              <w:left w:val="nil"/>
              <w:right w:val="nil"/>
            </w:tcBorders>
          </w:tcPr>
          <w:p>
            <w:pPr>
              <w:ind w:left="640"/>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979,545</w:t>
            </w:r>
          </w:p>
        </w:tc>
      </w:tr>
      <w:tr>
        <w:trPr>
          <w:trHeight w:val="397" w:hRule="atLeast"/>
        </w:trPr>
        <w:tc>
          <w:tcPr>
            <w:tcW w:w="2971" w:type="dxa"/>
            <w:vAlign w:val="top"/>
            <w:tcBorders>
              <w:left w:val="nil"/>
              <w:right w:val="single" w:color="FFFFFF" w:sz="2" w:space="0"/>
            </w:tcBorders>
          </w:tcPr>
          <w:p>
            <w:pPr>
              <w:pStyle w:val="TableText"/>
              <w:ind w:left="80"/>
              <w:spacing w:before="129" w:line="220" w:lineRule="auto"/>
              <w:rPr>
                <w:sz w:val="18"/>
                <w:szCs w:val="18"/>
              </w:rPr>
            </w:pPr>
            <w:r>
              <w:rPr>
                <w:sz w:val="18"/>
                <w:szCs w:val="18"/>
                <w:spacing w:val="-1"/>
              </w:rPr>
              <w:t>调整后的表内外资产余额</w:t>
            </w:r>
          </w:p>
        </w:tc>
        <w:tc>
          <w:tcPr>
            <w:shd w:val="clear" w:fill="DBE5F1"/>
            <w:tcW w:w="1649" w:type="dxa"/>
            <w:vAlign w:val="top"/>
            <w:tcBorders>
              <w:left w:val="single" w:color="DBE5F1" w:sz="2" w:space="0"/>
              <w:right w:val="single" w:color="DBE5F1" w:sz="2" w:space="0"/>
            </w:tcBorders>
          </w:tcPr>
          <w:p>
            <w:pPr>
              <w:ind w:left="816"/>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14,349,614</w:t>
            </w:r>
          </w:p>
        </w:tc>
        <w:tc>
          <w:tcPr>
            <w:tcW w:w="2132" w:type="dxa"/>
            <w:vAlign w:val="top"/>
            <w:tcBorders>
              <w:right w:val="nil"/>
              <w:left w:val="single" w:color="FFFFFF" w:sz="2" w:space="0"/>
            </w:tcBorders>
          </w:tcPr>
          <w:p>
            <w:pPr>
              <w:ind w:left="883"/>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14,005,204</w:t>
            </w:r>
          </w:p>
        </w:tc>
        <w:tc>
          <w:tcPr>
            <w:tcW w:w="1677" w:type="dxa"/>
            <w:vAlign w:val="top"/>
            <w:tcBorders>
              <w:left w:val="nil"/>
              <w:right w:val="nil"/>
            </w:tcBorders>
          </w:tcPr>
          <w:p>
            <w:pPr>
              <w:ind w:left="460"/>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13,770,696</w:t>
            </w:r>
          </w:p>
        </w:tc>
        <w:tc>
          <w:tcPr>
            <w:tcW w:w="1273" w:type="dxa"/>
            <w:vAlign w:val="top"/>
            <w:tcBorders>
              <w:left w:val="nil"/>
              <w:right w:val="nil"/>
            </w:tcBorders>
          </w:tcPr>
          <w:p>
            <w:pPr>
              <w:ind w:left="430"/>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13,416,205</w:t>
            </w:r>
          </w:p>
        </w:tc>
      </w:tr>
      <w:tr>
        <w:trPr>
          <w:trHeight w:val="404" w:hRule="atLeast"/>
        </w:trPr>
        <w:tc>
          <w:tcPr>
            <w:tcW w:w="2971" w:type="dxa"/>
            <w:vAlign w:val="top"/>
            <w:tcBorders>
              <w:left w:val="nil"/>
              <w:right w:val="single" w:color="FFFFFF" w:sz="2" w:space="0"/>
            </w:tcBorders>
          </w:tcPr>
          <w:p>
            <w:pPr>
              <w:pStyle w:val="TableText"/>
              <w:ind w:left="78"/>
              <w:spacing w:before="104" w:line="250" w:lineRule="exact"/>
              <w:rPr>
                <w:rFonts w:ascii="Times New Roman" w:hAnsi="Times New Roman" w:eastAsia="Times New Roman" w:cs="Times New Roman"/>
                <w:sz w:val="18"/>
                <w:szCs w:val="18"/>
              </w:rPr>
            </w:pPr>
            <w:r>
              <w:rPr>
                <w:sz w:val="18"/>
                <w:szCs w:val="18"/>
                <w:spacing w:val="-1"/>
                <w:position w:val="2"/>
              </w:rPr>
              <w:t>杠杆率</w:t>
            </w:r>
            <w:r>
              <w:rPr>
                <w:rFonts w:ascii="Times New Roman" w:hAnsi="Times New Roman" w:eastAsia="Times New Roman" w:cs="Times New Roman"/>
                <w:sz w:val="18"/>
                <w:szCs w:val="18"/>
                <w:spacing w:val="-1"/>
                <w:position w:val="2"/>
              </w:rPr>
              <w:t>(%)</w:t>
            </w:r>
          </w:p>
        </w:tc>
        <w:tc>
          <w:tcPr>
            <w:shd w:val="clear" w:fill="DBE5F1"/>
            <w:tcW w:w="1649" w:type="dxa"/>
            <w:vAlign w:val="top"/>
            <w:tcBorders>
              <w:left w:val="single" w:color="DBE5F1" w:sz="2" w:space="0"/>
              <w:right w:val="single" w:color="DBE5F1" w:sz="2" w:space="0"/>
            </w:tcBorders>
          </w:tcPr>
          <w:p>
            <w:pPr>
              <w:ind w:left="1305"/>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7.08</w:t>
            </w:r>
          </w:p>
        </w:tc>
        <w:tc>
          <w:tcPr>
            <w:tcW w:w="2132" w:type="dxa"/>
            <w:vAlign w:val="top"/>
            <w:tcBorders>
              <w:right w:val="nil"/>
              <w:left w:val="single" w:color="FFFFFF" w:sz="2" w:space="0"/>
            </w:tcBorders>
          </w:tcPr>
          <w:p>
            <w:pPr>
              <w:ind w:left="1366"/>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7.09</w:t>
            </w:r>
          </w:p>
        </w:tc>
        <w:tc>
          <w:tcPr>
            <w:tcW w:w="1677" w:type="dxa"/>
            <w:vAlign w:val="top"/>
            <w:tcBorders>
              <w:left w:val="nil"/>
              <w:right w:val="nil"/>
            </w:tcBorders>
          </w:tcPr>
          <w:p>
            <w:pPr>
              <w:ind w:left="943"/>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7.05</w:t>
            </w:r>
          </w:p>
        </w:tc>
        <w:tc>
          <w:tcPr>
            <w:tcW w:w="1273" w:type="dxa"/>
            <w:vAlign w:val="top"/>
            <w:tcBorders>
              <w:left w:val="nil"/>
              <w:right w:val="nil"/>
            </w:tcBorders>
          </w:tcPr>
          <w:p>
            <w:pPr>
              <w:ind w:left="910"/>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7.30</w:t>
            </w:r>
          </w:p>
        </w:tc>
      </w:tr>
    </w:tbl>
    <w:p>
      <w:pPr>
        <w:spacing w:before="169" w:line="221" w:lineRule="auto"/>
        <w:jc w:val="right"/>
        <w:rPr>
          <w:rFonts w:ascii="SimSun" w:hAnsi="SimSun" w:eastAsia="SimSun" w:cs="SimSun"/>
          <w:sz w:val="21"/>
          <w:szCs w:val="21"/>
        </w:rPr>
      </w:pPr>
      <w:r>
        <w:rPr>
          <w:rFonts w:ascii="SimSun" w:hAnsi="SimSun" w:eastAsia="SimSun" w:cs="SimSun"/>
          <w:sz w:val="21"/>
          <w:szCs w:val="21"/>
          <w:spacing w:val="3"/>
        </w:rPr>
        <w:t>本集团杠杆率的更多信息请见附录"杠杆率、流动性覆盖率和净稳定资金比例信息补充资料" 章节。</w:t>
      </w:r>
    </w:p>
    <w:p>
      <w:pPr>
        <w:ind w:left="493"/>
        <w:spacing w:before="309" w:line="221" w:lineRule="auto"/>
        <w:outlineLvl w:val="0"/>
        <w:rPr>
          <w:rFonts w:ascii="SimSun" w:hAnsi="SimSun" w:eastAsia="SimSun" w:cs="SimSun"/>
          <w:sz w:val="21"/>
          <w:szCs w:val="21"/>
        </w:rPr>
      </w:pPr>
      <w:bookmarkStart w:name="bookmark13" w:id="13"/>
      <w:bookmarkEnd w:id="13"/>
      <w:r>
        <w:rPr>
          <w:rFonts w:ascii="SimSun" w:hAnsi="SimSun" w:eastAsia="SimSun" w:cs="SimSun"/>
          <w:sz w:val="21"/>
          <w:szCs w:val="21"/>
          <w:b/>
          <w:bCs/>
          <w:spacing w:val="-3"/>
        </w:rPr>
        <w:t>三、业务回顾</w:t>
      </w:r>
    </w:p>
    <w:p>
      <w:pPr>
        <w:ind w:left="604"/>
        <w:spacing w:before="307" w:line="222" w:lineRule="auto"/>
        <w:rPr>
          <w:rFonts w:ascii="SimSun" w:hAnsi="SimSun" w:eastAsia="SimSun" w:cs="SimSun"/>
          <w:sz w:val="21"/>
          <w:szCs w:val="21"/>
        </w:rPr>
      </w:pPr>
      <w:r>
        <w:rPr>
          <w:rFonts w:ascii="SimSun" w:hAnsi="SimSun" w:eastAsia="SimSun" w:cs="SimSun"/>
          <w:sz w:val="21"/>
          <w:szCs w:val="21"/>
          <w:b/>
          <w:bCs/>
          <w:spacing w:val="6"/>
        </w:rPr>
        <w:t>(一)发展战略及推进情况</w:t>
      </w:r>
    </w:p>
    <w:p>
      <w:pPr>
        <w:ind w:left="70" w:right="70" w:firstLine="418"/>
        <w:spacing w:before="309" w:line="284" w:lineRule="auto"/>
        <w:jc w:val="both"/>
        <w:rPr>
          <w:rFonts w:ascii="SimSun" w:hAnsi="SimSun" w:eastAsia="SimSun" w:cs="SimSun"/>
          <w:sz w:val="21"/>
          <w:szCs w:val="21"/>
        </w:rPr>
      </w:pPr>
      <w:r>
        <w:rPr>
          <w:rFonts w:ascii="SimSun" w:hAnsi="SimSun" w:eastAsia="SimSun" w:cs="SimSun"/>
          <w:sz w:val="21"/>
          <w:szCs w:val="21"/>
          <w:spacing w:val="1"/>
        </w:rPr>
        <w:t>报告期内, 本集团以习近平新时代中国特色社会主义思想为指导,</w:t>
      </w:r>
      <w:r>
        <w:rPr>
          <w:rFonts w:ascii="SimSun" w:hAnsi="SimSun" w:eastAsia="SimSun" w:cs="SimSun"/>
          <w:sz w:val="21"/>
          <w:szCs w:val="21"/>
          <w:spacing w:val="48"/>
        </w:rPr>
        <w:t xml:space="preserve"> </w:t>
      </w:r>
      <w:r>
        <w:rPr>
          <w:rFonts w:ascii="SimSun" w:hAnsi="SimSun" w:eastAsia="SimSun" w:cs="SimSun"/>
          <w:sz w:val="21"/>
          <w:szCs w:val="21"/>
          <w:spacing w:val="1"/>
        </w:rPr>
        <w:t>以"建设</w:t>
      </w:r>
      <w:r>
        <w:rPr>
          <w:rFonts w:ascii="SimSun" w:hAnsi="SimSun" w:eastAsia="SimSun" w:cs="SimSun"/>
          <w:sz w:val="21"/>
          <w:szCs w:val="21"/>
        </w:rPr>
        <w:t>具有特色优势的世界一流 </w:t>
      </w:r>
      <w:r>
        <w:rPr>
          <w:rFonts w:ascii="SimSun" w:hAnsi="SimSun" w:eastAsia="SimSun" w:cs="SimSun"/>
          <w:sz w:val="21"/>
          <w:szCs w:val="21"/>
          <w:spacing w:val="1"/>
        </w:rPr>
        <w:t>银行集团"</w:t>
      </w:r>
      <w:r>
        <w:rPr>
          <w:rFonts w:ascii="SimSun" w:hAnsi="SimSun" w:eastAsia="SimSun" w:cs="SimSun"/>
          <w:sz w:val="21"/>
          <w:szCs w:val="21"/>
          <w:spacing w:val="-18"/>
        </w:rPr>
        <w:t xml:space="preserve"> </w:t>
      </w:r>
      <w:r>
        <w:rPr>
          <w:rFonts w:ascii="SimSun" w:hAnsi="SimSun" w:eastAsia="SimSun" w:cs="SimSun"/>
          <w:sz w:val="21"/>
          <w:szCs w:val="21"/>
          <w:spacing w:val="1"/>
        </w:rPr>
        <w:t>战略目标为引领,</w:t>
      </w:r>
      <w:r>
        <w:rPr>
          <w:rFonts w:ascii="SimSun" w:hAnsi="SimSun" w:eastAsia="SimSun" w:cs="SimSun"/>
          <w:sz w:val="21"/>
          <w:szCs w:val="21"/>
          <w:spacing w:val="31"/>
        </w:rPr>
        <w:t xml:space="preserve"> </w:t>
      </w:r>
      <w:r>
        <w:rPr>
          <w:rFonts w:ascii="SimSun" w:hAnsi="SimSun" w:eastAsia="SimSun" w:cs="SimSun"/>
          <w:sz w:val="21"/>
          <w:szCs w:val="21"/>
          <w:spacing w:val="1"/>
        </w:rPr>
        <w:t>践行"创造共同价值" 的企业使命,</w:t>
      </w:r>
      <w:r>
        <w:rPr>
          <w:rFonts w:ascii="SimSun" w:hAnsi="SimSun" w:eastAsia="SimSun" w:cs="SimSun"/>
          <w:sz w:val="21"/>
          <w:szCs w:val="21"/>
          <w:spacing w:val="29"/>
        </w:rPr>
        <w:t xml:space="preserve"> </w:t>
      </w:r>
      <w:r>
        <w:rPr>
          <w:rFonts w:ascii="SimSun" w:hAnsi="SimSun" w:eastAsia="SimSun" w:cs="SimSun"/>
          <w:sz w:val="21"/>
          <w:szCs w:val="21"/>
          <w:spacing w:val="1"/>
        </w:rPr>
        <w:t>持续打造四大业务</w:t>
      </w:r>
      <w:r>
        <w:rPr>
          <w:rFonts w:ascii="SimSun" w:hAnsi="SimSun" w:eastAsia="SimSun" w:cs="SimSun"/>
          <w:sz w:val="21"/>
          <w:szCs w:val="21"/>
        </w:rPr>
        <w:t>特色, 把绿色作为全 </w:t>
      </w:r>
      <w:r>
        <w:rPr>
          <w:rFonts w:ascii="SimSun" w:hAnsi="SimSun" w:eastAsia="SimSun" w:cs="SimSun"/>
          <w:sz w:val="21"/>
          <w:szCs w:val="21"/>
          <w:spacing w:val="2"/>
        </w:rPr>
        <w:t>集团业务经营发展的底色,将上海主场建设和数字化转型作为战略实施</w:t>
      </w:r>
      <w:r>
        <w:rPr>
          <w:rFonts w:ascii="SimSun" w:hAnsi="SimSun" w:eastAsia="SimSun" w:cs="SimSun"/>
          <w:sz w:val="21"/>
          <w:szCs w:val="21"/>
          <w:spacing w:val="1"/>
        </w:rPr>
        <w:t>的两大突破口,</w:t>
      </w:r>
      <w:r>
        <w:rPr>
          <w:rFonts w:ascii="SimSun" w:hAnsi="SimSun" w:eastAsia="SimSun" w:cs="SimSun"/>
          <w:sz w:val="21"/>
          <w:szCs w:val="21"/>
          <w:spacing w:val="29"/>
        </w:rPr>
        <w:t xml:space="preserve"> </w:t>
      </w:r>
      <w:r>
        <w:rPr>
          <w:rFonts w:ascii="SimSun" w:hAnsi="SimSun" w:eastAsia="SimSun" w:cs="SimSun"/>
          <w:sz w:val="21"/>
          <w:szCs w:val="21"/>
          <w:spacing w:val="1"/>
        </w:rPr>
        <w:t>推进战略实施。</w:t>
      </w:r>
    </w:p>
    <w:p>
      <w:pPr>
        <w:pStyle w:val="BodyText"/>
        <w:spacing w:line="241" w:lineRule="auto"/>
        <w:rPr/>
      </w:pPr>
      <w:r/>
    </w:p>
    <w:p>
      <w:pPr>
        <w:ind w:left="499"/>
        <w:spacing w:before="68"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3"/>
        </w:rPr>
        <w:t>1.</w:t>
      </w:r>
      <w:r>
        <w:rPr>
          <w:rFonts w:ascii="SimSun" w:hAnsi="SimSun" w:eastAsia="SimSun" w:cs="SimSun"/>
          <w:sz w:val="21"/>
          <w:szCs w:val="21"/>
          <w:b/>
          <w:bCs/>
          <w:spacing w:val="-3"/>
        </w:rPr>
        <w:t>打造业务特色</w:t>
      </w:r>
    </w:p>
    <w:p>
      <w:pPr>
        <w:ind w:left="70" w:right="69" w:firstLine="422"/>
        <w:spacing w:before="308" w:line="290" w:lineRule="auto"/>
        <w:jc w:val="both"/>
        <w:rPr>
          <w:rFonts w:ascii="SimSun" w:hAnsi="SimSun" w:eastAsia="SimSun" w:cs="SimSun"/>
          <w:sz w:val="21"/>
          <w:szCs w:val="21"/>
        </w:rPr>
      </w:pPr>
      <w:r>
        <w:rPr>
          <w:rFonts w:ascii="SimSun" w:hAnsi="SimSun" w:eastAsia="SimSun" w:cs="SimSun"/>
          <w:sz w:val="21"/>
          <w:szCs w:val="21"/>
          <w:b/>
          <w:bCs/>
          <w:spacing w:val="2"/>
        </w:rPr>
        <w:t>普惠金融</w:t>
      </w:r>
      <w:r>
        <w:rPr>
          <w:rFonts w:ascii="SimSun" w:hAnsi="SimSun" w:eastAsia="SimSun" w:cs="SimSun"/>
          <w:sz w:val="21"/>
          <w:szCs w:val="21"/>
          <w:spacing w:val="2"/>
        </w:rPr>
        <w:t xml:space="preserve">  落实"增强金融普惠性"</w:t>
      </w:r>
      <w:r>
        <w:rPr>
          <w:rFonts w:ascii="SimSun" w:hAnsi="SimSun" w:eastAsia="SimSun" w:cs="SimSun"/>
          <w:sz w:val="21"/>
          <w:szCs w:val="21"/>
          <w:spacing w:val="-22"/>
        </w:rPr>
        <w:t xml:space="preserve"> </w:t>
      </w:r>
      <w:r>
        <w:rPr>
          <w:rFonts w:ascii="SimSun" w:hAnsi="SimSun" w:eastAsia="SimSun" w:cs="SimSun"/>
          <w:sz w:val="21"/>
          <w:szCs w:val="21"/>
          <w:spacing w:val="2"/>
        </w:rPr>
        <w:t>和扩大内需战略部署, 稳步提升普惠金融业务发展质效。报告期</w:t>
      </w:r>
      <w:r>
        <w:rPr>
          <w:rFonts w:ascii="SimSun" w:hAnsi="SimSun" w:eastAsia="SimSun" w:cs="SimSun"/>
          <w:sz w:val="21"/>
          <w:szCs w:val="21"/>
        </w:rPr>
        <w:t xml:space="preserve"> </w:t>
      </w:r>
      <w:r>
        <w:rPr>
          <w:rFonts w:ascii="SimSun" w:hAnsi="SimSun" w:eastAsia="SimSun" w:cs="SimSun"/>
          <w:sz w:val="21"/>
          <w:szCs w:val="21"/>
          <w:spacing w:val="4"/>
        </w:rPr>
        <w:t>末,普惠型小微贷款余额较上年末增长</w:t>
      </w:r>
      <w:r>
        <w:rPr>
          <w:rFonts w:ascii="SimSun" w:hAnsi="SimSun" w:eastAsia="SimSun" w:cs="SimSun"/>
          <w:sz w:val="21"/>
          <w:szCs w:val="21"/>
          <w:spacing w:val="-19"/>
        </w:rPr>
        <w:t xml:space="preserve"> </w:t>
      </w:r>
      <w:r>
        <w:rPr>
          <w:rFonts w:ascii="Times New Roman" w:hAnsi="Times New Roman" w:eastAsia="Times New Roman" w:cs="Times New Roman"/>
          <w:sz w:val="21"/>
          <w:szCs w:val="21"/>
          <w:spacing w:val="4"/>
        </w:rPr>
        <w:t>34.66%</w:t>
      </w:r>
      <w:r>
        <w:rPr>
          <w:rFonts w:ascii="SimSun" w:hAnsi="SimSun" w:eastAsia="SimSun" w:cs="SimSun"/>
          <w:sz w:val="21"/>
          <w:szCs w:val="21"/>
          <w:spacing w:val="4"/>
        </w:rPr>
        <w:t>,有贷款余额的客户数较</w:t>
      </w:r>
      <w:r>
        <w:rPr>
          <w:rFonts w:ascii="SimSun" w:hAnsi="SimSun" w:eastAsia="SimSun" w:cs="SimSun"/>
          <w:sz w:val="21"/>
          <w:szCs w:val="21"/>
          <w:spacing w:val="3"/>
        </w:rPr>
        <w:t>上年末增长</w:t>
      </w:r>
      <w:r>
        <w:rPr>
          <w:rFonts w:ascii="SimSun" w:hAnsi="SimSun" w:eastAsia="SimSun" w:cs="SimSun"/>
          <w:sz w:val="21"/>
          <w:szCs w:val="21"/>
          <w:spacing w:val="-19"/>
        </w:rPr>
        <w:t xml:space="preserve"> </w:t>
      </w:r>
      <w:r>
        <w:rPr>
          <w:rFonts w:ascii="Times New Roman" w:hAnsi="Times New Roman" w:eastAsia="Times New Roman" w:cs="Times New Roman"/>
          <w:sz w:val="21"/>
          <w:szCs w:val="21"/>
          <w:spacing w:val="3"/>
        </w:rPr>
        <w:t>38.09%</w:t>
      </w:r>
      <w:r>
        <w:rPr>
          <w:rFonts w:ascii="SimSun" w:hAnsi="SimSun" w:eastAsia="SimSun" w:cs="SimSun"/>
          <w:sz w:val="21"/>
          <w:szCs w:val="21"/>
          <w:spacing w:val="3"/>
        </w:rPr>
        <w:t>。推动消费金</w:t>
      </w:r>
      <w:r>
        <w:rPr>
          <w:rFonts w:ascii="SimSun" w:hAnsi="SimSun" w:eastAsia="SimSun" w:cs="SimSun"/>
          <w:sz w:val="21"/>
          <w:szCs w:val="21"/>
        </w:rPr>
        <w:t xml:space="preserve"> </w:t>
      </w:r>
      <w:r>
        <w:rPr>
          <w:rFonts w:ascii="SimSun" w:hAnsi="SimSun" w:eastAsia="SimSun" w:cs="SimSun"/>
          <w:sz w:val="21"/>
          <w:szCs w:val="21"/>
          <w:spacing w:val="-2"/>
        </w:rPr>
        <w:t>融作为零售业务的新增长极, 境内行零售贷款</w:t>
      </w:r>
      <w:r>
        <w:rPr>
          <w:rFonts w:ascii="Times New Roman" w:hAnsi="Times New Roman" w:eastAsia="Times New Roman" w:cs="Times New Roman"/>
          <w:sz w:val="13"/>
          <w:szCs w:val="13"/>
          <w:spacing w:val="-2"/>
          <w:position w:val="10"/>
        </w:rPr>
        <w:t>1</w:t>
      </w:r>
      <w:r>
        <w:rPr>
          <w:rFonts w:ascii="SimSun" w:hAnsi="SimSun" w:eastAsia="SimSun" w:cs="SimSun"/>
          <w:sz w:val="21"/>
          <w:szCs w:val="21"/>
          <w:spacing w:val="-2"/>
        </w:rPr>
        <w:t>余额较上年末增长</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2"/>
        </w:rPr>
        <w:t>3.09%</w:t>
      </w:r>
      <w:r>
        <w:rPr>
          <w:rFonts w:ascii="Times New Roman" w:hAnsi="Times New Roman" w:eastAsia="Times New Roman" w:cs="Times New Roman"/>
          <w:sz w:val="21"/>
          <w:szCs w:val="21"/>
          <w:spacing w:val="-30"/>
        </w:rPr>
        <w:t xml:space="preserve"> </w:t>
      </w:r>
      <w:r>
        <w:rPr>
          <w:rFonts w:ascii="SimSun" w:hAnsi="SimSun" w:eastAsia="SimSun" w:cs="SimSun"/>
          <w:sz w:val="21"/>
          <w:szCs w:val="21"/>
          <w:spacing w:val="-2"/>
        </w:rPr>
        <w:t>, 其中个人消费贷款余额较上年末</w:t>
      </w:r>
      <w:r>
        <w:rPr>
          <w:rFonts w:ascii="SimSun" w:hAnsi="SimSun" w:eastAsia="SimSun" w:cs="SimSun"/>
          <w:sz w:val="21"/>
          <w:szCs w:val="21"/>
        </w:rPr>
        <w:t xml:space="preserve"> </w:t>
      </w:r>
      <w:r>
        <w:rPr>
          <w:rFonts w:ascii="SimSun" w:hAnsi="SimSun" w:eastAsia="SimSun" w:cs="SimSun"/>
          <w:sz w:val="21"/>
          <w:szCs w:val="21"/>
          <w:spacing w:val="2"/>
        </w:rPr>
        <w:t>增长</w:t>
      </w:r>
      <w:r>
        <w:rPr>
          <w:rFonts w:ascii="SimSun" w:hAnsi="SimSun" w:eastAsia="SimSun" w:cs="SimSun"/>
          <w:sz w:val="21"/>
          <w:szCs w:val="21"/>
          <w:spacing w:val="-34"/>
        </w:rPr>
        <w:t xml:space="preserve"> </w:t>
      </w:r>
      <w:r>
        <w:rPr>
          <w:rFonts w:ascii="Times New Roman" w:hAnsi="Times New Roman" w:eastAsia="Times New Roman" w:cs="Times New Roman"/>
          <w:sz w:val="21"/>
          <w:szCs w:val="21"/>
          <w:spacing w:val="2"/>
        </w:rPr>
        <w:t>58.38%</w:t>
      </w:r>
      <w:r>
        <w:rPr>
          <w:rFonts w:ascii="SimSun" w:hAnsi="SimSun" w:eastAsia="SimSun" w:cs="SimSun"/>
          <w:sz w:val="21"/>
          <w:szCs w:val="21"/>
          <w:spacing w:val="2"/>
        </w:rPr>
        <w:t>。升级乡村振兴金融服务体系,涉农贷款余额较年初增长</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2"/>
        </w:rPr>
        <w:t>22.15%</w:t>
      </w:r>
      <w:r>
        <w:rPr>
          <w:rFonts w:ascii="SimSun" w:hAnsi="SimSun" w:eastAsia="SimSun" w:cs="SimSun"/>
          <w:sz w:val="21"/>
          <w:szCs w:val="21"/>
          <w:spacing w:val="2"/>
        </w:rPr>
        <w:t>。</w:t>
      </w:r>
    </w:p>
    <w:p>
      <w:pPr>
        <w:pStyle w:val="BodyText"/>
        <w:spacing w:line="242" w:lineRule="auto"/>
        <w:rPr/>
      </w:pPr>
      <w:r/>
    </w:p>
    <w:p>
      <w:pPr>
        <w:ind w:left="70" w:firstLine="431"/>
        <w:spacing w:before="69" w:line="297" w:lineRule="auto"/>
        <w:jc w:val="both"/>
        <w:rPr>
          <w:rFonts w:ascii="SimSun" w:hAnsi="SimSun" w:eastAsia="SimSun" w:cs="SimSun"/>
          <w:sz w:val="21"/>
          <w:szCs w:val="21"/>
        </w:rPr>
      </w:pPr>
      <w:r>
        <w:rPr>
          <w:rFonts w:ascii="SimSun" w:hAnsi="SimSun" w:eastAsia="SimSun" w:cs="SimSun"/>
          <w:sz w:val="21"/>
          <w:szCs w:val="21"/>
          <w:b/>
          <w:bCs/>
          <w:spacing w:val="8"/>
        </w:rPr>
        <w:t>贸易金融</w:t>
      </w:r>
      <w:r>
        <w:rPr>
          <w:rFonts w:ascii="SimSun" w:hAnsi="SimSun" w:eastAsia="SimSun" w:cs="SimSun"/>
          <w:sz w:val="21"/>
          <w:szCs w:val="21"/>
          <w:spacing w:val="8"/>
        </w:rPr>
        <w:t xml:space="preserve">  积极服务"双循环"背景下产业链供应链发</w:t>
      </w:r>
      <w:r>
        <w:rPr>
          <w:rFonts w:ascii="SimSun" w:hAnsi="SimSun" w:eastAsia="SimSun" w:cs="SimSun"/>
          <w:sz w:val="21"/>
          <w:szCs w:val="21"/>
          <w:spacing w:val="7"/>
        </w:rPr>
        <w:t>展和高水平对外开放,打通境内外、本外币、</w:t>
      </w:r>
      <w:r>
        <w:rPr>
          <w:rFonts w:ascii="SimSun" w:hAnsi="SimSun" w:eastAsia="SimSun" w:cs="SimSun"/>
          <w:sz w:val="21"/>
          <w:szCs w:val="21"/>
        </w:rPr>
        <w:t xml:space="preserve"> </w:t>
      </w:r>
      <w:r>
        <w:rPr>
          <w:rFonts w:ascii="SimSun" w:hAnsi="SimSun" w:eastAsia="SimSun" w:cs="SimSun"/>
          <w:sz w:val="21"/>
          <w:szCs w:val="21"/>
          <w:spacing w:val="-2"/>
        </w:rPr>
        <w:t>离在岸一体化金融服务。报告期内,</w:t>
      </w:r>
      <w:r>
        <w:rPr>
          <w:rFonts w:ascii="SimSun" w:hAnsi="SimSun" w:eastAsia="SimSun" w:cs="SimSun"/>
          <w:sz w:val="21"/>
          <w:szCs w:val="21"/>
          <w:spacing w:val="29"/>
        </w:rPr>
        <w:t xml:space="preserve"> </w:t>
      </w:r>
      <w:r>
        <w:rPr>
          <w:rFonts w:ascii="SimSun" w:hAnsi="SimSun" w:eastAsia="SimSun" w:cs="SimSun"/>
          <w:sz w:val="21"/>
          <w:szCs w:val="21"/>
          <w:spacing w:val="-2"/>
        </w:rPr>
        <w:t>立足场景生态推动产品组合方案创新,</w:t>
      </w:r>
      <w:r>
        <w:rPr>
          <w:rFonts w:ascii="SimSun" w:hAnsi="SimSun" w:eastAsia="SimSun" w:cs="SimSun"/>
          <w:sz w:val="21"/>
          <w:szCs w:val="21"/>
          <w:spacing w:val="27"/>
        </w:rPr>
        <w:t xml:space="preserve"> </w:t>
      </w:r>
      <w:r>
        <w:rPr>
          <w:rFonts w:ascii="SimSun" w:hAnsi="SimSun" w:eastAsia="SimSun" w:cs="SimSun"/>
          <w:sz w:val="21"/>
          <w:szCs w:val="21"/>
          <w:spacing w:val="-2"/>
        </w:rPr>
        <w:t>打造重点企业标杆链, 产业链 </w:t>
      </w:r>
      <w:r>
        <w:rPr>
          <w:rFonts w:ascii="SimSun" w:hAnsi="SimSun" w:eastAsia="SimSun" w:cs="SimSun"/>
          <w:sz w:val="21"/>
          <w:szCs w:val="21"/>
          <w:spacing w:val="-1"/>
        </w:rPr>
        <w:t>金融业务量同比增长</w:t>
      </w:r>
      <w:r>
        <w:rPr>
          <w:rFonts w:ascii="SimSun" w:hAnsi="SimSun" w:eastAsia="SimSun" w:cs="SimSun"/>
          <w:sz w:val="21"/>
          <w:szCs w:val="21"/>
          <w:spacing w:val="-35"/>
        </w:rPr>
        <w:t xml:space="preserve"> </w:t>
      </w:r>
      <w:r>
        <w:rPr>
          <w:rFonts w:ascii="Times New Roman" w:hAnsi="Times New Roman" w:eastAsia="Times New Roman" w:cs="Times New Roman"/>
          <w:sz w:val="21"/>
          <w:szCs w:val="21"/>
          <w:spacing w:val="-1"/>
        </w:rPr>
        <w:t>41.92%</w:t>
      </w:r>
      <w:r>
        <w:rPr>
          <w:rFonts w:ascii="SimSun" w:hAnsi="SimSun" w:eastAsia="SimSun" w:cs="SimSun"/>
          <w:sz w:val="21"/>
          <w:szCs w:val="21"/>
          <w:spacing w:val="-1"/>
        </w:rPr>
        <w:t>。推动贸易投资便利化水平提升,</w:t>
      </w:r>
      <w:r>
        <w:rPr>
          <w:rFonts w:ascii="SimSun" w:hAnsi="SimSun" w:eastAsia="SimSun" w:cs="SimSun"/>
          <w:sz w:val="21"/>
          <w:szCs w:val="21"/>
          <w:spacing w:val="40"/>
        </w:rPr>
        <w:t xml:space="preserve"> </w:t>
      </w:r>
      <w:r>
        <w:rPr>
          <w:rFonts w:ascii="SimSun" w:hAnsi="SimSun" w:eastAsia="SimSun" w:cs="SimSun"/>
          <w:sz w:val="21"/>
          <w:szCs w:val="21"/>
          <w:spacing w:val="-1"/>
        </w:rPr>
        <w:t>国际结算量同比增长</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1"/>
        </w:rPr>
        <w:t>11.5%</w:t>
      </w:r>
      <w:r>
        <w:rPr>
          <w:rFonts w:ascii="SimSun" w:hAnsi="SimSun" w:eastAsia="SimSun" w:cs="SimSun"/>
          <w:sz w:val="21"/>
          <w:szCs w:val="21"/>
          <w:spacing w:val="-1"/>
        </w:rPr>
        <w:t>。推出"数字贸 </w:t>
      </w:r>
      <w:r>
        <w:rPr>
          <w:rFonts w:ascii="SimSun" w:hAnsi="SimSun" w:eastAsia="SimSun" w:cs="SimSun"/>
          <w:sz w:val="21"/>
          <w:szCs w:val="21"/>
          <w:spacing w:val="-1"/>
        </w:rPr>
        <w:t>服"</w:t>
      </w:r>
      <w:r>
        <w:rPr>
          <w:rFonts w:ascii="SimSun" w:hAnsi="SimSun" w:eastAsia="SimSun" w:cs="SimSun"/>
          <w:sz w:val="21"/>
          <w:szCs w:val="21"/>
          <w:spacing w:val="-28"/>
        </w:rPr>
        <w:t xml:space="preserve"> </w:t>
      </w:r>
      <w:r>
        <w:rPr>
          <w:rFonts w:ascii="SimSun" w:hAnsi="SimSun" w:eastAsia="SimSun" w:cs="SimSun"/>
          <w:sz w:val="21"/>
          <w:szCs w:val="21"/>
          <w:spacing w:val="-1"/>
        </w:rPr>
        <w:t>线上化、智能化贸易金融产品, 积极支持外贸新业态发展, </w:t>
      </w:r>
      <w:r>
        <w:rPr>
          <w:rFonts w:ascii="Times New Roman" w:hAnsi="Times New Roman" w:eastAsia="Times New Roman" w:cs="Times New Roman"/>
          <w:sz w:val="21"/>
          <w:szCs w:val="21"/>
          <w:spacing w:val="-1"/>
        </w:rPr>
        <w:t>Easy </w:t>
      </w:r>
      <w:r>
        <w:rPr>
          <w:rFonts w:ascii="SimSun" w:hAnsi="SimSun" w:eastAsia="SimSun" w:cs="SimSun"/>
          <w:sz w:val="21"/>
          <w:szCs w:val="21"/>
          <w:spacing w:val="-1"/>
        </w:rPr>
        <w:t>系列产品业务量破万亿。加快跨境人 </w:t>
      </w:r>
      <w:r>
        <w:rPr>
          <w:rFonts w:ascii="SimSun" w:hAnsi="SimSun" w:eastAsia="SimSun" w:cs="SimSun"/>
          <w:sz w:val="21"/>
          <w:szCs w:val="21"/>
          <w:spacing w:val="-2"/>
        </w:rPr>
        <w:t>民币产品服务创新,</w:t>
      </w:r>
      <w:r>
        <w:rPr>
          <w:rFonts w:ascii="SimSun" w:hAnsi="SimSun" w:eastAsia="SimSun" w:cs="SimSun"/>
          <w:sz w:val="21"/>
          <w:szCs w:val="21"/>
          <w:spacing w:val="42"/>
        </w:rPr>
        <w:t xml:space="preserve"> </w:t>
      </w:r>
      <w:r>
        <w:rPr>
          <w:rFonts w:ascii="SimSun" w:hAnsi="SimSun" w:eastAsia="SimSun" w:cs="SimSun"/>
          <w:sz w:val="21"/>
          <w:szCs w:val="21"/>
          <w:spacing w:val="-2"/>
        </w:rPr>
        <w:t>跨境人民币收付量创历史新高。</w:t>
      </w:r>
    </w:p>
    <w:p>
      <w:pPr>
        <w:pStyle w:val="BodyText"/>
        <w:spacing w:line="393" w:lineRule="auto"/>
        <w:rPr/>
      </w:pPr>
      <w:r/>
    </w:p>
    <w:p>
      <w:pPr>
        <w:ind w:left="717"/>
        <w:spacing w:before="59" w:line="226" w:lineRule="auto"/>
        <w:rPr>
          <w:rFonts w:ascii="SimSun" w:hAnsi="SimSun" w:eastAsia="SimSun" w:cs="SimSun"/>
          <w:sz w:val="18"/>
          <w:szCs w:val="18"/>
        </w:rPr>
      </w:pPr>
      <w:r>
        <w:rPr>
          <w:rFonts w:ascii="Times New Roman" w:hAnsi="Times New Roman" w:eastAsia="Times New Roman" w:cs="Times New Roman"/>
          <w:sz w:val="12"/>
          <w:szCs w:val="12"/>
          <w:spacing w:val="-2"/>
          <w:position w:val="7"/>
        </w:rPr>
        <w:t>1</w:t>
      </w:r>
      <w:r>
        <w:rPr>
          <w:rFonts w:ascii="Times New Roman" w:hAnsi="Times New Roman" w:eastAsia="Times New Roman" w:cs="Times New Roman"/>
          <w:sz w:val="12"/>
          <w:szCs w:val="12"/>
          <w:spacing w:val="17"/>
          <w:w w:val="101"/>
          <w:position w:val="7"/>
        </w:rPr>
        <w:t xml:space="preserve">  </w:t>
      </w:r>
      <w:r>
        <w:rPr>
          <w:rFonts w:ascii="SimSun" w:hAnsi="SimSun" w:eastAsia="SimSun" w:cs="SimSun"/>
          <w:sz w:val="18"/>
          <w:szCs w:val="18"/>
          <w:spacing w:val="-2"/>
        </w:rPr>
        <w:t>包含个人住房贷款、个人消费贷款、信用卡贷款、个人经营性贷款。</w:t>
      </w:r>
    </w:p>
    <w:p>
      <w:pPr>
        <w:spacing w:line="226" w:lineRule="auto"/>
        <w:sectPr>
          <w:footerReference w:type="default" r:id="rId34"/>
          <w:pgSz w:w="11907" w:h="16839"/>
          <w:pgMar w:top="1134" w:right="1058" w:bottom="1375" w:left="1070" w:header="0" w:footer="1211" w:gutter="0"/>
        </w:sectPr>
        <w:rPr>
          <w:rFonts w:ascii="SimSun" w:hAnsi="SimSun" w:eastAsia="SimSun" w:cs="SimSun"/>
          <w:sz w:val="18"/>
          <w:szCs w:val="18"/>
        </w:rPr>
      </w:pPr>
    </w:p>
    <w:p>
      <w:pPr>
        <w:ind w:left="4" w:firstLine="422"/>
        <w:spacing w:before="42" w:line="292" w:lineRule="auto"/>
        <w:jc w:val="both"/>
        <w:rPr>
          <w:rFonts w:ascii="SimSun" w:hAnsi="SimSun" w:eastAsia="SimSun" w:cs="SimSun"/>
          <w:sz w:val="21"/>
          <w:szCs w:val="21"/>
        </w:rPr>
      </w:pPr>
      <w:r>
        <w:pict>
          <v:shape id="_x0000_s280" style="position:absolute;margin-left:88.704pt;margin-top:753.12pt;mso-position-vertical-relative:page;mso-position-horizontal-relative:page;width:144.05pt;height:0.75pt;z-index:251786240;" o:allowincell="f" fillcolor="#000000" filled="true" stroked="false" coordsize="2881,15" coordorigin="0,0" path="m0,14l2880,14l2880,0l0,0l0,14xe"/>
        </w:pict>
      </w:r>
      <w:r>
        <w:rPr>
          <w:rFonts w:ascii="SimSun" w:hAnsi="SimSun" w:eastAsia="SimSun" w:cs="SimSun"/>
          <w:sz w:val="21"/>
          <w:szCs w:val="21"/>
          <w:b/>
          <w:bCs/>
          <w:spacing w:val="8"/>
        </w:rPr>
        <w:t>科技金融</w:t>
      </w:r>
      <w:r>
        <w:rPr>
          <w:rFonts w:ascii="SimSun" w:hAnsi="SimSun" w:eastAsia="SimSun" w:cs="SimSun"/>
          <w:sz w:val="21"/>
          <w:szCs w:val="21"/>
          <w:spacing w:val="8"/>
        </w:rPr>
        <w:t xml:space="preserve">  紧跟国家科技自立自强和产业转型升</w:t>
      </w:r>
      <w:r>
        <w:rPr>
          <w:rFonts w:ascii="SimSun" w:hAnsi="SimSun" w:eastAsia="SimSun" w:cs="SimSun"/>
          <w:sz w:val="21"/>
          <w:szCs w:val="21"/>
          <w:spacing w:val="7"/>
        </w:rPr>
        <w:t>级步伐,服务支撑"科技</w:t>
      </w:r>
      <w:r>
        <w:rPr>
          <w:rFonts w:ascii="Times New Roman" w:hAnsi="Times New Roman" w:eastAsia="Times New Roman" w:cs="Times New Roman"/>
          <w:sz w:val="21"/>
          <w:szCs w:val="21"/>
          <w:spacing w:val="7"/>
        </w:rPr>
        <w:t>-</w:t>
      </w:r>
      <w:r>
        <w:rPr>
          <w:rFonts w:ascii="SimSun" w:hAnsi="SimSun" w:eastAsia="SimSun" w:cs="SimSun"/>
          <w:sz w:val="21"/>
          <w:szCs w:val="21"/>
          <w:spacing w:val="7"/>
        </w:rPr>
        <w:t>产业</w:t>
      </w:r>
      <w:r>
        <w:rPr>
          <w:rFonts w:ascii="Times New Roman" w:hAnsi="Times New Roman" w:eastAsia="Times New Roman" w:cs="Times New Roman"/>
          <w:sz w:val="21"/>
          <w:szCs w:val="21"/>
          <w:spacing w:val="7"/>
        </w:rPr>
        <w:t>-</w:t>
      </w:r>
      <w:r>
        <w:rPr>
          <w:rFonts w:ascii="SimSun" w:hAnsi="SimSun" w:eastAsia="SimSun" w:cs="SimSun"/>
          <w:sz w:val="21"/>
          <w:szCs w:val="21"/>
          <w:spacing w:val="7"/>
        </w:rPr>
        <w:t>金融"良性循环。报</w:t>
      </w:r>
      <w:r>
        <w:rPr>
          <w:rFonts w:ascii="SimSun" w:hAnsi="SimSun" w:eastAsia="SimSun" w:cs="SimSun"/>
          <w:sz w:val="21"/>
          <w:szCs w:val="21"/>
        </w:rPr>
        <w:t xml:space="preserve"> </w:t>
      </w:r>
      <w:r>
        <w:rPr>
          <w:rFonts w:ascii="SimSun" w:hAnsi="SimSun" w:eastAsia="SimSun" w:cs="SimSun"/>
          <w:sz w:val="21"/>
          <w:szCs w:val="21"/>
          <w:spacing w:val="9"/>
        </w:rPr>
        <w:t>告期末,科技金融客群持续壮大,科技金融</w:t>
      </w:r>
      <w:r>
        <w:rPr>
          <w:rFonts w:ascii="SimSun" w:hAnsi="SimSun" w:eastAsia="SimSun" w:cs="SimSun"/>
          <w:sz w:val="21"/>
          <w:szCs w:val="21"/>
          <w:spacing w:val="8"/>
        </w:rPr>
        <w:t>授信客户数较上年末增长</w:t>
      </w:r>
      <w:r>
        <w:rPr>
          <w:rFonts w:ascii="SimSun" w:hAnsi="SimSun" w:eastAsia="SimSun" w:cs="SimSun"/>
          <w:sz w:val="21"/>
          <w:szCs w:val="21"/>
          <w:spacing w:val="-36"/>
        </w:rPr>
        <w:t xml:space="preserve"> </w:t>
      </w:r>
      <w:r>
        <w:rPr>
          <w:rFonts w:ascii="Times New Roman" w:hAnsi="Times New Roman" w:eastAsia="Times New Roman" w:cs="Times New Roman"/>
          <w:sz w:val="21"/>
          <w:szCs w:val="21"/>
          <w:spacing w:val="8"/>
        </w:rPr>
        <w:t>49.55%</w:t>
      </w:r>
      <w:r>
        <w:rPr>
          <w:rFonts w:ascii="SimSun" w:hAnsi="SimSun" w:eastAsia="SimSun" w:cs="SimSun"/>
          <w:sz w:val="21"/>
          <w:szCs w:val="21"/>
          <w:spacing w:val="8"/>
        </w:rPr>
        <w:t>,专精特新"小巨人"、科创</w:t>
      </w:r>
      <w:r>
        <w:rPr>
          <w:rFonts w:ascii="SimSun" w:hAnsi="SimSun" w:eastAsia="SimSun" w:cs="SimSun"/>
          <w:sz w:val="21"/>
          <w:szCs w:val="21"/>
        </w:rPr>
        <w:t xml:space="preserve"> </w:t>
      </w:r>
      <w:r>
        <w:rPr>
          <w:rFonts w:ascii="SimSun" w:hAnsi="SimSun" w:eastAsia="SimSun" w:cs="SimSun"/>
          <w:sz w:val="21"/>
          <w:szCs w:val="21"/>
          <w:spacing w:val="-2"/>
        </w:rPr>
        <w:t>板客户市场覆盖率分别较年初提升 </w:t>
      </w:r>
      <w:r>
        <w:rPr>
          <w:rFonts w:ascii="Times New Roman" w:hAnsi="Times New Roman" w:eastAsia="Times New Roman" w:cs="Times New Roman"/>
          <w:sz w:val="21"/>
          <w:szCs w:val="21"/>
          <w:spacing w:val="-2"/>
        </w:rPr>
        <w:t>1.81</w:t>
      </w:r>
      <w:r>
        <w:rPr>
          <w:rFonts w:ascii="Times New Roman" w:hAnsi="Times New Roman" w:eastAsia="Times New Roman" w:cs="Times New Roman"/>
          <w:sz w:val="21"/>
          <w:szCs w:val="21"/>
          <w:spacing w:val="28"/>
          <w:w w:val="101"/>
        </w:rPr>
        <w:t xml:space="preserve"> </w:t>
      </w:r>
      <w:r>
        <w:rPr>
          <w:rFonts w:ascii="SimSun" w:hAnsi="SimSun" w:eastAsia="SimSun" w:cs="SimSun"/>
          <w:sz w:val="21"/>
          <w:szCs w:val="21"/>
          <w:spacing w:val="-2"/>
        </w:rPr>
        <w:t>和 </w:t>
      </w:r>
      <w:r>
        <w:rPr>
          <w:rFonts w:ascii="Times New Roman" w:hAnsi="Times New Roman" w:eastAsia="Times New Roman" w:cs="Times New Roman"/>
          <w:sz w:val="21"/>
          <w:szCs w:val="21"/>
          <w:spacing w:val="-2"/>
        </w:rPr>
        <w:t>1.15</w:t>
      </w:r>
      <w:r>
        <w:rPr>
          <w:rFonts w:ascii="Times New Roman" w:hAnsi="Times New Roman" w:eastAsia="Times New Roman" w:cs="Times New Roman"/>
          <w:sz w:val="21"/>
          <w:szCs w:val="21"/>
          <w:spacing w:val="28"/>
        </w:rPr>
        <w:t xml:space="preserve"> </w:t>
      </w:r>
      <w:r>
        <w:rPr>
          <w:rFonts w:ascii="SimSun" w:hAnsi="SimSun" w:eastAsia="SimSun" w:cs="SimSun"/>
          <w:sz w:val="21"/>
          <w:szCs w:val="21"/>
          <w:spacing w:val="-2"/>
        </w:rPr>
        <w:t>个百分点。紧密围绕科技型企业</w:t>
      </w:r>
      <w:r>
        <w:rPr>
          <w:rFonts w:ascii="SimSun" w:hAnsi="SimSun" w:eastAsia="SimSun" w:cs="SimSun"/>
          <w:sz w:val="21"/>
          <w:szCs w:val="21"/>
          <w:spacing w:val="-3"/>
        </w:rPr>
        <w:t>特点推出配套政策,</w:t>
      </w:r>
      <w:r>
        <w:rPr>
          <w:rFonts w:ascii="SimSun" w:hAnsi="SimSun" w:eastAsia="SimSun" w:cs="SimSun"/>
          <w:sz w:val="21"/>
          <w:szCs w:val="21"/>
          <w:spacing w:val="31"/>
        </w:rPr>
        <w:t xml:space="preserve"> </w:t>
      </w:r>
      <w:r>
        <w:rPr>
          <w:rFonts w:ascii="SimSun" w:hAnsi="SimSun" w:eastAsia="SimSun" w:cs="SimSun"/>
          <w:sz w:val="21"/>
          <w:szCs w:val="21"/>
          <w:spacing w:val="-3"/>
        </w:rPr>
        <w:t>大力</w:t>
      </w:r>
      <w:r>
        <w:rPr>
          <w:rFonts w:ascii="SimSun" w:hAnsi="SimSun" w:eastAsia="SimSun" w:cs="SimSun"/>
          <w:sz w:val="21"/>
          <w:szCs w:val="21"/>
        </w:rPr>
        <w:t xml:space="preserve"> </w:t>
      </w:r>
      <w:r>
        <w:rPr>
          <w:rFonts w:ascii="SimSun" w:hAnsi="SimSun" w:eastAsia="SimSun" w:cs="SimSun"/>
          <w:sz w:val="21"/>
          <w:szCs w:val="21"/>
          <w:spacing w:val="3"/>
        </w:rPr>
        <w:t>支持现代化产业体系建设,战略性新兴产业贷款余额</w:t>
      </w:r>
      <w:r>
        <w:rPr>
          <w:rFonts w:ascii="SimSun" w:hAnsi="SimSun" w:eastAsia="SimSun" w:cs="SimSun"/>
          <w:sz w:val="21"/>
          <w:szCs w:val="21"/>
          <w:spacing w:val="2"/>
        </w:rPr>
        <w:t>较上年末增长 </w:t>
      </w:r>
      <w:r>
        <w:rPr>
          <w:rFonts w:ascii="Times New Roman" w:hAnsi="Times New Roman" w:eastAsia="Times New Roman" w:cs="Times New Roman"/>
          <w:sz w:val="21"/>
          <w:szCs w:val="21"/>
          <w:spacing w:val="2"/>
        </w:rPr>
        <w:t>110%</w:t>
      </w:r>
      <w:r>
        <w:rPr>
          <w:rFonts w:ascii="SimSun" w:hAnsi="SimSun" w:eastAsia="SimSun" w:cs="SimSun"/>
          <w:sz w:val="21"/>
          <w:szCs w:val="21"/>
          <w:spacing w:val="2"/>
        </w:rPr>
        <w:t>。</w:t>
      </w:r>
    </w:p>
    <w:p>
      <w:pPr>
        <w:pStyle w:val="BodyText"/>
        <w:spacing w:line="242" w:lineRule="auto"/>
        <w:rPr/>
      </w:pPr>
      <w:r/>
    </w:p>
    <w:p>
      <w:pPr>
        <w:ind w:left="6" w:firstLine="421"/>
        <w:spacing w:before="69" w:line="290" w:lineRule="auto"/>
        <w:rPr>
          <w:rFonts w:ascii="SimSun" w:hAnsi="SimSun" w:eastAsia="SimSun" w:cs="SimSun"/>
          <w:sz w:val="21"/>
          <w:szCs w:val="21"/>
        </w:rPr>
      </w:pPr>
      <w:r>
        <w:rPr>
          <w:rFonts w:ascii="SimSun" w:hAnsi="SimSun" w:eastAsia="SimSun" w:cs="SimSun"/>
          <w:sz w:val="21"/>
          <w:szCs w:val="21"/>
          <w:b/>
          <w:bCs/>
          <w:spacing w:val="-1"/>
        </w:rPr>
        <w:t>财富金融</w:t>
      </w:r>
      <w:r>
        <w:rPr>
          <w:rFonts w:ascii="SimSun" w:hAnsi="SimSun" w:eastAsia="SimSun" w:cs="SimSun"/>
          <w:sz w:val="21"/>
          <w:szCs w:val="21"/>
          <w:spacing w:val="-1"/>
        </w:rPr>
        <w:t xml:space="preserve">  强化全量客户经营, 发挥财富管理产品、服务品牌优势, 更好满足人民群众的多层次财富</w:t>
      </w:r>
      <w:r>
        <w:rPr>
          <w:rFonts w:ascii="SimSun" w:hAnsi="SimSun" w:eastAsia="SimSun" w:cs="SimSun"/>
          <w:sz w:val="21"/>
          <w:szCs w:val="21"/>
          <w:spacing w:val="10"/>
        </w:rPr>
        <w:t xml:space="preserve"> </w:t>
      </w:r>
      <w:r>
        <w:rPr>
          <w:rFonts w:ascii="SimSun" w:hAnsi="SimSun" w:eastAsia="SimSun" w:cs="SimSun"/>
          <w:sz w:val="21"/>
          <w:szCs w:val="21"/>
          <w:spacing w:val="7"/>
        </w:rPr>
        <w:t>管理需求。报告期末,境内行管理的个人金融</w:t>
      </w:r>
      <w:r>
        <w:rPr>
          <w:rFonts w:ascii="SimSun" w:hAnsi="SimSun" w:eastAsia="SimSun" w:cs="SimSun"/>
          <w:sz w:val="21"/>
          <w:szCs w:val="21"/>
          <w:spacing w:val="6"/>
        </w:rPr>
        <w:t>资产(</w:t>
      </w:r>
      <w:r>
        <w:rPr>
          <w:rFonts w:ascii="Times New Roman" w:hAnsi="Times New Roman" w:eastAsia="Times New Roman" w:cs="Times New Roman"/>
          <w:sz w:val="21"/>
          <w:szCs w:val="21"/>
        </w:rPr>
        <w:t>AUM</w:t>
      </w:r>
      <w:r>
        <w:rPr>
          <w:rFonts w:ascii="Times New Roman" w:hAnsi="Times New Roman" w:eastAsia="Times New Roman" w:cs="Times New Roman"/>
          <w:sz w:val="13"/>
          <w:szCs w:val="13"/>
          <w:spacing w:val="6"/>
          <w:position w:val="10"/>
        </w:rPr>
        <w:t>2 </w:t>
      </w:r>
      <w:r>
        <w:rPr>
          <w:rFonts w:ascii="SimSun" w:hAnsi="SimSun" w:eastAsia="SimSun" w:cs="SimSun"/>
          <w:sz w:val="21"/>
          <w:szCs w:val="21"/>
          <w:spacing w:val="6"/>
        </w:rPr>
        <w:t>)较上年末增长 </w:t>
      </w:r>
      <w:r>
        <w:rPr>
          <w:rFonts w:ascii="Times New Roman" w:hAnsi="Times New Roman" w:eastAsia="Times New Roman" w:cs="Times New Roman"/>
          <w:sz w:val="21"/>
          <w:szCs w:val="21"/>
          <w:spacing w:val="6"/>
        </w:rPr>
        <w:t>8.57%</w:t>
      </w:r>
      <w:r>
        <w:rPr>
          <w:rFonts w:ascii="SimSun" w:hAnsi="SimSun" w:eastAsia="SimSun" w:cs="SimSun"/>
          <w:sz w:val="21"/>
          <w:szCs w:val="21"/>
          <w:spacing w:val="6"/>
        </w:rPr>
        <w:t>。客户拓展和潜力挖掘</w:t>
      </w:r>
      <w:r>
        <w:rPr>
          <w:rFonts w:ascii="SimSun" w:hAnsi="SimSun" w:eastAsia="SimSun" w:cs="SimSun"/>
          <w:sz w:val="21"/>
          <w:szCs w:val="21"/>
        </w:rPr>
        <w:t xml:space="preserve"> </w:t>
      </w:r>
      <w:r>
        <w:rPr>
          <w:rFonts w:ascii="SimSun" w:hAnsi="SimSun" w:eastAsia="SimSun" w:cs="SimSun"/>
          <w:sz w:val="21"/>
          <w:szCs w:val="21"/>
          <w:spacing w:val="-4"/>
        </w:rPr>
        <w:t>持续深入,</w:t>
      </w:r>
      <w:r>
        <w:rPr>
          <w:rFonts w:ascii="SimSun" w:hAnsi="SimSun" w:eastAsia="SimSun" w:cs="SimSun"/>
          <w:sz w:val="21"/>
          <w:szCs w:val="21"/>
          <w:spacing w:val="-21"/>
        </w:rPr>
        <w:t xml:space="preserve"> </w:t>
      </w:r>
      <w:r>
        <w:rPr>
          <w:rFonts w:ascii="SimSun" w:hAnsi="SimSun" w:eastAsia="SimSun" w:cs="SimSun"/>
          <w:sz w:val="21"/>
          <w:szCs w:val="21"/>
          <w:spacing w:val="-4"/>
        </w:rPr>
        <w:t>中高端客户数较上年末增长</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4"/>
        </w:rPr>
        <w:t>10.73%</w:t>
      </w:r>
      <w:r>
        <w:rPr>
          <w:rFonts w:ascii="SimSun" w:hAnsi="SimSun" w:eastAsia="SimSun" w:cs="SimSun"/>
          <w:sz w:val="21"/>
          <w:szCs w:val="21"/>
          <w:spacing w:val="-4"/>
        </w:rPr>
        <w:t>。丰富财富管理产品体系,</w:t>
      </w:r>
      <w:r>
        <w:rPr>
          <w:rFonts w:ascii="SimSun" w:hAnsi="SimSun" w:eastAsia="SimSun" w:cs="SimSun"/>
          <w:sz w:val="21"/>
          <w:szCs w:val="21"/>
          <w:spacing w:val="-55"/>
        </w:rPr>
        <w:t xml:space="preserve"> </w:t>
      </w:r>
      <w:r>
        <w:rPr>
          <w:rFonts w:ascii="SimSun" w:hAnsi="SimSun" w:eastAsia="SimSun" w:cs="SimSun"/>
          <w:sz w:val="21"/>
          <w:szCs w:val="21"/>
          <w:spacing w:val="-4"/>
        </w:rPr>
        <w:t>全年新上线</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4"/>
        </w:rPr>
        <w:t>2,500 </w:t>
      </w:r>
      <w:r>
        <w:rPr>
          <w:rFonts w:ascii="SimSun" w:hAnsi="SimSun" w:eastAsia="SimSun" w:cs="SimSun"/>
          <w:sz w:val="21"/>
          <w:szCs w:val="21"/>
          <w:spacing w:val="-4"/>
        </w:rPr>
        <w:t>余只财管产品。</w:t>
      </w:r>
      <w:r>
        <w:rPr>
          <w:rFonts w:ascii="SimSun" w:hAnsi="SimSun" w:eastAsia="SimSun" w:cs="SimSun"/>
          <w:sz w:val="21"/>
          <w:szCs w:val="21"/>
        </w:rPr>
        <w:t xml:space="preserve"> </w:t>
      </w:r>
      <w:r>
        <w:rPr>
          <w:rFonts w:ascii="SimSun" w:hAnsi="SimSun" w:eastAsia="SimSun" w:cs="SimSun"/>
          <w:sz w:val="21"/>
          <w:szCs w:val="21"/>
          <w:spacing w:val="-1"/>
        </w:rPr>
        <w:t>首批获得个人养老金业务资格,</w:t>
      </w:r>
      <w:r>
        <w:rPr>
          <w:rFonts w:ascii="SimSun" w:hAnsi="SimSun" w:eastAsia="SimSun" w:cs="SimSun"/>
          <w:sz w:val="21"/>
          <w:szCs w:val="21"/>
          <w:spacing w:val="29"/>
        </w:rPr>
        <w:t xml:space="preserve"> </w:t>
      </w:r>
      <w:r>
        <w:rPr>
          <w:rFonts w:ascii="SimSun" w:hAnsi="SimSun" w:eastAsia="SimSun" w:cs="SimSun"/>
          <w:sz w:val="21"/>
          <w:szCs w:val="21"/>
          <w:spacing w:val="-1"/>
        </w:rPr>
        <w:t>养老客群客户数较</w:t>
      </w:r>
      <w:r>
        <w:rPr>
          <w:rFonts w:ascii="SimSun" w:hAnsi="SimSun" w:eastAsia="SimSun" w:cs="SimSun"/>
          <w:sz w:val="21"/>
          <w:szCs w:val="21"/>
          <w:spacing w:val="-2"/>
        </w:rPr>
        <w:t>上年末增长</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2"/>
        </w:rPr>
        <w:t>7.5%</w:t>
      </w:r>
      <w:r>
        <w:rPr>
          <w:rFonts w:ascii="SimSun" w:hAnsi="SimSun" w:eastAsia="SimSun" w:cs="SimSun"/>
          <w:sz w:val="21"/>
          <w:szCs w:val="21"/>
          <w:spacing w:val="-2"/>
        </w:rPr>
        <w:t>。</w:t>
      </w:r>
    </w:p>
    <w:p>
      <w:pPr>
        <w:pStyle w:val="BodyText"/>
        <w:rPr/>
      </w:pPr>
      <w:r/>
    </w:p>
    <w:p>
      <w:pPr>
        <w:ind w:left="3" w:firstLine="421"/>
        <w:spacing w:before="68" w:line="298" w:lineRule="auto"/>
        <w:jc w:val="both"/>
        <w:rPr>
          <w:rFonts w:ascii="SimSun" w:hAnsi="SimSun" w:eastAsia="SimSun" w:cs="SimSun"/>
          <w:sz w:val="21"/>
          <w:szCs w:val="21"/>
        </w:rPr>
      </w:pPr>
      <w:r>
        <w:rPr>
          <w:rFonts w:ascii="SimSun" w:hAnsi="SimSun" w:eastAsia="SimSun" w:cs="SimSun"/>
          <w:sz w:val="21"/>
          <w:szCs w:val="21"/>
        </w:rPr>
        <w:t>本行将绿色发展理念融入打造业务特色全过</w:t>
      </w:r>
      <w:r>
        <w:rPr>
          <w:rFonts w:ascii="SimSun" w:hAnsi="SimSun" w:eastAsia="SimSun" w:cs="SimSun"/>
          <w:sz w:val="21"/>
          <w:szCs w:val="21"/>
          <w:spacing w:val="-1"/>
        </w:rPr>
        <w:t>程, 提高绿色金融服务市场影响力。制定《交通银行服务</w:t>
      </w:r>
      <w:r>
        <w:rPr>
          <w:rFonts w:ascii="SimSun" w:hAnsi="SimSun" w:eastAsia="SimSun" w:cs="SimSun"/>
          <w:sz w:val="21"/>
          <w:szCs w:val="21"/>
        </w:rPr>
        <w:t xml:space="preserve"> </w:t>
      </w:r>
      <w:r>
        <w:rPr>
          <w:rFonts w:ascii="SimSun" w:hAnsi="SimSun" w:eastAsia="SimSun" w:cs="SimSun"/>
          <w:sz w:val="21"/>
          <w:szCs w:val="21"/>
          <w:spacing w:val="-1"/>
        </w:rPr>
        <w:t>碳达峰碳中和目标行动方案》, 在授信政策中强化绿色金融管理要求, 完善"</w:t>
      </w:r>
      <w:r>
        <w:rPr>
          <w:rFonts w:ascii="Times New Roman" w:hAnsi="Times New Roman" w:eastAsia="Times New Roman" w:cs="Times New Roman"/>
          <w:sz w:val="21"/>
          <w:szCs w:val="21"/>
          <w:spacing w:val="-1"/>
        </w:rPr>
        <w:t>2+N</w:t>
      </w:r>
      <w:r>
        <w:rPr>
          <w:rFonts w:ascii="SimSun" w:hAnsi="SimSun" w:eastAsia="SimSun" w:cs="SimSun"/>
          <w:sz w:val="21"/>
          <w:szCs w:val="21"/>
          <w:spacing w:val="-1"/>
        </w:rPr>
        <w:t>"</w:t>
      </w:r>
      <w:r>
        <w:rPr>
          <w:rFonts w:ascii="SimSun" w:hAnsi="SimSun" w:eastAsia="SimSun" w:cs="SimSun"/>
          <w:sz w:val="21"/>
          <w:szCs w:val="21"/>
          <w:spacing w:val="-37"/>
        </w:rPr>
        <w:t xml:space="preserve"> </w:t>
      </w:r>
      <w:r>
        <w:rPr>
          <w:rFonts w:ascii="SimSun" w:hAnsi="SimSun" w:eastAsia="SimSun" w:cs="SimSun"/>
          <w:sz w:val="21"/>
          <w:szCs w:val="21"/>
          <w:spacing w:val="-1"/>
        </w:rPr>
        <w:t>绿色金融政策体系。积</w:t>
      </w:r>
      <w:r>
        <w:rPr>
          <w:rFonts w:ascii="SimSun" w:hAnsi="SimSun" w:eastAsia="SimSun" w:cs="SimSun"/>
          <w:sz w:val="21"/>
          <w:szCs w:val="21"/>
        </w:rPr>
        <w:t xml:space="preserve"> </w:t>
      </w:r>
      <w:r>
        <w:rPr>
          <w:rFonts w:ascii="SimSun" w:hAnsi="SimSun" w:eastAsia="SimSun" w:cs="SimSun"/>
          <w:sz w:val="21"/>
          <w:szCs w:val="21"/>
          <w:spacing w:val="-2"/>
        </w:rPr>
        <w:t>极推动绿色智能识别和</w:t>
      </w:r>
      <w:r>
        <w:rPr>
          <w:rFonts w:ascii="SimSun" w:hAnsi="SimSun" w:eastAsia="SimSun" w:cs="SimSun"/>
          <w:sz w:val="21"/>
          <w:szCs w:val="21"/>
          <w:spacing w:val="-51"/>
        </w:rPr>
        <w:t xml:space="preserve"> </w:t>
      </w:r>
      <w:r>
        <w:rPr>
          <w:rFonts w:ascii="Times New Roman" w:hAnsi="Times New Roman" w:eastAsia="Times New Roman" w:cs="Times New Roman"/>
          <w:sz w:val="21"/>
          <w:szCs w:val="21"/>
          <w:spacing w:val="-2"/>
        </w:rPr>
        <w:t>ESG </w:t>
      </w:r>
      <w:r>
        <w:rPr>
          <w:rFonts w:ascii="SimSun" w:hAnsi="SimSun" w:eastAsia="SimSun" w:cs="SimSun"/>
          <w:sz w:val="21"/>
          <w:szCs w:val="21"/>
          <w:spacing w:val="-2"/>
        </w:rPr>
        <w:t>评价体系建设, 结合绿色发展场景, 形成绿色信贷、</w:t>
      </w:r>
      <w:r>
        <w:rPr>
          <w:rFonts w:ascii="SimSun" w:hAnsi="SimSun" w:eastAsia="SimSun" w:cs="SimSun"/>
          <w:sz w:val="21"/>
          <w:szCs w:val="21"/>
          <w:spacing w:val="-3"/>
        </w:rPr>
        <w:t>绿色投行、绿色普惠等产</w:t>
      </w:r>
      <w:r>
        <w:rPr>
          <w:rFonts w:ascii="SimSun" w:hAnsi="SimSun" w:eastAsia="SimSun" w:cs="SimSun"/>
          <w:sz w:val="21"/>
          <w:szCs w:val="21"/>
        </w:rPr>
        <w:t xml:space="preserve"> </w:t>
      </w:r>
      <w:r>
        <w:rPr>
          <w:rFonts w:ascii="SimSun" w:hAnsi="SimSun" w:eastAsia="SimSun" w:cs="SimSun"/>
          <w:sz w:val="21"/>
          <w:szCs w:val="21"/>
          <w:spacing w:val="1"/>
        </w:rPr>
        <w:t>品集成方案,</w:t>
      </w:r>
      <w:r>
        <w:rPr>
          <w:rFonts w:ascii="SimSun" w:hAnsi="SimSun" w:eastAsia="SimSun" w:cs="SimSun"/>
          <w:sz w:val="21"/>
          <w:szCs w:val="21"/>
          <w:spacing w:val="34"/>
        </w:rPr>
        <w:t xml:space="preserve"> </w:t>
      </w:r>
      <w:r>
        <w:rPr>
          <w:rFonts w:ascii="SimSun" w:hAnsi="SimSun" w:eastAsia="SimSun" w:cs="SimSun"/>
          <w:sz w:val="21"/>
          <w:szCs w:val="21"/>
          <w:spacing w:val="1"/>
        </w:rPr>
        <w:t>获 "</w:t>
      </w:r>
      <w:r>
        <w:rPr>
          <w:rFonts w:ascii="Times New Roman" w:hAnsi="Times New Roman" w:eastAsia="Times New Roman" w:cs="Times New Roman"/>
          <w:sz w:val="21"/>
          <w:szCs w:val="21"/>
          <w:spacing w:val="1"/>
        </w:rPr>
        <w:t>2022 </w:t>
      </w:r>
      <w:r>
        <w:rPr>
          <w:rFonts w:ascii="SimSun" w:hAnsi="SimSun" w:eastAsia="SimSun" w:cs="SimSun"/>
          <w:sz w:val="21"/>
          <w:szCs w:val="21"/>
          <w:spacing w:val="1"/>
        </w:rPr>
        <w:t>年</w:t>
      </w:r>
      <w:r>
        <w:rPr>
          <w:rFonts w:ascii="SimSun" w:hAnsi="SimSun" w:eastAsia="SimSun" w:cs="SimSun"/>
          <w:sz w:val="21"/>
          <w:szCs w:val="21"/>
          <w:spacing w:val="-50"/>
        </w:rPr>
        <w:t xml:space="preserve"> </w:t>
      </w:r>
      <w:r>
        <w:rPr>
          <w:rFonts w:ascii="Times New Roman" w:hAnsi="Times New Roman" w:eastAsia="Times New Roman" w:cs="Times New Roman"/>
          <w:sz w:val="21"/>
          <w:szCs w:val="21"/>
          <w:spacing w:val="1"/>
        </w:rPr>
        <w:t>A </w:t>
      </w:r>
      <w:r>
        <w:rPr>
          <w:rFonts w:ascii="SimSun" w:hAnsi="SimSun" w:eastAsia="SimSun" w:cs="SimSun"/>
          <w:sz w:val="21"/>
          <w:szCs w:val="21"/>
          <w:spacing w:val="1"/>
        </w:rPr>
        <w:t>股上市公司</w:t>
      </w:r>
      <w:r>
        <w:rPr>
          <w:rFonts w:ascii="SimSun" w:hAnsi="SimSun" w:eastAsia="SimSun" w:cs="SimSun"/>
          <w:sz w:val="21"/>
          <w:szCs w:val="21"/>
          <w:spacing w:val="-50"/>
        </w:rPr>
        <w:t xml:space="preserve"> </w:t>
      </w:r>
      <w:r>
        <w:rPr>
          <w:rFonts w:ascii="Times New Roman" w:hAnsi="Times New Roman" w:eastAsia="Times New Roman" w:cs="Times New Roman"/>
          <w:sz w:val="21"/>
          <w:szCs w:val="21"/>
        </w:rPr>
        <w:t>ESG</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最佳实践案例"奖。报告期末,</w:t>
      </w:r>
      <w:r>
        <w:rPr>
          <w:rFonts w:ascii="SimSun" w:hAnsi="SimSun" w:eastAsia="SimSun" w:cs="SimSun"/>
          <w:sz w:val="21"/>
          <w:szCs w:val="21"/>
          <w:spacing w:val="29"/>
        </w:rPr>
        <w:t xml:space="preserve"> </w:t>
      </w:r>
      <w:r>
        <w:rPr>
          <w:rFonts w:ascii="SimSun" w:hAnsi="SimSun" w:eastAsia="SimSun" w:cs="SimSun"/>
          <w:sz w:val="21"/>
          <w:szCs w:val="21"/>
          <w:spacing w:val="1"/>
        </w:rPr>
        <w:t>全行</w:t>
      </w:r>
      <w:r>
        <w:rPr>
          <w:rFonts w:ascii="SimSun" w:hAnsi="SimSun" w:eastAsia="SimSun" w:cs="SimSun"/>
          <w:sz w:val="21"/>
          <w:szCs w:val="21"/>
        </w:rPr>
        <w:t>绿色贷款余额较上年末 </w:t>
      </w:r>
      <w:r>
        <w:rPr>
          <w:rFonts w:ascii="SimSun" w:hAnsi="SimSun" w:eastAsia="SimSun" w:cs="SimSun"/>
          <w:sz w:val="21"/>
          <w:szCs w:val="21"/>
          <w:spacing w:val="-3"/>
        </w:rPr>
        <w:t>增长</w:t>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3"/>
        </w:rPr>
        <w:t>33%</w:t>
      </w:r>
      <w:r>
        <w:rPr>
          <w:rFonts w:ascii="SimSun" w:hAnsi="SimSun" w:eastAsia="SimSun" w:cs="SimSun"/>
          <w:sz w:val="21"/>
          <w:szCs w:val="21"/>
          <w:spacing w:val="-3"/>
        </w:rPr>
        <w:t>。</w:t>
      </w:r>
    </w:p>
    <w:p>
      <w:pPr>
        <w:ind w:left="423"/>
        <w:spacing w:before="306"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2.</w:t>
      </w:r>
      <w:r>
        <w:rPr>
          <w:rFonts w:ascii="SimSun" w:hAnsi="SimSun" w:eastAsia="SimSun" w:cs="SimSun"/>
          <w:sz w:val="21"/>
          <w:szCs w:val="21"/>
          <w:b/>
          <w:bCs/>
          <w:spacing w:val="-2"/>
        </w:rPr>
        <w:t>聚焦两大突破口持续发力</w:t>
      </w:r>
    </w:p>
    <w:p>
      <w:pPr>
        <w:ind w:left="2" w:firstLine="427"/>
        <w:spacing w:before="306" w:line="303" w:lineRule="auto"/>
        <w:rPr>
          <w:rFonts w:ascii="SimSun" w:hAnsi="SimSun" w:eastAsia="SimSun" w:cs="SimSun"/>
          <w:sz w:val="21"/>
          <w:szCs w:val="21"/>
        </w:rPr>
      </w:pPr>
      <w:r>
        <w:rPr>
          <w:rFonts w:ascii="SimSun" w:hAnsi="SimSun" w:eastAsia="SimSun" w:cs="SimSun"/>
          <w:sz w:val="21"/>
          <w:szCs w:val="21"/>
          <w:b/>
          <w:bCs/>
          <w:spacing w:val="-2"/>
        </w:rPr>
        <w:t>发挥上海主场优势和龙头牵引作用</w:t>
      </w:r>
      <w:r>
        <w:rPr>
          <w:rFonts w:ascii="SimSun" w:hAnsi="SimSun" w:eastAsia="SimSun" w:cs="SimSun"/>
          <w:sz w:val="21"/>
          <w:szCs w:val="21"/>
          <w:spacing w:val="-2"/>
        </w:rPr>
        <w:t xml:space="preserve">  本集团将上海主场建设作为战略性安排, 持续推动创新突</w:t>
      </w:r>
      <w:r>
        <w:rPr>
          <w:rFonts w:ascii="SimSun" w:hAnsi="SimSun" w:eastAsia="SimSun" w:cs="SimSun"/>
          <w:sz w:val="21"/>
          <w:szCs w:val="21"/>
          <w:spacing w:val="-3"/>
        </w:rPr>
        <w:t>破,</w:t>
      </w:r>
      <w:r>
        <w:rPr>
          <w:rFonts w:ascii="SimSun" w:hAnsi="SimSun" w:eastAsia="SimSun" w:cs="SimSun"/>
          <w:sz w:val="21"/>
          <w:szCs w:val="21"/>
          <w:spacing w:val="29"/>
        </w:rPr>
        <w:t xml:space="preserve"> </w:t>
      </w:r>
      <w:r>
        <w:rPr>
          <w:rFonts w:ascii="SimSun" w:hAnsi="SimSun" w:eastAsia="SimSun" w:cs="SimSun"/>
          <w:sz w:val="21"/>
          <w:szCs w:val="21"/>
          <w:spacing w:val="-3"/>
        </w:rPr>
        <w:t>围</w:t>
      </w:r>
      <w:r>
        <w:rPr>
          <w:rFonts w:ascii="SimSun" w:hAnsi="SimSun" w:eastAsia="SimSun" w:cs="SimSun"/>
          <w:sz w:val="21"/>
          <w:szCs w:val="21"/>
        </w:rPr>
        <w:t xml:space="preserve"> </w:t>
      </w:r>
      <w:r>
        <w:rPr>
          <w:rFonts w:ascii="SimSun" w:hAnsi="SimSun" w:eastAsia="SimSun" w:cs="SimSun"/>
          <w:sz w:val="21"/>
          <w:szCs w:val="21"/>
        </w:rPr>
        <w:t>绕服务党中央赋予上海的战略任务, 致力于将上海主</w:t>
      </w:r>
      <w:r>
        <w:rPr>
          <w:rFonts w:ascii="SimSun" w:hAnsi="SimSun" w:eastAsia="SimSun" w:cs="SimSun"/>
          <w:sz w:val="21"/>
          <w:szCs w:val="21"/>
          <w:spacing w:val="-1"/>
        </w:rPr>
        <w:t>场打造成为集团的创新策源功能区。报告期内, 加大</w:t>
      </w:r>
      <w:r>
        <w:rPr>
          <w:rFonts w:ascii="SimSun" w:hAnsi="SimSun" w:eastAsia="SimSun" w:cs="SimSun"/>
          <w:sz w:val="21"/>
          <w:szCs w:val="21"/>
        </w:rPr>
        <w:t xml:space="preserve"> </w:t>
      </w:r>
      <w:r>
        <w:rPr>
          <w:rFonts w:ascii="SimSun" w:hAnsi="SimSun" w:eastAsia="SimSun" w:cs="SimSun"/>
          <w:sz w:val="21"/>
          <w:szCs w:val="21"/>
          <w:spacing w:val="3"/>
        </w:rPr>
        <w:t>政策和资金支持力度,支持上海市加快经济恢复和重振,</w:t>
      </w:r>
      <w:r>
        <w:rPr>
          <w:rFonts w:ascii="SimSun" w:hAnsi="SimSun" w:eastAsia="SimSun" w:cs="SimSun"/>
          <w:sz w:val="21"/>
          <w:szCs w:val="21"/>
          <w:spacing w:val="31"/>
        </w:rPr>
        <w:t xml:space="preserve"> </w:t>
      </w:r>
      <w:r>
        <w:rPr>
          <w:rFonts w:ascii="SimSun" w:hAnsi="SimSun" w:eastAsia="SimSun" w:cs="SimSun"/>
          <w:sz w:val="21"/>
          <w:szCs w:val="21"/>
          <w:spacing w:val="3"/>
        </w:rPr>
        <w:t>上海地区科技企业服务渗透率 </w:t>
      </w:r>
      <w:r>
        <w:rPr>
          <w:rFonts w:ascii="Times New Roman" w:hAnsi="Times New Roman" w:eastAsia="Times New Roman" w:cs="Times New Roman"/>
          <w:sz w:val="21"/>
          <w:szCs w:val="21"/>
          <w:spacing w:val="3"/>
        </w:rPr>
        <w:t>1</w:t>
      </w:r>
      <w:r>
        <w:rPr>
          <w:rFonts w:ascii="Times New Roman" w:hAnsi="Times New Roman" w:eastAsia="Times New Roman" w:cs="Times New Roman"/>
          <w:sz w:val="21"/>
          <w:szCs w:val="21"/>
          <w:spacing w:val="2"/>
        </w:rPr>
        <w:t>5.6%</w:t>
      </w:r>
      <w:r>
        <w:rPr>
          <w:rFonts w:ascii="SimSun" w:hAnsi="SimSun" w:eastAsia="SimSun" w:cs="SimSun"/>
          <w:sz w:val="21"/>
          <w:szCs w:val="21"/>
          <w:spacing w:val="2"/>
        </w:rPr>
        <w:t>,链金融余</w:t>
      </w:r>
      <w:r>
        <w:rPr>
          <w:rFonts w:ascii="SimSun" w:hAnsi="SimSun" w:eastAsia="SimSun" w:cs="SimSun"/>
          <w:sz w:val="21"/>
          <w:szCs w:val="21"/>
        </w:rPr>
        <w:t xml:space="preserve"> </w:t>
      </w:r>
      <w:r>
        <w:rPr>
          <w:rFonts w:ascii="SimSun" w:hAnsi="SimSun" w:eastAsia="SimSun" w:cs="SimSun"/>
          <w:sz w:val="21"/>
          <w:szCs w:val="21"/>
          <w:spacing w:val="1"/>
        </w:rPr>
        <w:t>额在全行占比近两年提升超过 </w:t>
      </w:r>
      <w:r>
        <w:rPr>
          <w:rFonts w:ascii="Times New Roman" w:hAnsi="Times New Roman" w:eastAsia="Times New Roman" w:cs="Times New Roman"/>
          <w:sz w:val="21"/>
          <w:szCs w:val="21"/>
          <w:spacing w:val="1"/>
        </w:rPr>
        <w:t>11  </w:t>
      </w:r>
      <w:r>
        <w:rPr>
          <w:rFonts w:ascii="SimSun" w:hAnsi="SimSun" w:eastAsia="SimSun" w:cs="SimSun"/>
          <w:sz w:val="21"/>
          <w:szCs w:val="21"/>
          <w:spacing w:val="1"/>
        </w:rPr>
        <w:t>个百分点;积极参与</w:t>
      </w:r>
      <w:r>
        <w:rPr>
          <w:rFonts w:ascii="SimSun" w:hAnsi="SimSun" w:eastAsia="SimSun" w:cs="SimSun"/>
          <w:sz w:val="21"/>
          <w:szCs w:val="21"/>
        </w:rPr>
        <w:t>金融要素市场创新,</w:t>
      </w:r>
      <w:r>
        <w:rPr>
          <w:rFonts w:ascii="SimSun" w:hAnsi="SimSun" w:eastAsia="SimSun" w:cs="SimSun"/>
          <w:sz w:val="21"/>
          <w:szCs w:val="21"/>
          <w:spacing w:val="31"/>
        </w:rPr>
        <w:t xml:space="preserve"> </w:t>
      </w:r>
      <w:r>
        <w:rPr>
          <w:rFonts w:ascii="SimSun" w:hAnsi="SimSun" w:eastAsia="SimSun" w:cs="SimSun"/>
          <w:sz w:val="21"/>
          <w:szCs w:val="21"/>
        </w:rPr>
        <w:t>持续提升金融市场业务规模,  </w:t>
      </w:r>
      <w:r>
        <w:rPr>
          <w:rFonts w:ascii="SimSun" w:hAnsi="SimSun" w:eastAsia="SimSun" w:cs="SimSun"/>
          <w:sz w:val="21"/>
          <w:szCs w:val="21"/>
          <w:spacing w:val="13"/>
        </w:rPr>
        <w:t>助力"上海价格"形成。以"一件事"和专班机制促进上海主场发挥示范引领作用,"医疗付费一件事" </w:t>
      </w:r>
      <w:r>
        <w:rPr>
          <w:rFonts w:ascii="SimSun" w:hAnsi="SimSun" w:eastAsia="SimSun" w:cs="SimSun"/>
          <w:sz w:val="21"/>
          <w:szCs w:val="21"/>
          <w:spacing w:val="5"/>
        </w:rPr>
        <w:t>在 </w:t>
      </w:r>
      <w:r>
        <w:rPr>
          <w:rFonts w:ascii="Times New Roman" w:hAnsi="Times New Roman" w:eastAsia="Times New Roman" w:cs="Times New Roman"/>
          <w:sz w:val="21"/>
          <w:szCs w:val="21"/>
          <w:spacing w:val="5"/>
        </w:rPr>
        <w:t>29</w:t>
      </w:r>
      <w:r>
        <w:rPr>
          <w:rFonts w:ascii="Times New Roman" w:hAnsi="Times New Roman" w:eastAsia="Times New Roman" w:cs="Times New Roman"/>
          <w:sz w:val="21"/>
          <w:szCs w:val="21"/>
          <w:spacing w:val="51"/>
          <w:w w:val="101"/>
        </w:rPr>
        <w:t xml:space="preserve"> </w:t>
      </w:r>
      <w:r>
        <w:rPr>
          <w:rFonts w:ascii="SimSun" w:hAnsi="SimSun" w:eastAsia="SimSun" w:cs="SimSun"/>
          <w:sz w:val="21"/>
          <w:szCs w:val="21"/>
          <w:spacing w:val="5"/>
        </w:rPr>
        <w:t>家省直分行落地; 跨省通办"交政通"</w:t>
      </w:r>
      <w:r>
        <w:rPr>
          <w:rFonts w:ascii="SimSun" w:hAnsi="SimSun" w:eastAsia="SimSun" w:cs="SimSun"/>
          <w:sz w:val="21"/>
          <w:szCs w:val="21"/>
          <w:spacing w:val="-28"/>
        </w:rPr>
        <w:t xml:space="preserve"> </w:t>
      </w:r>
      <w:r>
        <w:rPr>
          <w:rFonts w:ascii="SimSun" w:hAnsi="SimSun" w:eastAsia="SimSun" w:cs="SimSun"/>
          <w:sz w:val="21"/>
          <w:szCs w:val="21"/>
          <w:spacing w:val="5"/>
        </w:rPr>
        <w:t>在</w:t>
      </w:r>
      <w:r>
        <w:rPr>
          <w:rFonts w:ascii="SimSun" w:hAnsi="SimSun" w:eastAsia="SimSun" w:cs="SimSun"/>
          <w:sz w:val="21"/>
          <w:szCs w:val="21"/>
          <w:spacing w:val="4"/>
        </w:rPr>
        <w:t>长三角区域引入事项位居同业首位;产业链专项授权实现</w:t>
      </w:r>
      <w:r>
        <w:rPr>
          <w:rFonts w:ascii="SimSun" w:hAnsi="SimSun" w:eastAsia="SimSun" w:cs="SimSun"/>
          <w:sz w:val="21"/>
          <w:szCs w:val="21"/>
        </w:rPr>
        <w:t xml:space="preserve"> </w:t>
      </w:r>
      <w:r>
        <w:rPr>
          <w:rFonts w:ascii="SimSun" w:hAnsi="SimSun" w:eastAsia="SimSun" w:cs="SimSun"/>
          <w:sz w:val="21"/>
          <w:szCs w:val="21"/>
          <w:spacing w:val="-2"/>
        </w:rPr>
        <w:t>长三角区域分行全覆盖,</w:t>
      </w:r>
      <w:r>
        <w:rPr>
          <w:rFonts w:ascii="SimSun" w:hAnsi="SimSun" w:eastAsia="SimSun" w:cs="SimSun"/>
          <w:sz w:val="21"/>
          <w:szCs w:val="21"/>
          <w:spacing w:val="46"/>
        </w:rPr>
        <w:t xml:space="preserve"> </w:t>
      </w:r>
      <w:r>
        <w:rPr>
          <w:rFonts w:ascii="SimSun" w:hAnsi="SimSun" w:eastAsia="SimSun" w:cs="SimSun"/>
          <w:sz w:val="21"/>
          <w:szCs w:val="21"/>
          <w:spacing w:val="-2"/>
        </w:rPr>
        <w:t>区域产业链融资业务量同比增长</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2"/>
        </w:rPr>
        <w:t>50%</w:t>
      </w:r>
      <w:r>
        <w:rPr>
          <w:rFonts w:ascii="SimSun" w:hAnsi="SimSun" w:eastAsia="SimSun" w:cs="SimSun"/>
          <w:sz w:val="21"/>
          <w:szCs w:val="21"/>
          <w:spacing w:val="-2"/>
        </w:rPr>
        <w:t>。</w:t>
      </w:r>
    </w:p>
    <w:p>
      <w:pPr>
        <w:pStyle w:val="BodyText"/>
        <w:spacing w:line="241" w:lineRule="auto"/>
        <w:rPr/>
      </w:pPr>
      <w:r/>
    </w:p>
    <w:p>
      <w:pPr>
        <w:ind w:left="3" w:firstLine="422"/>
        <w:spacing w:before="68" w:line="303" w:lineRule="auto"/>
        <w:jc w:val="both"/>
        <w:rPr>
          <w:rFonts w:ascii="SimSun" w:hAnsi="SimSun" w:eastAsia="SimSun" w:cs="SimSun"/>
          <w:sz w:val="21"/>
          <w:szCs w:val="21"/>
        </w:rPr>
      </w:pPr>
      <w:r>
        <w:rPr>
          <w:rFonts w:ascii="SimSun" w:hAnsi="SimSun" w:eastAsia="SimSun" w:cs="SimSun"/>
          <w:sz w:val="21"/>
          <w:szCs w:val="21"/>
          <w:b/>
          <w:bCs/>
          <w:spacing w:val="8"/>
        </w:rPr>
        <w:t>深入推进数字化转型</w:t>
      </w:r>
      <w:r>
        <w:rPr>
          <w:rFonts w:ascii="SimSun" w:hAnsi="SimSun" w:eastAsia="SimSun" w:cs="SimSun"/>
          <w:sz w:val="21"/>
          <w:szCs w:val="21"/>
          <w:spacing w:val="8"/>
        </w:rPr>
        <w:t xml:space="preserve">  本集团深入推进数字化转型,充分运用"数据</w:t>
      </w:r>
      <w:r>
        <w:rPr>
          <w:rFonts w:ascii="Times New Roman" w:hAnsi="Times New Roman" w:eastAsia="Times New Roman" w:cs="Times New Roman"/>
          <w:sz w:val="21"/>
          <w:szCs w:val="21"/>
          <w:spacing w:val="8"/>
        </w:rPr>
        <w:t>+</w:t>
      </w:r>
      <w:r>
        <w:rPr>
          <w:rFonts w:ascii="SimSun" w:hAnsi="SimSun" w:eastAsia="SimSun" w:cs="SimSun"/>
          <w:sz w:val="21"/>
          <w:szCs w:val="21"/>
          <w:spacing w:val="8"/>
        </w:rPr>
        <w:t>技术"新要素赋能业</w:t>
      </w:r>
      <w:r>
        <w:rPr>
          <w:rFonts w:ascii="SimSun" w:hAnsi="SimSun" w:eastAsia="SimSun" w:cs="SimSun"/>
          <w:sz w:val="21"/>
          <w:szCs w:val="21"/>
          <w:spacing w:val="7"/>
        </w:rPr>
        <w:t>务提质增</w:t>
      </w:r>
      <w:r>
        <w:rPr>
          <w:rFonts w:ascii="SimSun" w:hAnsi="SimSun" w:eastAsia="SimSun" w:cs="SimSun"/>
          <w:sz w:val="21"/>
          <w:szCs w:val="21"/>
        </w:rPr>
        <w:t xml:space="preserve"> </w:t>
      </w:r>
      <w:r>
        <w:rPr>
          <w:rFonts w:ascii="SimSun" w:hAnsi="SimSun" w:eastAsia="SimSun" w:cs="SimSun"/>
          <w:sz w:val="21"/>
          <w:szCs w:val="21"/>
          <w:spacing w:val="-2"/>
        </w:rPr>
        <w:t>效,</w:t>
      </w:r>
      <w:r>
        <w:rPr>
          <w:rFonts w:ascii="SimSun" w:hAnsi="SimSun" w:eastAsia="SimSun" w:cs="SimSun"/>
          <w:sz w:val="21"/>
          <w:szCs w:val="21"/>
          <w:spacing w:val="39"/>
        </w:rPr>
        <w:t xml:space="preserve"> </w:t>
      </w:r>
      <w:r>
        <w:rPr>
          <w:rFonts w:ascii="SimSun" w:hAnsi="SimSun" w:eastAsia="SimSun" w:cs="SimSun"/>
          <w:sz w:val="21"/>
          <w:szCs w:val="21"/>
          <w:spacing w:val="-2"/>
        </w:rPr>
        <w:t>金融科技价值创造能力持续增强。报告期内, 本行数字化转型投入力度持续加大,</w:t>
      </w:r>
      <w:r>
        <w:rPr>
          <w:rFonts w:ascii="SimSun" w:hAnsi="SimSun" w:eastAsia="SimSun" w:cs="SimSun"/>
          <w:sz w:val="21"/>
          <w:szCs w:val="21"/>
          <w:spacing w:val="28"/>
        </w:rPr>
        <w:t xml:space="preserve"> </w:t>
      </w:r>
      <w:r>
        <w:rPr>
          <w:rFonts w:ascii="SimSun" w:hAnsi="SimSun" w:eastAsia="SimSun" w:cs="SimSun"/>
          <w:sz w:val="21"/>
          <w:szCs w:val="21"/>
          <w:spacing w:val="-2"/>
        </w:rPr>
        <w:t>金融科技投入同比</w:t>
      </w:r>
      <w:r>
        <w:rPr>
          <w:rFonts w:ascii="SimSun" w:hAnsi="SimSun" w:eastAsia="SimSun" w:cs="SimSun"/>
          <w:sz w:val="21"/>
          <w:szCs w:val="21"/>
        </w:rPr>
        <w:t xml:space="preserve"> </w:t>
      </w:r>
      <w:r>
        <w:rPr>
          <w:rFonts w:ascii="SimSun" w:hAnsi="SimSun" w:eastAsia="SimSun" w:cs="SimSun"/>
          <w:sz w:val="21"/>
          <w:szCs w:val="21"/>
          <w:spacing w:val="-2"/>
        </w:rPr>
        <w:t>增长</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2"/>
        </w:rPr>
        <w:t>32.93%</w:t>
      </w:r>
      <w:r>
        <w:rPr>
          <w:rFonts w:ascii="SimSun" w:hAnsi="SimSun" w:eastAsia="SimSun" w:cs="SimSun"/>
          <w:sz w:val="21"/>
          <w:szCs w:val="21"/>
          <w:spacing w:val="-2"/>
        </w:rPr>
        <w:t>,</w:t>
      </w:r>
      <w:r>
        <w:rPr>
          <w:rFonts w:ascii="SimSun" w:hAnsi="SimSun" w:eastAsia="SimSun" w:cs="SimSun"/>
          <w:sz w:val="21"/>
          <w:szCs w:val="21"/>
          <w:spacing w:val="59"/>
        </w:rPr>
        <w:t xml:space="preserve"> </w:t>
      </w:r>
      <w:r>
        <w:rPr>
          <w:rFonts w:ascii="SimSun" w:hAnsi="SimSun" w:eastAsia="SimSun" w:cs="SimSun"/>
          <w:sz w:val="21"/>
          <w:szCs w:val="21"/>
          <w:spacing w:val="-2"/>
        </w:rPr>
        <w:t>占营业收入的</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2"/>
        </w:rPr>
        <w:t>5.26%</w:t>
      </w:r>
      <w:r>
        <w:rPr>
          <w:rFonts w:ascii="SimSun" w:hAnsi="SimSun" w:eastAsia="SimSun" w:cs="SimSun"/>
          <w:sz w:val="21"/>
          <w:szCs w:val="21"/>
          <w:spacing w:val="-2"/>
        </w:rPr>
        <w:t>; 报</w:t>
      </w:r>
      <w:r>
        <w:rPr>
          <w:rFonts w:ascii="SimSun" w:hAnsi="SimSun" w:eastAsia="SimSun" w:cs="SimSun"/>
          <w:sz w:val="21"/>
          <w:szCs w:val="21"/>
          <w:spacing w:val="-3"/>
        </w:rPr>
        <w:t>告期末,</w:t>
      </w:r>
      <w:r>
        <w:rPr>
          <w:rFonts w:ascii="SimSun" w:hAnsi="SimSun" w:eastAsia="SimSun" w:cs="SimSun"/>
          <w:sz w:val="21"/>
          <w:szCs w:val="21"/>
          <w:spacing w:val="25"/>
        </w:rPr>
        <w:t xml:space="preserve"> </w:t>
      </w:r>
      <w:r>
        <w:rPr>
          <w:rFonts w:ascii="SimSun" w:hAnsi="SimSun" w:eastAsia="SimSun" w:cs="SimSun"/>
          <w:sz w:val="21"/>
          <w:szCs w:val="21"/>
          <w:spacing w:val="-3"/>
        </w:rPr>
        <w:t>本集团金融科技人才占集团总人数</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3"/>
        </w:rPr>
        <w:t>6.38%</w:t>
      </w:r>
      <w:r>
        <w:rPr>
          <w:rFonts w:ascii="SimSun" w:hAnsi="SimSun" w:eastAsia="SimSun" w:cs="SimSun"/>
          <w:sz w:val="21"/>
          <w:szCs w:val="21"/>
          <w:spacing w:val="-3"/>
        </w:rPr>
        <w:t>。场景建设提速</w:t>
      </w:r>
      <w:r>
        <w:rPr>
          <w:rFonts w:ascii="SimSun" w:hAnsi="SimSun" w:eastAsia="SimSun" w:cs="SimSun"/>
          <w:sz w:val="21"/>
          <w:szCs w:val="21"/>
        </w:rPr>
        <w:t xml:space="preserve"> </w:t>
      </w:r>
      <w:r>
        <w:rPr>
          <w:rFonts w:ascii="SimSun" w:hAnsi="SimSun" w:eastAsia="SimSun" w:cs="SimSun"/>
          <w:sz w:val="21"/>
          <w:szCs w:val="21"/>
          <w:spacing w:val="5"/>
        </w:rPr>
        <w:t>加力,个人手机银行 </w:t>
      </w:r>
      <w:r>
        <w:rPr>
          <w:rFonts w:ascii="Times New Roman" w:hAnsi="Times New Roman" w:eastAsia="Times New Roman" w:cs="Times New Roman"/>
          <w:sz w:val="21"/>
          <w:szCs w:val="21"/>
          <w:spacing w:val="5"/>
        </w:rPr>
        <w:t>7.0</w:t>
      </w:r>
      <w:r>
        <w:rPr>
          <w:rFonts w:ascii="SimSun" w:hAnsi="SimSun" w:eastAsia="SimSun" w:cs="SimSun"/>
          <w:sz w:val="21"/>
          <w:szCs w:val="21"/>
          <w:spacing w:val="5"/>
        </w:rPr>
        <w:t>、新版企业网银焕新推出,开放银行场景与平台建设成熟度稳步提升。零</w:t>
      </w:r>
      <w:r>
        <w:rPr>
          <w:rFonts w:ascii="SimSun" w:hAnsi="SimSun" w:eastAsia="SimSun" w:cs="SimSun"/>
          <w:sz w:val="21"/>
          <w:szCs w:val="21"/>
          <w:spacing w:val="4"/>
        </w:rPr>
        <w:t>售信贷</w:t>
      </w:r>
      <w:r>
        <w:rPr>
          <w:rFonts w:ascii="SimSun" w:hAnsi="SimSun" w:eastAsia="SimSun" w:cs="SimSun"/>
          <w:sz w:val="21"/>
          <w:szCs w:val="21"/>
        </w:rPr>
        <w:t xml:space="preserve"> </w:t>
      </w:r>
      <w:r>
        <w:rPr>
          <w:rFonts w:ascii="SimSun" w:hAnsi="SimSun" w:eastAsia="SimSun" w:cs="SimSun"/>
          <w:sz w:val="21"/>
          <w:szCs w:val="21"/>
          <w:spacing w:val="-1"/>
        </w:rPr>
        <w:t>和 </w:t>
      </w:r>
      <w:r>
        <w:rPr>
          <w:rFonts w:ascii="Times New Roman" w:hAnsi="Times New Roman" w:eastAsia="Times New Roman" w:cs="Times New Roman"/>
          <w:sz w:val="21"/>
          <w:szCs w:val="21"/>
          <w:spacing w:val="-1"/>
        </w:rPr>
        <w:t>B2B  </w:t>
      </w:r>
      <w:r>
        <w:rPr>
          <w:rFonts w:ascii="SimSun" w:hAnsi="SimSun" w:eastAsia="SimSun" w:cs="SimSun"/>
          <w:sz w:val="21"/>
          <w:szCs w:val="21"/>
          <w:spacing w:val="-1"/>
        </w:rPr>
        <w:t>支付两个企业级架构试点项目顺利上线,</w:t>
      </w:r>
      <w:r>
        <w:rPr>
          <w:rFonts w:ascii="SimSun" w:hAnsi="SimSun" w:eastAsia="SimSun" w:cs="SimSun"/>
          <w:sz w:val="21"/>
          <w:szCs w:val="21"/>
          <w:spacing w:val="48"/>
        </w:rPr>
        <w:t xml:space="preserve"> </w:t>
      </w:r>
      <w:r>
        <w:rPr>
          <w:rFonts w:ascii="SimSun" w:hAnsi="SimSun" w:eastAsia="SimSun" w:cs="SimSun"/>
          <w:sz w:val="21"/>
          <w:szCs w:val="21"/>
          <w:spacing w:val="-1"/>
        </w:rPr>
        <w:t>中台和企业级架构建设支撑业务创新作用逐步凸显。夯</w:t>
      </w:r>
      <w:r>
        <w:rPr>
          <w:rFonts w:ascii="SimSun" w:hAnsi="SimSun" w:eastAsia="SimSun" w:cs="SimSun"/>
          <w:sz w:val="21"/>
          <w:szCs w:val="21"/>
        </w:rPr>
        <w:t xml:space="preserve"> </w:t>
      </w:r>
      <w:r>
        <w:rPr>
          <w:rFonts w:ascii="SimSun" w:hAnsi="SimSun" w:eastAsia="SimSun" w:cs="SimSun"/>
          <w:sz w:val="21"/>
          <w:szCs w:val="21"/>
        </w:rPr>
        <w:t>实数字新基建, 成为首家使用自主可控分布式核心</w:t>
      </w:r>
      <w:r>
        <w:rPr>
          <w:rFonts w:ascii="SimSun" w:hAnsi="SimSun" w:eastAsia="SimSun" w:cs="SimSun"/>
          <w:sz w:val="21"/>
          <w:szCs w:val="21"/>
          <w:spacing w:val="-1"/>
        </w:rPr>
        <w:t>系统的国有大行, 获得人民银行年度金融科技发展一等</w:t>
      </w:r>
      <w:r>
        <w:rPr>
          <w:rFonts w:ascii="SimSun" w:hAnsi="SimSun" w:eastAsia="SimSun" w:cs="SimSun"/>
          <w:sz w:val="21"/>
          <w:szCs w:val="21"/>
        </w:rPr>
        <w:t xml:space="preserve"> </w:t>
      </w:r>
      <w:r>
        <w:rPr>
          <w:rFonts w:ascii="SimSun" w:hAnsi="SimSun" w:eastAsia="SimSun" w:cs="SimSun"/>
          <w:sz w:val="21"/>
          <w:szCs w:val="21"/>
          <w:spacing w:val="-10"/>
        </w:rPr>
        <w:t>奖。</w:t>
      </w:r>
    </w:p>
    <w:p>
      <w:pPr>
        <w:ind w:left="537"/>
        <w:spacing w:before="307" w:line="221" w:lineRule="auto"/>
        <w:rPr>
          <w:rFonts w:ascii="SimSun" w:hAnsi="SimSun" w:eastAsia="SimSun" w:cs="SimSun"/>
          <w:sz w:val="21"/>
          <w:szCs w:val="21"/>
        </w:rPr>
      </w:pPr>
      <w:r>
        <w:rPr>
          <w:rFonts w:ascii="SimSun" w:hAnsi="SimSun" w:eastAsia="SimSun" w:cs="SimSun"/>
          <w:sz w:val="21"/>
          <w:szCs w:val="21"/>
          <w:b/>
          <w:bCs/>
          <w:spacing w:val="9"/>
        </w:rPr>
        <w:t>(二)公司金融业务</w:t>
      </w:r>
    </w:p>
    <w:p>
      <w:pPr>
        <w:ind w:firstLine="438"/>
        <w:spacing w:before="309" w:line="284" w:lineRule="auto"/>
        <w:rPr>
          <w:rFonts w:ascii="SimSun" w:hAnsi="SimSun" w:eastAsia="SimSun" w:cs="SimSun"/>
          <w:sz w:val="21"/>
          <w:szCs w:val="21"/>
        </w:rPr>
      </w:pPr>
      <w:r>
        <w:rPr>
          <w:rFonts w:ascii="SimSun" w:hAnsi="SimSun" w:eastAsia="SimSun" w:cs="SimSun"/>
          <w:sz w:val="21"/>
          <w:szCs w:val="21"/>
          <w:spacing w:val="1"/>
        </w:rPr>
        <w:t>◆支持实体经济,推动信贷投放总量增、结构优。报告期内,</w:t>
      </w:r>
      <w:r>
        <w:rPr>
          <w:rFonts w:ascii="SimSun" w:hAnsi="SimSun" w:eastAsia="SimSun" w:cs="SimSun"/>
          <w:sz w:val="21"/>
          <w:szCs w:val="21"/>
          <w:spacing w:val="29"/>
        </w:rPr>
        <w:t xml:space="preserve"> </w:t>
      </w:r>
      <w:r>
        <w:rPr>
          <w:rFonts w:ascii="SimSun" w:hAnsi="SimSun" w:eastAsia="SimSun" w:cs="SimSun"/>
          <w:sz w:val="21"/>
          <w:szCs w:val="21"/>
          <w:spacing w:val="1"/>
        </w:rPr>
        <w:t>集团公司类贷款较上年</w:t>
      </w:r>
      <w:r>
        <w:rPr>
          <w:rFonts w:ascii="SimSun" w:hAnsi="SimSun" w:eastAsia="SimSun" w:cs="SimSun"/>
          <w:sz w:val="21"/>
          <w:szCs w:val="21"/>
        </w:rPr>
        <w:t>末增加 </w:t>
      </w:r>
      <w:r>
        <w:rPr>
          <w:rFonts w:ascii="Times New Roman" w:hAnsi="Times New Roman" w:eastAsia="Times New Roman" w:cs="Times New Roman"/>
          <w:sz w:val="21"/>
          <w:szCs w:val="21"/>
        </w:rPr>
        <w:t>5,727.71 </w:t>
      </w:r>
      <w:r>
        <w:rPr>
          <w:rFonts w:ascii="SimSun" w:hAnsi="SimSun" w:eastAsia="SimSun" w:cs="SimSun"/>
          <w:sz w:val="21"/>
          <w:szCs w:val="21"/>
          <w:spacing w:val="-8"/>
        </w:rPr>
        <w:t>亿元,增幅</w:t>
      </w:r>
      <w:r>
        <w:rPr>
          <w:rFonts w:ascii="SimSun" w:hAnsi="SimSun" w:eastAsia="SimSun" w:cs="SimSun"/>
          <w:sz w:val="21"/>
          <w:szCs w:val="21"/>
          <w:spacing w:val="-12"/>
        </w:rPr>
        <w:t xml:space="preserve"> </w:t>
      </w:r>
      <w:r>
        <w:rPr>
          <w:rFonts w:ascii="Times New Roman" w:hAnsi="Times New Roman" w:eastAsia="Times New Roman" w:cs="Times New Roman"/>
          <w:sz w:val="21"/>
          <w:szCs w:val="21"/>
          <w:spacing w:val="-8"/>
        </w:rPr>
        <w:t>13.84%</w:t>
      </w:r>
      <w:r>
        <w:rPr>
          <w:rFonts w:ascii="SimSun" w:hAnsi="SimSun" w:eastAsia="SimSun" w:cs="SimSun"/>
          <w:sz w:val="21"/>
          <w:szCs w:val="21"/>
          <w:spacing w:val="-8"/>
        </w:rPr>
        <w:t>。其中,境内投向为制造业的相关贷款、绿色信贷、涉农贷款增幅分别为</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8"/>
        </w:rPr>
        <w:t>23.23%</w:t>
      </w:r>
      <w:r>
        <w:rPr>
          <w:rFonts w:ascii="SimSun" w:hAnsi="SimSun" w:eastAsia="SimSun" w:cs="SimSun"/>
          <w:sz w:val="21"/>
          <w:szCs w:val="21"/>
          <w:spacing w:val="-8"/>
        </w:rPr>
        <w:t>、</w:t>
      </w:r>
      <w:r>
        <w:rPr>
          <w:rFonts w:ascii="Times New Roman" w:hAnsi="Times New Roman" w:eastAsia="Times New Roman" w:cs="Times New Roman"/>
          <w:sz w:val="21"/>
          <w:szCs w:val="21"/>
          <w:spacing w:val="-8"/>
        </w:rPr>
        <w:t>33.28%</w:t>
      </w:r>
      <w:r>
        <w:rPr>
          <w:rFonts w:ascii="Times New Roman" w:hAnsi="Times New Roman" w:eastAsia="Times New Roman" w:cs="Times New Roman"/>
          <w:sz w:val="21"/>
          <w:szCs w:val="21"/>
          <w:spacing w:val="-30"/>
        </w:rPr>
        <w:t xml:space="preserve"> </w:t>
      </w:r>
      <w:r>
        <w:rPr>
          <w:rFonts w:ascii="SimSun" w:hAnsi="SimSun" w:eastAsia="SimSun" w:cs="SimSun"/>
          <w:sz w:val="21"/>
          <w:szCs w:val="21"/>
          <w:spacing w:val="-8"/>
        </w:rPr>
        <w:t>、</w:t>
      </w:r>
      <w:r>
        <w:rPr>
          <w:rFonts w:ascii="SimSun" w:hAnsi="SimSun" w:eastAsia="SimSun" w:cs="SimSun"/>
          <w:sz w:val="21"/>
          <w:szCs w:val="21"/>
        </w:rPr>
        <w:t xml:space="preserve"> </w:t>
      </w:r>
      <w:r>
        <w:rPr>
          <w:rFonts w:ascii="Times New Roman" w:hAnsi="Times New Roman" w:eastAsia="Times New Roman" w:cs="Times New Roman"/>
          <w:sz w:val="21"/>
          <w:szCs w:val="21"/>
          <w:spacing w:val="3"/>
        </w:rPr>
        <w:t>22.</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3"/>
        </w:rPr>
        <w:t>15%</w:t>
      </w:r>
      <w:r>
        <w:rPr>
          <w:rFonts w:ascii="SimSun" w:hAnsi="SimSun" w:eastAsia="SimSun" w:cs="SimSun"/>
          <w:sz w:val="21"/>
          <w:szCs w:val="21"/>
          <w:spacing w:val="3"/>
        </w:rPr>
        <w:t>,均超过集团贷款平均增幅。</w:t>
      </w:r>
    </w:p>
    <w:p>
      <w:pPr>
        <w:pStyle w:val="BodyText"/>
        <w:spacing w:line="241" w:lineRule="auto"/>
        <w:rPr/>
      </w:pPr>
      <w:r/>
    </w:p>
    <w:p>
      <w:pPr>
        <w:spacing w:before="69" w:line="218" w:lineRule="auto"/>
        <w:jc w:val="right"/>
        <w:rPr>
          <w:rFonts w:ascii="SimSun" w:hAnsi="SimSun" w:eastAsia="SimSun" w:cs="SimSun"/>
          <w:sz w:val="21"/>
          <w:szCs w:val="21"/>
        </w:rPr>
      </w:pPr>
      <w:r>
        <w:rPr>
          <w:rFonts w:ascii="SimSun" w:hAnsi="SimSun" w:eastAsia="SimSun" w:cs="SimSun"/>
          <w:sz w:val="21"/>
          <w:szCs w:val="21"/>
          <w:spacing w:val="-1"/>
        </w:rPr>
        <w:t>◆服务国家战略,</w:t>
      </w:r>
      <w:r>
        <w:rPr>
          <w:rFonts w:ascii="SimSun" w:hAnsi="SimSun" w:eastAsia="SimSun" w:cs="SimSun"/>
          <w:sz w:val="21"/>
          <w:szCs w:val="21"/>
          <w:spacing w:val="27"/>
        </w:rPr>
        <w:t xml:space="preserve"> </w:t>
      </w:r>
      <w:r>
        <w:rPr>
          <w:rFonts w:ascii="SimSun" w:hAnsi="SimSun" w:eastAsia="SimSun" w:cs="SimSun"/>
          <w:sz w:val="21"/>
          <w:szCs w:val="21"/>
          <w:spacing w:val="-1"/>
        </w:rPr>
        <w:t>支持重点区域发展。报告期末, 长</w:t>
      </w:r>
      <w:r>
        <w:rPr>
          <w:rFonts w:ascii="SimSun" w:hAnsi="SimSun" w:eastAsia="SimSun" w:cs="SimSun"/>
          <w:sz w:val="21"/>
          <w:szCs w:val="21"/>
          <w:spacing w:val="-2"/>
        </w:rPr>
        <w:t>三角、粤港澳大湾区、京津冀三大区域贷款余额</w:t>
      </w:r>
    </w:p>
    <w:p>
      <w:pPr>
        <w:pStyle w:val="BodyText"/>
        <w:spacing w:line="261" w:lineRule="auto"/>
        <w:rPr/>
      </w:pPr>
      <w:r/>
    </w:p>
    <w:p>
      <w:pPr>
        <w:pStyle w:val="BodyText"/>
        <w:spacing w:line="261" w:lineRule="auto"/>
        <w:rPr/>
      </w:pPr>
      <w:r/>
    </w:p>
    <w:p>
      <w:pPr>
        <w:ind w:left="639"/>
        <w:spacing w:before="59" w:line="223" w:lineRule="auto"/>
        <w:rPr>
          <w:rFonts w:ascii="SimSun" w:hAnsi="SimSun" w:eastAsia="SimSun" w:cs="SimSun"/>
          <w:sz w:val="18"/>
          <w:szCs w:val="18"/>
        </w:rPr>
      </w:pPr>
      <w:r>
        <w:rPr>
          <w:rFonts w:ascii="Times New Roman" w:hAnsi="Times New Roman" w:eastAsia="Times New Roman" w:cs="Times New Roman"/>
          <w:sz w:val="12"/>
          <w:szCs w:val="12"/>
          <w:spacing w:val="4"/>
          <w:position w:val="7"/>
        </w:rPr>
        <w:t>2</w:t>
      </w:r>
      <w:r>
        <w:rPr>
          <w:rFonts w:ascii="Times New Roman" w:hAnsi="Times New Roman" w:eastAsia="Times New Roman" w:cs="Times New Roman"/>
          <w:sz w:val="12"/>
          <w:szCs w:val="12"/>
          <w:spacing w:val="10"/>
          <w:w w:val="103"/>
          <w:position w:val="7"/>
        </w:rPr>
        <w:t xml:space="preserve">  </w:t>
      </w:r>
      <w:r>
        <w:rPr>
          <w:rFonts w:ascii="SimSun" w:hAnsi="SimSun" w:eastAsia="SimSun" w:cs="SimSun"/>
          <w:sz w:val="18"/>
          <w:szCs w:val="18"/>
          <w:spacing w:val="4"/>
        </w:rPr>
        <w:t>不含客户证券市值,下同。</w:t>
      </w:r>
    </w:p>
    <w:p>
      <w:pPr>
        <w:spacing w:line="223" w:lineRule="auto"/>
        <w:sectPr>
          <w:footerReference w:type="default" r:id="rId35"/>
          <w:pgSz w:w="11907" w:h="16839"/>
          <w:pgMar w:top="1196" w:right="1128" w:bottom="1375" w:left="1137" w:header="0" w:footer="1211" w:gutter="0"/>
        </w:sectPr>
        <w:rPr>
          <w:rFonts w:ascii="SimSun" w:hAnsi="SimSun" w:eastAsia="SimSun" w:cs="SimSun"/>
          <w:sz w:val="18"/>
          <w:szCs w:val="18"/>
        </w:rPr>
      </w:pPr>
    </w:p>
    <w:p>
      <w:pPr>
        <w:ind w:left="4" w:right="4"/>
        <w:spacing w:before="42" w:line="269" w:lineRule="auto"/>
        <w:rPr>
          <w:rFonts w:ascii="SimSun" w:hAnsi="SimSun" w:eastAsia="SimSun" w:cs="SimSun"/>
          <w:sz w:val="21"/>
          <w:szCs w:val="21"/>
        </w:rPr>
      </w:pPr>
      <w:r>
        <w:rPr>
          <w:rFonts w:ascii="SimSun" w:hAnsi="SimSun" w:eastAsia="SimSun" w:cs="SimSun"/>
          <w:sz w:val="21"/>
          <w:szCs w:val="21"/>
          <w:spacing w:val="1"/>
        </w:rPr>
        <w:t>较上年末增长</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1"/>
        </w:rPr>
        <w:t>14.02%</w:t>
      </w:r>
      <w:r>
        <w:rPr>
          <w:rFonts w:ascii="SimSun" w:hAnsi="SimSun" w:eastAsia="SimSun" w:cs="SimSun"/>
          <w:sz w:val="21"/>
          <w:szCs w:val="21"/>
          <w:spacing w:val="1"/>
        </w:rPr>
        <w:t>,</w:t>
      </w:r>
      <w:r>
        <w:rPr>
          <w:rFonts w:ascii="SimSun" w:hAnsi="SimSun" w:eastAsia="SimSun" w:cs="SimSun"/>
          <w:sz w:val="21"/>
          <w:szCs w:val="21"/>
          <w:spacing w:val="27"/>
        </w:rPr>
        <w:t xml:space="preserve"> </w:t>
      </w:r>
      <w:r>
        <w:rPr>
          <w:rFonts w:ascii="SimSun" w:hAnsi="SimSun" w:eastAsia="SimSun" w:cs="SimSun"/>
          <w:sz w:val="21"/>
          <w:szCs w:val="21"/>
          <w:spacing w:val="1"/>
        </w:rPr>
        <w:t>增幅较集团贷款平均增幅高</w:t>
      </w:r>
      <w:r>
        <w:rPr>
          <w:rFonts w:ascii="SimSun" w:hAnsi="SimSun" w:eastAsia="SimSun" w:cs="SimSun"/>
          <w:sz w:val="21"/>
          <w:szCs w:val="21"/>
          <w:spacing w:val="-50"/>
        </w:rPr>
        <w:t xml:space="preserve"> </w:t>
      </w:r>
      <w:r>
        <w:rPr>
          <w:rFonts w:ascii="Times New Roman" w:hAnsi="Times New Roman" w:eastAsia="Times New Roman" w:cs="Times New Roman"/>
          <w:sz w:val="21"/>
          <w:szCs w:val="21"/>
          <w:spacing w:val="1"/>
        </w:rPr>
        <w:t>2.</w:t>
      </w:r>
      <w:r>
        <w:rPr>
          <w:rFonts w:ascii="Times New Roman" w:hAnsi="Times New Roman" w:eastAsia="Times New Roman" w:cs="Times New Roman"/>
          <w:sz w:val="21"/>
          <w:szCs w:val="21"/>
        </w:rPr>
        <w:t>80 </w:t>
      </w:r>
      <w:r>
        <w:rPr>
          <w:rFonts w:ascii="SimSun" w:hAnsi="SimSun" w:eastAsia="SimSun" w:cs="SimSun"/>
          <w:sz w:val="21"/>
          <w:szCs w:val="21"/>
        </w:rPr>
        <w:t>个百分点; 三大区域贷款余额占比</w:t>
      </w:r>
      <w:r>
        <w:rPr>
          <w:rFonts w:ascii="SimSun" w:hAnsi="SimSun" w:eastAsia="SimSun" w:cs="SimSun"/>
          <w:sz w:val="21"/>
          <w:szCs w:val="21"/>
          <w:spacing w:val="-41"/>
        </w:rPr>
        <w:t xml:space="preserve"> </w:t>
      </w:r>
      <w:r>
        <w:rPr>
          <w:rFonts w:ascii="Times New Roman" w:hAnsi="Times New Roman" w:eastAsia="Times New Roman" w:cs="Times New Roman"/>
          <w:sz w:val="21"/>
          <w:szCs w:val="21"/>
        </w:rPr>
        <w:t>53.47%</w:t>
      </w:r>
      <w:r>
        <w:rPr>
          <w:rFonts w:ascii="SimSun" w:hAnsi="SimSun" w:eastAsia="SimSun" w:cs="SimSun"/>
          <w:sz w:val="21"/>
          <w:szCs w:val="21"/>
        </w:rPr>
        <w:t>,较上 </w:t>
      </w:r>
      <w:r>
        <w:rPr>
          <w:rFonts w:ascii="SimSun" w:hAnsi="SimSun" w:eastAsia="SimSun" w:cs="SimSun"/>
          <w:sz w:val="21"/>
          <w:szCs w:val="21"/>
          <w:spacing w:val="-3"/>
        </w:rPr>
        <w:t>年末提升</w:t>
      </w:r>
      <w:r>
        <w:rPr>
          <w:rFonts w:ascii="SimSun" w:hAnsi="SimSun" w:eastAsia="SimSun" w:cs="SimSun"/>
          <w:sz w:val="21"/>
          <w:szCs w:val="21"/>
          <w:spacing w:val="-18"/>
        </w:rPr>
        <w:t xml:space="preserve"> </w:t>
      </w:r>
      <w:r>
        <w:rPr>
          <w:rFonts w:ascii="Times New Roman" w:hAnsi="Times New Roman" w:eastAsia="Times New Roman" w:cs="Times New Roman"/>
          <w:sz w:val="21"/>
          <w:szCs w:val="21"/>
          <w:spacing w:val="-3"/>
        </w:rPr>
        <w:t>1.32 </w:t>
      </w:r>
      <w:r>
        <w:rPr>
          <w:rFonts w:ascii="SimSun" w:hAnsi="SimSun" w:eastAsia="SimSun" w:cs="SimSun"/>
          <w:sz w:val="21"/>
          <w:szCs w:val="21"/>
          <w:spacing w:val="-3"/>
        </w:rPr>
        <w:t>个百分点。</w:t>
      </w:r>
    </w:p>
    <w:p>
      <w:pPr>
        <w:pStyle w:val="BodyText"/>
        <w:spacing w:line="241" w:lineRule="auto"/>
        <w:rPr/>
      </w:pPr>
      <w:r/>
    </w:p>
    <w:p>
      <w:pPr>
        <w:ind w:right="5" w:firstLine="439"/>
        <w:spacing w:before="68" w:line="267" w:lineRule="auto"/>
        <w:rPr>
          <w:rFonts w:ascii="SimSun" w:hAnsi="SimSun" w:eastAsia="SimSun" w:cs="SimSun"/>
          <w:sz w:val="21"/>
          <w:szCs w:val="21"/>
        </w:rPr>
      </w:pPr>
      <w:r>
        <w:rPr>
          <w:rFonts w:ascii="SimSun" w:hAnsi="SimSun" w:eastAsia="SimSun" w:cs="SimSun"/>
          <w:sz w:val="21"/>
          <w:szCs w:val="21"/>
          <w:spacing w:val="6"/>
        </w:rPr>
        <w:t>◆深化业务特色,</w:t>
      </w:r>
      <w:r>
        <w:rPr>
          <w:rFonts w:ascii="SimSun" w:hAnsi="SimSun" w:eastAsia="SimSun" w:cs="SimSun"/>
          <w:sz w:val="21"/>
          <w:szCs w:val="21"/>
          <w:spacing w:val="33"/>
        </w:rPr>
        <w:t xml:space="preserve"> </w:t>
      </w:r>
      <w:r>
        <w:rPr>
          <w:rFonts w:ascii="SimSun" w:hAnsi="SimSun" w:eastAsia="SimSun" w:cs="SimSun"/>
          <w:sz w:val="21"/>
          <w:szCs w:val="21"/>
          <w:spacing w:val="6"/>
        </w:rPr>
        <w:t>科技金融与产业链金融快速发展</w:t>
      </w:r>
      <w:r>
        <w:rPr>
          <w:rFonts w:ascii="SimSun" w:hAnsi="SimSun" w:eastAsia="SimSun" w:cs="SimSun"/>
          <w:sz w:val="21"/>
          <w:szCs w:val="21"/>
          <w:spacing w:val="5"/>
        </w:rPr>
        <w:t>。报告期末,科技金融授信客户数较上年末增长</w:t>
      </w:r>
      <w:r>
        <w:rPr>
          <w:rFonts w:ascii="SimSun" w:hAnsi="SimSun" w:eastAsia="SimSun" w:cs="SimSun"/>
          <w:sz w:val="21"/>
          <w:szCs w:val="21"/>
        </w:rPr>
        <w:t xml:space="preserve"> </w:t>
      </w:r>
      <w:r>
        <w:rPr>
          <w:rFonts w:ascii="Times New Roman" w:hAnsi="Times New Roman" w:eastAsia="Times New Roman" w:cs="Times New Roman"/>
          <w:sz w:val="21"/>
          <w:szCs w:val="21"/>
          <w:spacing w:val="1"/>
        </w:rPr>
        <w:t>49.55%</w:t>
      </w:r>
      <w:r>
        <w:rPr>
          <w:rFonts w:ascii="SimSun" w:hAnsi="SimSun" w:eastAsia="SimSun" w:cs="SimSun"/>
          <w:sz w:val="21"/>
          <w:szCs w:val="21"/>
          <w:spacing w:val="1"/>
        </w:rPr>
        <w:t>,战略性新兴产业贷款余额较上年末增长</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1"/>
        </w:rPr>
        <w:t>109.88%</w:t>
      </w:r>
      <w:r>
        <w:rPr>
          <w:rFonts w:ascii="SimSun" w:hAnsi="SimSun" w:eastAsia="SimSun" w:cs="SimSun"/>
          <w:sz w:val="21"/>
          <w:szCs w:val="21"/>
          <w:spacing w:val="1"/>
        </w:rPr>
        <w:t>;</w:t>
      </w:r>
      <w:r>
        <w:rPr>
          <w:rFonts w:ascii="SimSun" w:hAnsi="SimSun" w:eastAsia="SimSun" w:cs="SimSun"/>
          <w:sz w:val="21"/>
          <w:szCs w:val="21"/>
          <w:spacing w:val="28"/>
        </w:rPr>
        <w:t xml:space="preserve"> </w:t>
      </w:r>
      <w:r>
        <w:rPr>
          <w:rFonts w:ascii="SimSun" w:hAnsi="SimSun" w:eastAsia="SimSun" w:cs="SimSun"/>
          <w:sz w:val="21"/>
          <w:szCs w:val="21"/>
          <w:spacing w:val="1"/>
        </w:rPr>
        <w:t>产业链金融业务量同比增长</w:t>
      </w:r>
      <w:r>
        <w:rPr>
          <w:rFonts w:ascii="SimSun" w:hAnsi="SimSun" w:eastAsia="SimSun" w:cs="SimSun"/>
          <w:sz w:val="21"/>
          <w:szCs w:val="21"/>
          <w:spacing w:val="-49"/>
        </w:rPr>
        <w:t xml:space="preserve"> </w:t>
      </w:r>
      <w:r>
        <w:rPr>
          <w:rFonts w:ascii="Times New Roman" w:hAnsi="Times New Roman" w:eastAsia="Times New Roman" w:cs="Times New Roman"/>
          <w:sz w:val="21"/>
          <w:szCs w:val="21"/>
          <w:spacing w:val="1"/>
        </w:rPr>
        <w:t>41.92%</w:t>
      </w:r>
      <w:r>
        <w:rPr>
          <w:rFonts w:ascii="SimSun" w:hAnsi="SimSun" w:eastAsia="SimSun" w:cs="SimSun"/>
          <w:sz w:val="21"/>
          <w:szCs w:val="21"/>
          <w:spacing w:val="1"/>
        </w:rPr>
        <w:t>。</w:t>
      </w:r>
    </w:p>
    <w:p>
      <w:pPr>
        <w:pStyle w:val="BodyText"/>
        <w:spacing w:line="241" w:lineRule="auto"/>
        <w:rPr/>
      </w:pPr>
      <w:r/>
    </w:p>
    <w:p>
      <w:pPr>
        <w:ind w:left="433"/>
        <w:spacing w:before="68" w:line="222"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4"/>
        </w:rPr>
        <w:t>1.</w:t>
      </w:r>
      <w:r>
        <w:rPr>
          <w:rFonts w:ascii="SimSun" w:hAnsi="SimSun" w:eastAsia="SimSun" w:cs="SimSun"/>
          <w:sz w:val="21"/>
          <w:szCs w:val="21"/>
          <w:b/>
          <w:bCs/>
          <w:spacing w:val="-4"/>
        </w:rPr>
        <w:t>客户发展</w:t>
      </w:r>
    </w:p>
    <w:p>
      <w:pPr>
        <w:ind w:left="6" w:right="2" w:firstLine="421"/>
        <w:spacing w:before="306" w:line="269" w:lineRule="auto"/>
        <w:rPr>
          <w:rFonts w:ascii="SimSun" w:hAnsi="SimSun" w:eastAsia="SimSun" w:cs="SimSun"/>
          <w:sz w:val="21"/>
          <w:szCs w:val="21"/>
        </w:rPr>
      </w:pPr>
      <w:r>
        <w:rPr>
          <w:rFonts w:ascii="SimSun" w:hAnsi="SimSun" w:eastAsia="SimSun" w:cs="SimSun"/>
          <w:sz w:val="21"/>
          <w:szCs w:val="21"/>
          <w:spacing w:val="-1"/>
        </w:rPr>
        <w:t>持续优化对公客户分层分类管理, 搭建精细化、专业化服务体系。报告期</w:t>
      </w:r>
      <w:r>
        <w:rPr>
          <w:rFonts w:ascii="SimSun" w:hAnsi="SimSun" w:eastAsia="SimSun" w:cs="SimSun"/>
          <w:sz w:val="21"/>
          <w:szCs w:val="21"/>
          <w:spacing w:val="-2"/>
        </w:rPr>
        <w:t>末,</w:t>
      </w:r>
      <w:r>
        <w:rPr>
          <w:rFonts w:ascii="SimSun" w:hAnsi="SimSun" w:eastAsia="SimSun" w:cs="SimSun"/>
          <w:sz w:val="21"/>
          <w:szCs w:val="21"/>
          <w:spacing w:val="27"/>
        </w:rPr>
        <w:t xml:space="preserve"> </w:t>
      </w:r>
      <w:r>
        <w:rPr>
          <w:rFonts w:ascii="SimSun" w:hAnsi="SimSun" w:eastAsia="SimSun" w:cs="SimSun"/>
          <w:sz w:val="21"/>
          <w:szCs w:val="21"/>
          <w:spacing w:val="-2"/>
        </w:rPr>
        <w:t>境内行对公客户总数较</w:t>
      </w:r>
      <w:r>
        <w:rPr>
          <w:rFonts w:ascii="SimSun" w:hAnsi="SimSun" w:eastAsia="SimSun" w:cs="SimSun"/>
          <w:sz w:val="21"/>
          <w:szCs w:val="21"/>
        </w:rPr>
        <w:t xml:space="preserve"> </w:t>
      </w:r>
      <w:r>
        <w:rPr>
          <w:rFonts w:ascii="SimSun" w:hAnsi="SimSun" w:eastAsia="SimSun" w:cs="SimSun"/>
          <w:sz w:val="21"/>
          <w:szCs w:val="21"/>
          <w:spacing w:val="-3"/>
        </w:rPr>
        <w:t>上年末增长</w:t>
      </w:r>
      <w:r>
        <w:rPr>
          <w:rFonts w:ascii="SimSun" w:hAnsi="SimSun" w:eastAsia="SimSun" w:cs="SimSun"/>
          <w:sz w:val="21"/>
          <w:szCs w:val="21"/>
          <w:spacing w:val="-25"/>
        </w:rPr>
        <w:t xml:space="preserve"> </w:t>
      </w:r>
      <w:r>
        <w:rPr>
          <w:rFonts w:ascii="Times New Roman" w:hAnsi="Times New Roman" w:eastAsia="Times New Roman" w:cs="Times New Roman"/>
          <w:sz w:val="21"/>
          <w:szCs w:val="21"/>
          <w:spacing w:val="-3"/>
        </w:rPr>
        <w:t>10.91%</w:t>
      </w:r>
      <w:r>
        <w:rPr>
          <w:rFonts w:ascii="SimSun" w:hAnsi="SimSun" w:eastAsia="SimSun" w:cs="SimSun"/>
          <w:sz w:val="21"/>
          <w:szCs w:val="21"/>
          <w:spacing w:val="-3"/>
        </w:rPr>
        <w:t>。</w:t>
      </w:r>
    </w:p>
    <w:p>
      <w:pPr>
        <w:pStyle w:val="BodyText"/>
        <w:spacing w:line="241" w:lineRule="auto"/>
        <w:rPr/>
      </w:pPr>
      <w:r/>
    </w:p>
    <w:p>
      <w:pPr>
        <w:ind w:left="4" w:firstLine="420"/>
        <w:spacing w:before="68" w:line="300" w:lineRule="auto"/>
        <w:jc w:val="both"/>
        <w:rPr>
          <w:rFonts w:ascii="SimSun" w:hAnsi="SimSun" w:eastAsia="SimSun" w:cs="SimSun"/>
          <w:sz w:val="21"/>
          <w:szCs w:val="21"/>
        </w:rPr>
      </w:pPr>
      <w:r>
        <w:rPr>
          <w:rFonts w:ascii="SimSun" w:hAnsi="SimSun" w:eastAsia="SimSun" w:cs="SimSun"/>
          <w:sz w:val="21"/>
          <w:szCs w:val="21"/>
        </w:rPr>
        <w:t>集团客户方面, 加大对制造强国、交通强国等</w:t>
      </w:r>
      <w:r>
        <w:rPr>
          <w:rFonts w:ascii="SimSun" w:hAnsi="SimSun" w:eastAsia="SimSun" w:cs="SimSun"/>
          <w:sz w:val="21"/>
          <w:szCs w:val="21"/>
          <w:spacing w:val="-1"/>
        </w:rPr>
        <w:t>国家战略的服务与支持力度, 持续优化授信管理政策和</w:t>
      </w:r>
      <w:r>
        <w:rPr>
          <w:rFonts w:ascii="SimSun" w:hAnsi="SimSun" w:eastAsia="SimSun" w:cs="SimSun"/>
          <w:sz w:val="21"/>
          <w:szCs w:val="21"/>
        </w:rPr>
        <w:t xml:space="preserve"> </w:t>
      </w:r>
      <w:r>
        <w:rPr>
          <w:rFonts w:ascii="SimSun" w:hAnsi="SimSun" w:eastAsia="SimSun" w:cs="SimSun"/>
          <w:sz w:val="21"/>
          <w:szCs w:val="21"/>
          <w:spacing w:val="-2"/>
        </w:rPr>
        <w:t>流程, 建立全集团一体化协同服务体系, 提高集团客户服务水平。报告期末, 集团客户成员</w:t>
      </w:r>
      <w:r>
        <w:rPr>
          <w:rFonts w:ascii="SimSun" w:hAnsi="SimSun" w:eastAsia="SimSun" w:cs="SimSun"/>
          <w:sz w:val="21"/>
          <w:szCs w:val="21"/>
          <w:spacing w:val="-39"/>
        </w:rPr>
        <w:t xml:space="preserve"> </w:t>
      </w:r>
      <w:r>
        <w:rPr>
          <w:rFonts w:ascii="Times New Roman" w:hAnsi="Times New Roman" w:eastAsia="Times New Roman" w:cs="Times New Roman"/>
          <w:sz w:val="21"/>
          <w:szCs w:val="21"/>
          <w:spacing w:val="-2"/>
        </w:rPr>
        <w:t>8.87</w:t>
      </w:r>
      <w:r>
        <w:rPr>
          <w:rFonts w:ascii="Times New Roman" w:hAnsi="Times New Roman" w:eastAsia="Times New Roman" w:cs="Times New Roman"/>
          <w:sz w:val="21"/>
          <w:szCs w:val="21"/>
          <w:spacing w:val="14"/>
        </w:rPr>
        <w:t xml:space="preserve"> </w:t>
      </w:r>
      <w:r>
        <w:rPr>
          <w:rFonts w:ascii="SimSun" w:hAnsi="SimSun" w:eastAsia="SimSun" w:cs="SimSun"/>
          <w:sz w:val="21"/>
          <w:szCs w:val="21"/>
          <w:spacing w:val="-3"/>
        </w:rPr>
        <w:t>万户, 较</w:t>
      </w:r>
      <w:r>
        <w:rPr>
          <w:rFonts w:ascii="SimSun" w:hAnsi="SimSun" w:eastAsia="SimSun" w:cs="SimSun"/>
          <w:sz w:val="21"/>
          <w:szCs w:val="21"/>
        </w:rPr>
        <w:t xml:space="preserve"> </w:t>
      </w:r>
      <w:r>
        <w:rPr>
          <w:rFonts w:ascii="SimSun" w:hAnsi="SimSun" w:eastAsia="SimSun" w:cs="SimSun"/>
          <w:sz w:val="21"/>
          <w:szCs w:val="21"/>
          <w:spacing w:val="-2"/>
        </w:rPr>
        <w:t>上年末增加</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2"/>
        </w:rPr>
        <w:t>11,987 </w:t>
      </w:r>
      <w:r>
        <w:rPr>
          <w:rFonts w:ascii="SimSun" w:hAnsi="SimSun" w:eastAsia="SimSun" w:cs="SimSun"/>
          <w:sz w:val="21"/>
          <w:szCs w:val="21"/>
          <w:spacing w:val="-2"/>
        </w:rPr>
        <w:t>户。政府机构客户方面, 积极参与数字政府建设和城市数字化转型进程, 助力提供便捷</w:t>
      </w:r>
      <w:r>
        <w:rPr>
          <w:rFonts w:ascii="SimSun" w:hAnsi="SimSun" w:eastAsia="SimSun" w:cs="SimSun"/>
          <w:sz w:val="21"/>
          <w:szCs w:val="21"/>
        </w:rPr>
        <w:t xml:space="preserve"> </w:t>
      </w:r>
      <w:r>
        <w:rPr>
          <w:rFonts w:ascii="SimSun" w:hAnsi="SimSun" w:eastAsia="SimSun" w:cs="SimSun"/>
          <w:sz w:val="21"/>
          <w:szCs w:val="21"/>
          <w:spacing w:val="-1"/>
        </w:rPr>
        <w:t>化政务服务,</w:t>
      </w:r>
      <w:r>
        <w:rPr>
          <w:rFonts w:ascii="SimSun" w:hAnsi="SimSun" w:eastAsia="SimSun" w:cs="SimSun"/>
          <w:sz w:val="21"/>
          <w:szCs w:val="21"/>
          <w:spacing w:val="29"/>
        </w:rPr>
        <w:t xml:space="preserve"> </w:t>
      </w:r>
      <w:r>
        <w:rPr>
          <w:rFonts w:ascii="SimSun" w:hAnsi="SimSun" w:eastAsia="SimSun" w:cs="SimSun"/>
          <w:sz w:val="21"/>
          <w:szCs w:val="21"/>
          <w:spacing w:val="-1"/>
        </w:rPr>
        <w:t>打造智慧政务产品体系。报告期末, 政府机构</w:t>
      </w:r>
      <w:r>
        <w:rPr>
          <w:rFonts w:ascii="SimSun" w:hAnsi="SimSun" w:eastAsia="SimSun" w:cs="SimSun"/>
          <w:sz w:val="21"/>
          <w:szCs w:val="21"/>
          <w:spacing w:val="-2"/>
        </w:rPr>
        <w:t>客户</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2"/>
        </w:rPr>
        <w:t>7.40 </w:t>
      </w:r>
      <w:r>
        <w:rPr>
          <w:rFonts w:ascii="SimSun" w:hAnsi="SimSun" w:eastAsia="SimSun" w:cs="SimSun"/>
          <w:sz w:val="21"/>
          <w:szCs w:val="21"/>
          <w:spacing w:val="-2"/>
        </w:rPr>
        <w:t>万户, 较上年末增加</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2"/>
        </w:rPr>
        <w:t>3,599</w:t>
      </w:r>
      <w:r>
        <w:rPr>
          <w:rFonts w:ascii="Times New Roman" w:hAnsi="Times New Roman" w:eastAsia="Times New Roman" w:cs="Times New Roman"/>
          <w:sz w:val="21"/>
          <w:szCs w:val="21"/>
          <w:spacing w:val="6"/>
        </w:rPr>
        <w:t xml:space="preserve"> </w:t>
      </w:r>
      <w:r>
        <w:rPr>
          <w:rFonts w:ascii="SimSun" w:hAnsi="SimSun" w:eastAsia="SimSun" w:cs="SimSun"/>
          <w:sz w:val="21"/>
          <w:szCs w:val="21"/>
          <w:spacing w:val="-2"/>
        </w:rPr>
        <w:t>户。小微</w:t>
      </w:r>
      <w:r>
        <w:rPr>
          <w:rFonts w:ascii="SimSun" w:hAnsi="SimSun" w:eastAsia="SimSun" w:cs="SimSun"/>
          <w:sz w:val="21"/>
          <w:szCs w:val="21"/>
        </w:rPr>
        <w:t xml:space="preserve"> </w:t>
      </w:r>
      <w:r>
        <w:rPr>
          <w:rFonts w:ascii="SimSun" w:hAnsi="SimSun" w:eastAsia="SimSun" w:cs="SimSun"/>
          <w:sz w:val="21"/>
          <w:szCs w:val="21"/>
          <w:spacing w:val="5"/>
        </w:rPr>
        <w:t>基础客户方面,</w:t>
      </w:r>
      <w:r>
        <w:rPr>
          <w:rFonts w:ascii="SimSun" w:hAnsi="SimSun" w:eastAsia="SimSun" w:cs="SimSun"/>
          <w:sz w:val="21"/>
          <w:szCs w:val="21"/>
          <w:spacing w:val="30"/>
        </w:rPr>
        <w:t xml:space="preserve"> </w:t>
      </w:r>
      <w:r>
        <w:rPr>
          <w:rFonts w:ascii="SimSun" w:hAnsi="SimSun" w:eastAsia="SimSun" w:cs="SimSun"/>
          <w:sz w:val="21"/>
          <w:szCs w:val="21"/>
          <w:spacing w:val="5"/>
        </w:rPr>
        <w:t>进一步推行小微基础客群"线上管、远程管",搭建外</w:t>
      </w:r>
      <w:r>
        <w:rPr>
          <w:rFonts w:ascii="SimSun" w:hAnsi="SimSun" w:eastAsia="SimSun" w:cs="SimSun"/>
          <w:sz w:val="21"/>
          <w:szCs w:val="21"/>
          <w:spacing w:val="4"/>
        </w:rPr>
        <w:t>呼策略支持体系,</w:t>
      </w:r>
      <w:r>
        <w:rPr>
          <w:rFonts w:ascii="SimSun" w:hAnsi="SimSun" w:eastAsia="SimSun" w:cs="SimSun"/>
          <w:sz w:val="21"/>
          <w:szCs w:val="21"/>
          <w:spacing w:val="39"/>
        </w:rPr>
        <w:t xml:space="preserve"> </w:t>
      </w:r>
      <w:r>
        <w:rPr>
          <w:rFonts w:ascii="SimSun" w:hAnsi="SimSun" w:eastAsia="SimSun" w:cs="SimSun"/>
          <w:sz w:val="21"/>
          <w:szCs w:val="21"/>
          <w:spacing w:val="4"/>
        </w:rPr>
        <w:t>强化数字化营销</w:t>
      </w:r>
      <w:r>
        <w:rPr>
          <w:rFonts w:ascii="SimSun" w:hAnsi="SimSun" w:eastAsia="SimSun" w:cs="SimSun"/>
          <w:sz w:val="21"/>
          <w:szCs w:val="21"/>
        </w:rPr>
        <w:t xml:space="preserve"> </w:t>
      </w:r>
      <w:r>
        <w:rPr>
          <w:rFonts w:ascii="SimSun" w:hAnsi="SimSun" w:eastAsia="SimSun" w:cs="SimSun"/>
          <w:sz w:val="21"/>
          <w:szCs w:val="21"/>
          <w:spacing w:val="4"/>
        </w:rPr>
        <w:t>支持,</w:t>
      </w:r>
      <w:r>
        <w:rPr>
          <w:rFonts w:ascii="SimSun" w:hAnsi="SimSun" w:eastAsia="SimSun" w:cs="SimSun"/>
          <w:sz w:val="21"/>
          <w:szCs w:val="21"/>
          <w:spacing w:val="30"/>
        </w:rPr>
        <w:t xml:space="preserve"> </w:t>
      </w:r>
      <w:r>
        <w:rPr>
          <w:rFonts w:ascii="SimSun" w:hAnsi="SimSun" w:eastAsia="SimSun" w:cs="SimSun"/>
          <w:sz w:val="21"/>
          <w:szCs w:val="21"/>
          <w:spacing w:val="4"/>
        </w:rPr>
        <w:t>提升基础客群服务。报告期末,小微基础客户</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4"/>
        </w:rPr>
        <w:t>2</w:t>
      </w:r>
      <w:r>
        <w:rPr>
          <w:rFonts w:ascii="Times New Roman" w:hAnsi="Times New Roman" w:eastAsia="Times New Roman" w:cs="Times New Roman"/>
          <w:sz w:val="21"/>
          <w:szCs w:val="21"/>
          <w:spacing w:val="3"/>
        </w:rPr>
        <w:t>25.58 </w:t>
      </w:r>
      <w:r>
        <w:rPr>
          <w:rFonts w:ascii="SimSun" w:hAnsi="SimSun" w:eastAsia="SimSun" w:cs="SimSun"/>
          <w:sz w:val="21"/>
          <w:szCs w:val="21"/>
          <w:spacing w:val="3"/>
        </w:rPr>
        <w:t>万户,较上年末增加</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22.36 </w:t>
      </w:r>
      <w:r>
        <w:rPr>
          <w:rFonts w:ascii="SimSun" w:hAnsi="SimSun" w:eastAsia="SimSun" w:cs="SimSun"/>
          <w:sz w:val="21"/>
          <w:szCs w:val="21"/>
          <w:spacing w:val="3"/>
        </w:rPr>
        <w:t>万户。</w:t>
      </w:r>
    </w:p>
    <w:p>
      <w:pPr>
        <w:pStyle w:val="BodyText"/>
        <w:spacing w:line="241" w:lineRule="auto"/>
        <w:rPr/>
      </w:pPr>
      <w:r/>
    </w:p>
    <w:p>
      <w:pPr>
        <w:ind w:left="424"/>
        <w:spacing w:before="69"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2.</w:t>
      </w:r>
      <w:r>
        <w:rPr>
          <w:rFonts w:ascii="SimSun" w:hAnsi="SimSun" w:eastAsia="SimSun" w:cs="SimSun"/>
          <w:sz w:val="21"/>
          <w:szCs w:val="21"/>
          <w:b/>
          <w:bCs/>
          <w:spacing w:val="-2"/>
        </w:rPr>
        <w:t>场景建设</w:t>
      </w:r>
    </w:p>
    <w:p>
      <w:pPr>
        <w:ind w:left="4" w:firstLine="445"/>
        <w:spacing w:before="309" w:line="300" w:lineRule="auto"/>
        <w:jc w:val="both"/>
        <w:rPr>
          <w:rFonts w:ascii="SimSun" w:hAnsi="SimSun" w:eastAsia="SimSun" w:cs="SimSun"/>
          <w:sz w:val="21"/>
          <w:szCs w:val="21"/>
        </w:rPr>
      </w:pPr>
      <w:r>
        <w:rPr>
          <w:rFonts w:ascii="SimSun" w:hAnsi="SimSun" w:eastAsia="SimSun" w:cs="SimSun"/>
          <w:sz w:val="21"/>
          <w:szCs w:val="21"/>
          <w:spacing w:val="-1"/>
        </w:rPr>
        <w:t>以数字化思维深耕场景建设, 在医疗、学校、园区、央企司库等细分领域成效显现。信用就</w:t>
      </w:r>
      <w:r>
        <w:rPr>
          <w:rFonts w:ascii="SimSun" w:hAnsi="SimSun" w:eastAsia="SimSun" w:cs="SimSun"/>
          <w:sz w:val="21"/>
          <w:szCs w:val="21"/>
          <w:spacing w:val="-2"/>
        </w:rPr>
        <w:t>医已先后</w:t>
      </w:r>
      <w:r>
        <w:rPr>
          <w:rFonts w:ascii="SimSun" w:hAnsi="SimSun" w:eastAsia="SimSun" w:cs="SimSun"/>
          <w:sz w:val="21"/>
          <w:szCs w:val="21"/>
        </w:rPr>
        <w:t xml:space="preserve"> </w:t>
      </w:r>
      <w:r>
        <w:rPr>
          <w:rFonts w:ascii="SimSun" w:hAnsi="SimSun" w:eastAsia="SimSun" w:cs="SimSun"/>
          <w:sz w:val="21"/>
          <w:szCs w:val="21"/>
          <w:spacing w:val="6"/>
        </w:rPr>
        <w:t>在上海、南京、大连、广州、昆明等 </w:t>
      </w:r>
      <w:r>
        <w:rPr>
          <w:rFonts w:ascii="Times New Roman" w:hAnsi="Times New Roman" w:eastAsia="Times New Roman" w:cs="Times New Roman"/>
          <w:sz w:val="21"/>
          <w:szCs w:val="21"/>
          <w:spacing w:val="6"/>
        </w:rPr>
        <w:t>45</w:t>
      </w:r>
      <w:r>
        <w:rPr>
          <w:rFonts w:ascii="Times New Roman" w:hAnsi="Times New Roman" w:eastAsia="Times New Roman" w:cs="Times New Roman"/>
          <w:sz w:val="21"/>
          <w:szCs w:val="21"/>
          <w:spacing w:val="56"/>
        </w:rPr>
        <w:t xml:space="preserve"> </w:t>
      </w:r>
      <w:r>
        <w:rPr>
          <w:rFonts w:ascii="SimSun" w:hAnsi="SimSun" w:eastAsia="SimSun" w:cs="SimSun"/>
          <w:sz w:val="21"/>
          <w:szCs w:val="21"/>
          <w:spacing w:val="6"/>
        </w:rPr>
        <w:t>个城市上线,通过"先诊疗后付费"新模式, 解决人民群众就医</w:t>
      </w:r>
      <w:r>
        <w:rPr>
          <w:rFonts w:ascii="SimSun" w:hAnsi="SimSun" w:eastAsia="SimSun" w:cs="SimSun"/>
          <w:sz w:val="21"/>
          <w:szCs w:val="21"/>
        </w:rPr>
        <w:t xml:space="preserve"> </w:t>
      </w:r>
      <w:r>
        <w:rPr>
          <w:rFonts w:ascii="SimSun" w:hAnsi="SimSun" w:eastAsia="SimSun" w:cs="SimSun"/>
          <w:sz w:val="21"/>
          <w:szCs w:val="21"/>
          <w:spacing w:val="6"/>
        </w:rPr>
        <w:t>排队难题。交银慧校服务能力持续提升,建成"教</w:t>
      </w:r>
      <w:r>
        <w:rPr>
          <w:rFonts w:ascii="SimSun" w:hAnsi="SimSun" w:eastAsia="SimSun" w:cs="SimSun"/>
          <w:sz w:val="21"/>
          <w:szCs w:val="21"/>
          <w:spacing w:val="5"/>
        </w:rPr>
        <w:t>育管理信息化服务平台",</w:t>
      </w:r>
      <w:r>
        <w:rPr>
          <w:rFonts w:ascii="SimSun" w:hAnsi="SimSun" w:eastAsia="SimSun" w:cs="SimSun"/>
          <w:sz w:val="21"/>
          <w:szCs w:val="21"/>
          <w:spacing w:val="35"/>
        </w:rPr>
        <w:t xml:space="preserve"> </w:t>
      </w:r>
      <w:r>
        <w:rPr>
          <w:rFonts w:ascii="SimSun" w:hAnsi="SimSun" w:eastAsia="SimSun" w:cs="SimSun"/>
          <w:sz w:val="21"/>
          <w:szCs w:val="21"/>
          <w:spacing w:val="5"/>
        </w:rPr>
        <w:t>功能覆盖缴费对账、资金监</w:t>
      </w:r>
      <w:r>
        <w:rPr>
          <w:rFonts w:ascii="SimSun" w:hAnsi="SimSun" w:eastAsia="SimSun" w:cs="SimSun"/>
          <w:sz w:val="21"/>
          <w:szCs w:val="21"/>
        </w:rPr>
        <w:t xml:space="preserve"> </w:t>
      </w:r>
      <w:r>
        <w:rPr>
          <w:rFonts w:ascii="SimSun" w:hAnsi="SimSun" w:eastAsia="SimSun" w:cs="SimSun"/>
          <w:sz w:val="21"/>
          <w:szCs w:val="21"/>
          <w:spacing w:val="4"/>
        </w:rPr>
        <w:t>管、资质备案、年检年审等,精准服务教育行业细分客群。智慧金服平台累计签约客户突</w:t>
      </w:r>
      <w:r>
        <w:rPr>
          <w:rFonts w:ascii="SimSun" w:hAnsi="SimSun" w:eastAsia="SimSun" w:cs="SimSun"/>
          <w:sz w:val="21"/>
          <w:szCs w:val="21"/>
          <w:spacing w:val="3"/>
        </w:rPr>
        <w:t>破 </w:t>
      </w:r>
      <w:r>
        <w:rPr>
          <w:rFonts w:ascii="Times New Roman" w:hAnsi="Times New Roman" w:eastAsia="Times New Roman" w:cs="Times New Roman"/>
          <w:sz w:val="21"/>
          <w:szCs w:val="21"/>
          <w:spacing w:val="3"/>
        </w:rPr>
        <w:t>11  </w:t>
      </w:r>
      <w:r>
        <w:rPr>
          <w:rFonts w:ascii="SimSun" w:hAnsi="SimSun" w:eastAsia="SimSun" w:cs="SimSun"/>
          <w:sz w:val="21"/>
          <w:szCs w:val="21"/>
          <w:spacing w:val="3"/>
        </w:rPr>
        <w:t>万户,较</w:t>
      </w:r>
      <w:r>
        <w:rPr>
          <w:rFonts w:ascii="SimSun" w:hAnsi="SimSun" w:eastAsia="SimSun" w:cs="SimSun"/>
          <w:sz w:val="21"/>
          <w:szCs w:val="21"/>
        </w:rPr>
        <w:t xml:space="preserve"> </w:t>
      </w:r>
      <w:r>
        <w:rPr>
          <w:rFonts w:ascii="SimSun" w:hAnsi="SimSun" w:eastAsia="SimSun" w:cs="SimSun"/>
          <w:sz w:val="21"/>
          <w:szCs w:val="21"/>
          <w:spacing w:val="-3"/>
        </w:rPr>
        <w:t>上年末新增</w:t>
      </w:r>
      <w:r>
        <w:rPr>
          <w:rFonts w:ascii="SimSun" w:hAnsi="SimSun" w:eastAsia="SimSun" w:cs="SimSun"/>
          <w:sz w:val="21"/>
          <w:szCs w:val="21"/>
          <w:spacing w:val="-31"/>
        </w:rPr>
        <w:t xml:space="preserve"> </w:t>
      </w:r>
      <w:r>
        <w:rPr>
          <w:rFonts w:ascii="Times New Roman" w:hAnsi="Times New Roman" w:eastAsia="Times New Roman" w:cs="Times New Roman"/>
          <w:sz w:val="21"/>
          <w:szCs w:val="21"/>
          <w:spacing w:val="-3"/>
        </w:rPr>
        <w:t>3.16</w:t>
      </w:r>
      <w:r>
        <w:rPr>
          <w:rFonts w:ascii="Times New Roman" w:hAnsi="Times New Roman" w:eastAsia="Times New Roman" w:cs="Times New Roman"/>
          <w:sz w:val="21"/>
          <w:szCs w:val="21"/>
          <w:spacing w:val="13"/>
          <w:w w:val="101"/>
        </w:rPr>
        <w:t xml:space="preserve"> </w:t>
      </w:r>
      <w:r>
        <w:rPr>
          <w:rFonts w:ascii="SimSun" w:hAnsi="SimSun" w:eastAsia="SimSun" w:cs="SimSun"/>
          <w:sz w:val="21"/>
          <w:szCs w:val="21"/>
          <w:spacing w:val="-3"/>
        </w:rPr>
        <w:t>万户,</w:t>
      </w:r>
      <w:r>
        <w:rPr>
          <w:rFonts w:ascii="SimSun" w:hAnsi="SimSun" w:eastAsia="SimSun" w:cs="SimSun"/>
          <w:sz w:val="21"/>
          <w:szCs w:val="21"/>
          <w:spacing w:val="29"/>
        </w:rPr>
        <w:t xml:space="preserve"> </w:t>
      </w:r>
      <w:r>
        <w:rPr>
          <w:rFonts w:ascii="SimSun" w:hAnsi="SimSun" w:eastAsia="SimSun" w:cs="SimSun"/>
          <w:sz w:val="21"/>
          <w:szCs w:val="21"/>
          <w:spacing w:val="-3"/>
        </w:rPr>
        <w:t>收款结算量</w:t>
      </w:r>
      <w:r>
        <w:rPr>
          <w:rFonts w:ascii="SimSun" w:hAnsi="SimSun" w:eastAsia="SimSun" w:cs="SimSun"/>
          <w:sz w:val="21"/>
          <w:szCs w:val="21"/>
          <w:spacing w:val="-39"/>
        </w:rPr>
        <w:t xml:space="preserve"> </w:t>
      </w:r>
      <w:r>
        <w:rPr>
          <w:rFonts w:ascii="Times New Roman" w:hAnsi="Times New Roman" w:eastAsia="Times New Roman" w:cs="Times New Roman"/>
          <w:sz w:val="21"/>
          <w:szCs w:val="21"/>
          <w:spacing w:val="-3"/>
        </w:rPr>
        <w:t>8,980.86 </w:t>
      </w:r>
      <w:r>
        <w:rPr>
          <w:rFonts w:ascii="SimSun" w:hAnsi="SimSun" w:eastAsia="SimSun" w:cs="SimSun"/>
          <w:sz w:val="21"/>
          <w:szCs w:val="21"/>
          <w:spacing w:val="-3"/>
        </w:rPr>
        <w:t>亿元,</w:t>
      </w:r>
      <w:r>
        <w:rPr>
          <w:rFonts w:ascii="SimSun" w:hAnsi="SimSun" w:eastAsia="SimSun" w:cs="SimSun"/>
          <w:sz w:val="21"/>
          <w:szCs w:val="21"/>
          <w:spacing w:val="42"/>
        </w:rPr>
        <w:t xml:space="preserve"> </w:t>
      </w:r>
      <w:r>
        <w:rPr>
          <w:rFonts w:ascii="SimSun" w:hAnsi="SimSun" w:eastAsia="SimSun" w:cs="SimSun"/>
          <w:sz w:val="21"/>
          <w:szCs w:val="21"/>
          <w:spacing w:val="-3"/>
        </w:rPr>
        <w:t>同比增长</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3"/>
        </w:rPr>
        <w:t>274.86%</w:t>
      </w:r>
      <w:r>
        <w:rPr>
          <w:rFonts w:ascii="SimSun" w:hAnsi="SimSun" w:eastAsia="SimSun" w:cs="SimSun"/>
          <w:sz w:val="21"/>
          <w:szCs w:val="21"/>
          <w:spacing w:val="-3"/>
        </w:rPr>
        <w:t>。推出账户管理、支付结算、境内资</w:t>
      </w:r>
      <w:r>
        <w:rPr>
          <w:rFonts w:ascii="SimSun" w:hAnsi="SimSun" w:eastAsia="SimSun" w:cs="SimSun"/>
          <w:sz w:val="21"/>
          <w:szCs w:val="21"/>
        </w:rPr>
        <w:t xml:space="preserve"> </w:t>
      </w:r>
      <w:r>
        <w:rPr>
          <w:rFonts w:ascii="SimSun" w:hAnsi="SimSun" w:eastAsia="SimSun" w:cs="SimSun"/>
          <w:sz w:val="21"/>
          <w:szCs w:val="21"/>
          <w:spacing w:val="3"/>
        </w:rPr>
        <w:t>金归集、境外可视可控、票据管理、系统对</w:t>
      </w:r>
      <w:r>
        <w:rPr>
          <w:rFonts w:ascii="SimSun" w:hAnsi="SimSun" w:eastAsia="SimSun" w:cs="SimSun"/>
          <w:sz w:val="21"/>
          <w:szCs w:val="21"/>
          <w:spacing w:val="2"/>
        </w:rPr>
        <w:t>接等十大司库服务,更好服务央企集团司库体系建设。</w:t>
      </w:r>
    </w:p>
    <w:p>
      <w:pPr>
        <w:pStyle w:val="BodyText"/>
        <w:spacing w:line="243" w:lineRule="auto"/>
        <w:rPr/>
      </w:pPr>
      <w:r/>
    </w:p>
    <w:p>
      <w:pPr>
        <w:ind w:left="422"/>
        <w:spacing w:before="69"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3.</w:t>
      </w:r>
      <w:r>
        <w:rPr>
          <w:rFonts w:ascii="SimSun" w:hAnsi="SimSun" w:eastAsia="SimSun" w:cs="SimSun"/>
          <w:sz w:val="21"/>
          <w:szCs w:val="21"/>
          <w:b/>
          <w:bCs/>
          <w:spacing w:val="-2"/>
        </w:rPr>
        <w:t>普惠型小微企业服务</w:t>
      </w:r>
    </w:p>
    <w:p>
      <w:pPr>
        <w:ind w:left="4" w:firstLine="423"/>
        <w:spacing w:before="304" w:line="298" w:lineRule="auto"/>
        <w:rPr>
          <w:rFonts w:ascii="SimSun" w:hAnsi="SimSun" w:eastAsia="SimSun" w:cs="SimSun"/>
          <w:sz w:val="21"/>
          <w:szCs w:val="21"/>
        </w:rPr>
      </w:pPr>
      <w:r>
        <w:rPr>
          <w:rFonts w:ascii="SimSun" w:hAnsi="SimSun" w:eastAsia="SimSun" w:cs="SimSun"/>
          <w:sz w:val="21"/>
          <w:szCs w:val="21"/>
          <w:spacing w:val="2"/>
        </w:rPr>
        <w:t>持续加大对普惠型小微企业的信贷投放力度,</w:t>
      </w:r>
      <w:r>
        <w:rPr>
          <w:rFonts w:ascii="SimSun" w:hAnsi="SimSun" w:eastAsia="SimSun" w:cs="SimSun"/>
          <w:sz w:val="21"/>
          <w:szCs w:val="21"/>
          <w:spacing w:val="31"/>
        </w:rPr>
        <w:t xml:space="preserve"> </w:t>
      </w:r>
      <w:r>
        <w:rPr>
          <w:rFonts w:ascii="SimSun" w:hAnsi="SimSun" w:eastAsia="SimSun" w:cs="SimSun"/>
          <w:sz w:val="21"/>
          <w:szCs w:val="21"/>
          <w:spacing w:val="2"/>
        </w:rPr>
        <w:t>强化对"首贷户"</w:t>
      </w:r>
      <w:r>
        <w:rPr>
          <w:rFonts w:ascii="SimSun" w:hAnsi="SimSun" w:eastAsia="SimSun" w:cs="SimSun"/>
          <w:sz w:val="21"/>
          <w:szCs w:val="21"/>
          <w:spacing w:val="-28"/>
        </w:rPr>
        <w:t xml:space="preserve"> </w:t>
      </w:r>
      <w:r>
        <w:rPr>
          <w:rFonts w:ascii="SimSun" w:hAnsi="SimSun" w:eastAsia="SimSun" w:cs="SimSun"/>
          <w:sz w:val="21"/>
          <w:szCs w:val="21"/>
          <w:spacing w:val="1"/>
        </w:rPr>
        <w:t>和小微制造业企业的支持。借助金融</w:t>
      </w:r>
      <w:r>
        <w:rPr>
          <w:rFonts w:ascii="SimSun" w:hAnsi="SimSun" w:eastAsia="SimSun" w:cs="SimSun"/>
          <w:sz w:val="21"/>
          <w:szCs w:val="21"/>
        </w:rPr>
        <w:t xml:space="preserve"> </w:t>
      </w:r>
      <w:r>
        <w:rPr>
          <w:rFonts w:ascii="SimSun" w:hAnsi="SimSun" w:eastAsia="SimSun" w:cs="SimSun"/>
          <w:sz w:val="21"/>
          <w:szCs w:val="21"/>
          <w:spacing w:val="4"/>
        </w:rPr>
        <w:t>科技和大数据, 依托"普惠</w:t>
      </w:r>
      <w:r>
        <w:rPr>
          <w:rFonts w:ascii="SimSun" w:hAnsi="SimSun" w:eastAsia="SimSun" w:cs="SimSun"/>
          <w:sz w:val="21"/>
          <w:szCs w:val="21"/>
          <w:spacing w:val="-45"/>
        </w:rPr>
        <w:t xml:space="preserve"> </w:t>
      </w:r>
      <w:r>
        <w:rPr>
          <w:rFonts w:ascii="Times New Roman" w:hAnsi="Times New Roman" w:eastAsia="Times New Roman" w:cs="Times New Roman"/>
          <w:sz w:val="21"/>
          <w:szCs w:val="21"/>
          <w:spacing w:val="4"/>
        </w:rPr>
        <w:t>e </w:t>
      </w:r>
      <w:r>
        <w:rPr>
          <w:rFonts w:ascii="SimSun" w:hAnsi="SimSun" w:eastAsia="SimSun" w:cs="SimSun"/>
          <w:sz w:val="21"/>
          <w:szCs w:val="21"/>
          <w:spacing w:val="4"/>
        </w:rPr>
        <w:t>贷"</w:t>
      </w:r>
      <w:r>
        <w:rPr>
          <w:rFonts w:ascii="SimSun" w:hAnsi="SimSun" w:eastAsia="SimSun" w:cs="SimSun"/>
          <w:sz w:val="21"/>
          <w:szCs w:val="21"/>
          <w:spacing w:val="-23"/>
        </w:rPr>
        <w:t xml:space="preserve"> </w:t>
      </w:r>
      <w:r>
        <w:rPr>
          <w:rFonts w:ascii="SimSun" w:hAnsi="SimSun" w:eastAsia="SimSun" w:cs="SimSun"/>
          <w:sz w:val="21"/>
          <w:szCs w:val="21"/>
          <w:spacing w:val="4"/>
        </w:rPr>
        <w:t>打造线上综合融资产品体系,</w:t>
      </w:r>
      <w:r>
        <w:rPr>
          <w:rFonts w:ascii="SimSun" w:hAnsi="SimSun" w:eastAsia="SimSun" w:cs="SimSun"/>
          <w:sz w:val="21"/>
          <w:szCs w:val="21"/>
          <w:spacing w:val="34"/>
        </w:rPr>
        <w:t xml:space="preserve"> </w:t>
      </w:r>
      <w:r>
        <w:rPr>
          <w:rFonts w:ascii="SimSun" w:hAnsi="SimSun" w:eastAsia="SimSun" w:cs="SimSun"/>
          <w:sz w:val="21"/>
          <w:szCs w:val="21"/>
          <w:spacing w:val="4"/>
        </w:rPr>
        <w:t>实现线上</w:t>
      </w:r>
      <w:r>
        <w:rPr>
          <w:rFonts w:ascii="SimSun" w:hAnsi="SimSun" w:eastAsia="SimSun" w:cs="SimSun"/>
          <w:sz w:val="21"/>
          <w:szCs w:val="21"/>
          <w:spacing w:val="3"/>
        </w:rPr>
        <w:t>标准化产品与场景定制产品"双</w:t>
      </w:r>
      <w:r>
        <w:rPr>
          <w:rFonts w:ascii="SimSun" w:hAnsi="SimSun" w:eastAsia="SimSun" w:cs="SimSun"/>
          <w:sz w:val="21"/>
          <w:szCs w:val="21"/>
        </w:rPr>
        <w:t xml:space="preserve"> </w:t>
      </w:r>
      <w:r>
        <w:rPr>
          <w:rFonts w:ascii="SimSun" w:hAnsi="SimSun" w:eastAsia="SimSun" w:cs="SimSun"/>
          <w:sz w:val="21"/>
          <w:szCs w:val="21"/>
          <w:spacing w:val="3"/>
        </w:rPr>
        <w:t>轮驱动",提高小微企业覆盖面及融资可得性;</w:t>
      </w:r>
      <w:r>
        <w:rPr>
          <w:rFonts w:ascii="SimSun" w:hAnsi="SimSun" w:eastAsia="SimSun" w:cs="SimSun"/>
          <w:sz w:val="21"/>
          <w:szCs w:val="21"/>
          <w:spacing w:val="36"/>
        </w:rPr>
        <w:t xml:space="preserve"> </w:t>
      </w:r>
      <w:r>
        <w:rPr>
          <w:rFonts w:ascii="SimSun" w:hAnsi="SimSun" w:eastAsia="SimSun" w:cs="SimSun"/>
          <w:sz w:val="21"/>
          <w:szCs w:val="21"/>
          <w:spacing w:val="3"/>
        </w:rPr>
        <w:t>线上标准化产品实现抵押</w:t>
      </w:r>
      <w:r>
        <w:rPr>
          <w:rFonts w:ascii="SimSun" w:hAnsi="SimSun" w:eastAsia="SimSun" w:cs="SimSun"/>
          <w:sz w:val="21"/>
          <w:szCs w:val="21"/>
          <w:spacing w:val="2"/>
        </w:rPr>
        <w:t>、信用、保证等多种组合方式,</w:t>
      </w:r>
      <w:r>
        <w:rPr>
          <w:rFonts w:ascii="SimSun" w:hAnsi="SimSun" w:eastAsia="SimSun" w:cs="SimSun"/>
          <w:sz w:val="21"/>
          <w:szCs w:val="21"/>
        </w:rPr>
        <w:t xml:space="preserve">  </w:t>
      </w:r>
      <w:r>
        <w:rPr>
          <w:rFonts w:ascii="SimSun" w:hAnsi="SimSun" w:eastAsia="SimSun" w:cs="SimSun"/>
          <w:sz w:val="21"/>
          <w:szCs w:val="21"/>
        </w:rPr>
        <w:t>满足客户差异化需求。做好重点领域金融服</w:t>
      </w:r>
      <w:r>
        <w:rPr>
          <w:rFonts w:ascii="SimSun" w:hAnsi="SimSun" w:eastAsia="SimSun" w:cs="SimSun"/>
          <w:sz w:val="21"/>
          <w:szCs w:val="21"/>
          <w:spacing w:val="-1"/>
        </w:rPr>
        <w:t>务, 在供应链、科创、乡村振兴、医保、双创、个体工商户等</w:t>
      </w:r>
      <w:r>
        <w:rPr>
          <w:rFonts w:ascii="SimSun" w:hAnsi="SimSun" w:eastAsia="SimSun" w:cs="SimSun"/>
          <w:sz w:val="21"/>
          <w:szCs w:val="21"/>
        </w:rPr>
        <w:t xml:space="preserve"> </w:t>
      </w:r>
      <w:r>
        <w:rPr>
          <w:rFonts w:ascii="SimSun" w:hAnsi="SimSun" w:eastAsia="SimSun" w:cs="SimSun"/>
          <w:sz w:val="21"/>
          <w:szCs w:val="21"/>
          <w:spacing w:val="-2"/>
        </w:rPr>
        <w:t>重点领域实现场景定制。</w:t>
      </w:r>
    </w:p>
    <w:p>
      <w:pPr>
        <w:ind w:left="4" w:right="2" w:firstLine="418"/>
        <w:spacing w:before="308" w:line="282" w:lineRule="auto"/>
        <w:jc w:val="both"/>
        <w:rPr>
          <w:rFonts w:ascii="SimSun" w:hAnsi="SimSun" w:eastAsia="SimSun" w:cs="SimSun"/>
          <w:sz w:val="21"/>
          <w:szCs w:val="21"/>
        </w:rPr>
      </w:pPr>
      <w:r>
        <w:rPr>
          <w:rFonts w:ascii="SimSun" w:hAnsi="SimSun" w:eastAsia="SimSun" w:cs="SimSun"/>
          <w:sz w:val="21"/>
          <w:szCs w:val="21"/>
          <w:spacing w:val="-2"/>
        </w:rPr>
        <w:t>报告期末,</w:t>
      </w:r>
      <w:r>
        <w:rPr>
          <w:rFonts w:ascii="SimSun" w:hAnsi="SimSun" w:eastAsia="SimSun" w:cs="SimSun"/>
          <w:sz w:val="21"/>
          <w:szCs w:val="21"/>
          <w:spacing w:val="-35"/>
        </w:rPr>
        <w:t xml:space="preserve"> </w:t>
      </w:r>
      <w:r>
        <w:rPr>
          <w:rFonts w:ascii="SimSun" w:hAnsi="SimSun" w:eastAsia="SimSun" w:cs="SimSun"/>
          <w:sz w:val="21"/>
          <w:szCs w:val="21"/>
          <w:spacing w:val="-2"/>
        </w:rPr>
        <w:t>普惠型小微企业贷款余额</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2"/>
        </w:rPr>
        <w:t>4,562.39 </w:t>
      </w:r>
      <w:r>
        <w:rPr>
          <w:rFonts w:ascii="SimSun" w:hAnsi="SimSun" w:eastAsia="SimSun" w:cs="SimSun"/>
          <w:sz w:val="21"/>
          <w:szCs w:val="21"/>
          <w:spacing w:val="-2"/>
        </w:rPr>
        <w:t>亿元,</w:t>
      </w:r>
      <w:r>
        <w:rPr>
          <w:rFonts w:ascii="SimSun" w:hAnsi="SimSun" w:eastAsia="SimSun" w:cs="SimSun"/>
          <w:sz w:val="21"/>
          <w:szCs w:val="21"/>
          <w:spacing w:val="-34"/>
        </w:rPr>
        <w:t xml:space="preserve"> </w:t>
      </w:r>
      <w:r>
        <w:rPr>
          <w:rFonts w:ascii="SimSun" w:hAnsi="SimSun" w:eastAsia="SimSun" w:cs="SimSun"/>
          <w:sz w:val="21"/>
          <w:szCs w:val="21"/>
          <w:spacing w:val="-2"/>
        </w:rPr>
        <w:t>较上年末增长</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2"/>
        </w:rPr>
        <w:t>34.66%</w:t>
      </w:r>
      <w:r>
        <w:rPr>
          <w:rFonts w:ascii="SimSun" w:hAnsi="SimSun" w:eastAsia="SimSun" w:cs="SimSun"/>
          <w:sz w:val="21"/>
          <w:szCs w:val="21"/>
          <w:spacing w:val="-2"/>
        </w:rPr>
        <w:t>;</w:t>
      </w:r>
      <w:r>
        <w:rPr>
          <w:rFonts w:ascii="SimSun" w:hAnsi="SimSun" w:eastAsia="SimSun" w:cs="SimSun"/>
          <w:sz w:val="21"/>
          <w:szCs w:val="21"/>
          <w:spacing w:val="-33"/>
        </w:rPr>
        <w:t xml:space="preserve"> </w:t>
      </w:r>
      <w:r>
        <w:rPr>
          <w:rFonts w:ascii="SimSun" w:hAnsi="SimSun" w:eastAsia="SimSun" w:cs="SimSun"/>
          <w:sz w:val="21"/>
          <w:szCs w:val="21"/>
          <w:spacing w:val="-2"/>
        </w:rPr>
        <w:t>有贷款余额的客</w:t>
      </w:r>
      <w:r>
        <w:rPr>
          <w:rFonts w:ascii="SimSun" w:hAnsi="SimSun" w:eastAsia="SimSun" w:cs="SimSun"/>
          <w:sz w:val="21"/>
          <w:szCs w:val="21"/>
          <w:spacing w:val="-3"/>
        </w:rPr>
        <w:t>户数</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3"/>
        </w:rPr>
        <w:t>29.31</w:t>
      </w:r>
      <w:r>
        <w:rPr>
          <w:rFonts w:ascii="Times New Roman" w:hAnsi="Times New Roman" w:eastAsia="Times New Roman" w:cs="Times New Roman"/>
          <w:sz w:val="21"/>
          <w:szCs w:val="21"/>
        </w:rPr>
        <w:t xml:space="preserve"> </w:t>
      </w:r>
      <w:r>
        <w:rPr>
          <w:rFonts w:ascii="SimSun" w:hAnsi="SimSun" w:eastAsia="SimSun" w:cs="SimSun"/>
          <w:sz w:val="21"/>
          <w:szCs w:val="21"/>
          <w:spacing w:val="-3"/>
        </w:rPr>
        <w:t>万户,</w:t>
      </w:r>
      <w:r>
        <w:rPr>
          <w:rFonts w:ascii="SimSun" w:hAnsi="SimSun" w:eastAsia="SimSun" w:cs="SimSun"/>
          <w:sz w:val="21"/>
          <w:szCs w:val="21"/>
          <w:spacing w:val="36"/>
        </w:rPr>
        <w:t xml:space="preserve"> </w:t>
      </w:r>
      <w:r>
        <w:rPr>
          <w:rFonts w:ascii="SimSun" w:hAnsi="SimSun" w:eastAsia="SimSun" w:cs="SimSun"/>
          <w:sz w:val="21"/>
          <w:szCs w:val="21"/>
          <w:spacing w:val="-3"/>
        </w:rPr>
        <w:t>较上年末增长</w:t>
      </w:r>
      <w:r>
        <w:rPr>
          <w:rFonts w:ascii="SimSun" w:hAnsi="SimSun" w:eastAsia="SimSun" w:cs="SimSun"/>
          <w:sz w:val="21"/>
          <w:szCs w:val="21"/>
          <w:spacing w:val="-31"/>
        </w:rPr>
        <w:t xml:space="preserve"> </w:t>
      </w:r>
      <w:r>
        <w:rPr>
          <w:rFonts w:ascii="Times New Roman" w:hAnsi="Times New Roman" w:eastAsia="Times New Roman" w:cs="Times New Roman"/>
          <w:sz w:val="21"/>
          <w:szCs w:val="21"/>
          <w:spacing w:val="-3"/>
        </w:rPr>
        <w:t>38.09%</w:t>
      </w:r>
      <w:r>
        <w:rPr>
          <w:rFonts w:ascii="SimSun" w:hAnsi="SimSun" w:eastAsia="SimSun" w:cs="SimSun"/>
          <w:sz w:val="21"/>
          <w:szCs w:val="21"/>
          <w:spacing w:val="-3"/>
        </w:rPr>
        <w:t>。普惠型小微企业贷款累放平均利率</w:t>
      </w:r>
      <w:r>
        <w:rPr>
          <w:rFonts w:ascii="SimSun" w:hAnsi="SimSun" w:eastAsia="SimSun" w:cs="SimSun"/>
          <w:sz w:val="21"/>
          <w:szCs w:val="21"/>
          <w:spacing w:val="-31"/>
        </w:rPr>
        <w:t xml:space="preserve"> </w:t>
      </w:r>
      <w:r>
        <w:rPr>
          <w:rFonts w:ascii="Times New Roman" w:hAnsi="Times New Roman" w:eastAsia="Times New Roman" w:cs="Times New Roman"/>
          <w:sz w:val="21"/>
          <w:szCs w:val="21"/>
          <w:spacing w:val="-3"/>
        </w:rPr>
        <w:t>3.75%</w:t>
      </w:r>
      <w:r>
        <w:rPr>
          <w:rFonts w:ascii="SimSun" w:hAnsi="SimSun" w:eastAsia="SimSun" w:cs="SimSun"/>
          <w:sz w:val="21"/>
          <w:szCs w:val="21"/>
          <w:spacing w:val="-3"/>
        </w:rPr>
        <w:t>,</w:t>
      </w:r>
      <w:r>
        <w:rPr>
          <w:rFonts w:ascii="SimSun" w:hAnsi="SimSun" w:eastAsia="SimSun" w:cs="SimSun"/>
          <w:sz w:val="21"/>
          <w:szCs w:val="21"/>
          <w:spacing w:val="52"/>
        </w:rPr>
        <w:t xml:space="preserve"> </w:t>
      </w:r>
      <w:r>
        <w:rPr>
          <w:rFonts w:ascii="SimSun" w:hAnsi="SimSun" w:eastAsia="SimSun" w:cs="SimSun"/>
          <w:sz w:val="21"/>
          <w:szCs w:val="21"/>
          <w:spacing w:val="-3"/>
        </w:rPr>
        <w:t>同比下降</w:t>
      </w:r>
      <w:r>
        <w:rPr>
          <w:rFonts w:ascii="SimSun" w:hAnsi="SimSun" w:eastAsia="SimSun" w:cs="SimSun"/>
          <w:sz w:val="21"/>
          <w:szCs w:val="21"/>
          <w:spacing w:val="-36"/>
        </w:rPr>
        <w:t xml:space="preserve"> </w:t>
      </w:r>
      <w:r>
        <w:rPr>
          <w:rFonts w:ascii="Times New Roman" w:hAnsi="Times New Roman" w:eastAsia="Times New Roman" w:cs="Times New Roman"/>
          <w:sz w:val="21"/>
          <w:szCs w:val="21"/>
          <w:spacing w:val="-3"/>
        </w:rPr>
        <w:t>26</w:t>
      </w:r>
      <w:r>
        <w:rPr>
          <w:rFonts w:ascii="Times New Roman" w:hAnsi="Times New Roman" w:eastAsia="Times New Roman" w:cs="Times New Roman"/>
          <w:sz w:val="21"/>
          <w:szCs w:val="21"/>
          <w:spacing w:val="19"/>
        </w:rPr>
        <w:t xml:space="preserve"> </w:t>
      </w:r>
      <w:r>
        <w:rPr>
          <w:rFonts w:ascii="SimSun" w:hAnsi="SimSun" w:eastAsia="SimSun" w:cs="SimSun"/>
          <w:sz w:val="21"/>
          <w:szCs w:val="21"/>
          <w:spacing w:val="-3"/>
        </w:rPr>
        <w:t>个基点;</w:t>
      </w:r>
      <w:r>
        <w:rPr>
          <w:rFonts w:ascii="SimSun" w:hAnsi="SimSun" w:eastAsia="SimSun" w:cs="SimSun"/>
          <w:sz w:val="21"/>
          <w:szCs w:val="21"/>
          <w:spacing w:val="28"/>
        </w:rPr>
        <w:t xml:space="preserve"> </w:t>
      </w:r>
      <w:r>
        <w:rPr>
          <w:rFonts w:ascii="SimSun" w:hAnsi="SimSun" w:eastAsia="SimSun" w:cs="SimSun"/>
          <w:sz w:val="21"/>
          <w:szCs w:val="21"/>
          <w:spacing w:val="-3"/>
        </w:rPr>
        <w:t>普惠型小</w:t>
      </w:r>
      <w:r>
        <w:rPr>
          <w:rFonts w:ascii="SimSun" w:hAnsi="SimSun" w:eastAsia="SimSun" w:cs="SimSun"/>
          <w:sz w:val="21"/>
          <w:szCs w:val="21"/>
        </w:rPr>
        <w:t xml:space="preserve"> </w:t>
      </w:r>
      <w:r>
        <w:rPr>
          <w:rFonts w:ascii="SimSun" w:hAnsi="SimSun" w:eastAsia="SimSun" w:cs="SimSun"/>
          <w:sz w:val="21"/>
          <w:szCs w:val="21"/>
          <w:spacing w:val="-2"/>
        </w:rPr>
        <w:t>微企业贷款不良率</w:t>
      </w:r>
      <w:r>
        <w:rPr>
          <w:rFonts w:ascii="SimSun" w:hAnsi="SimSun" w:eastAsia="SimSun" w:cs="SimSun"/>
          <w:sz w:val="21"/>
          <w:szCs w:val="21"/>
          <w:spacing w:val="-45"/>
        </w:rPr>
        <w:t xml:space="preserve"> </w:t>
      </w:r>
      <w:r>
        <w:rPr>
          <w:rFonts w:ascii="Times New Roman" w:hAnsi="Times New Roman" w:eastAsia="Times New Roman" w:cs="Times New Roman"/>
          <w:sz w:val="21"/>
          <w:szCs w:val="21"/>
          <w:spacing w:val="-2"/>
        </w:rPr>
        <w:t>0.81%</w:t>
      </w:r>
      <w:r>
        <w:rPr>
          <w:rFonts w:ascii="SimSun" w:hAnsi="SimSun" w:eastAsia="SimSun" w:cs="SimSun"/>
          <w:sz w:val="21"/>
          <w:szCs w:val="21"/>
          <w:spacing w:val="-2"/>
        </w:rPr>
        <w:t>,较上年末下降</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2"/>
        </w:rPr>
        <w:t>0.35 </w:t>
      </w:r>
      <w:r>
        <w:rPr>
          <w:rFonts w:ascii="SimSun" w:hAnsi="SimSun" w:eastAsia="SimSun" w:cs="SimSun"/>
          <w:sz w:val="21"/>
          <w:szCs w:val="21"/>
          <w:spacing w:val="-2"/>
        </w:rPr>
        <w:t>个百分点。全行</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2"/>
        </w:rPr>
        <w:t>2,771 </w:t>
      </w:r>
      <w:r>
        <w:rPr>
          <w:rFonts w:ascii="SimSun" w:hAnsi="SimSun" w:eastAsia="SimSun" w:cs="SimSun"/>
          <w:sz w:val="21"/>
          <w:szCs w:val="21"/>
          <w:spacing w:val="-2"/>
        </w:rPr>
        <w:t>家营业网点为小微</w:t>
      </w:r>
      <w:r>
        <w:rPr>
          <w:rFonts w:ascii="SimSun" w:hAnsi="SimSun" w:eastAsia="SimSun" w:cs="SimSun"/>
          <w:sz w:val="21"/>
          <w:szCs w:val="21"/>
          <w:spacing w:val="-3"/>
        </w:rPr>
        <w:t>企业提供融资服务。</w:t>
      </w:r>
    </w:p>
    <w:p>
      <w:pPr>
        <w:pStyle w:val="BodyText"/>
        <w:spacing w:line="249" w:lineRule="auto"/>
        <w:rPr/>
      </w:pPr>
      <w:r/>
    </w:p>
    <w:p>
      <w:pPr>
        <w:ind w:left="424"/>
        <w:spacing w:before="69"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4.</w:t>
      </w:r>
      <w:r>
        <w:rPr>
          <w:rFonts w:ascii="SimSun" w:hAnsi="SimSun" w:eastAsia="SimSun" w:cs="SimSun"/>
          <w:sz w:val="21"/>
          <w:szCs w:val="21"/>
          <w:b/>
          <w:bCs/>
          <w:spacing w:val="-2"/>
        </w:rPr>
        <w:t>产业链金融</w:t>
      </w:r>
    </w:p>
    <w:p>
      <w:pPr>
        <w:ind w:left="4" w:firstLine="420"/>
        <w:spacing w:before="307" w:line="284" w:lineRule="auto"/>
        <w:rPr>
          <w:rFonts w:ascii="SimSun" w:hAnsi="SimSun" w:eastAsia="SimSun" w:cs="SimSun"/>
          <w:sz w:val="21"/>
          <w:szCs w:val="21"/>
        </w:rPr>
      </w:pPr>
      <w:r>
        <w:rPr>
          <w:rFonts w:ascii="SimSun" w:hAnsi="SimSun" w:eastAsia="SimSun" w:cs="SimSun"/>
          <w:sz w:val="21"/>
          <w:szCs w:val="21"/>
          <w:spacing w:val="-5"/>
        </w:rPr>
        <w:t>运用创新产品,</w:t>
      </w:r>
      <w:r>
        <w:rPr>
          <w:rFonts w:ascii="SimSun" w:hAnsi="SimSun" w:eastAsia="SimSun" w:cs="SimSun"/>
          <w:sz w:val="21"/>
          <w:szCs w:val="21"/>
          <w:spacing w:val="-7"/>
        </w:rPr>
        <w:t xml:space="preserve"> </w:t>
      </w:r>
      <w:r>
        <w:rPr>
          <w:rFonts w:ascii="SimSun" w:hAnsi="SimSun" w:eastAsia="SimSun" w:cs="SimSun"/>
          <w:sz w:val="21"/>
          <w:szCs w:val="21"/>
          <w:spacing w:val="-5"/>
        </w:rPr>
        <w:t>与电力、建筑、汽车和医药等重点行业龙头企业深化合作,</w:t>
      </w:r>
      <w:r>
        <w:rPr>
          <w:rFonts w:ascii="SimSun" w:hAnsi="SimSun" w:eastAsia="SimSun" w:cs="SimSun"/>
          <w:sz w:val="21"/>
          <w:szCs w:val="21"/>
          <w:spacing w:val="-28"/>
        </w:rPr>
        <w:t xml:space="preserve"> </w:t>
      </w:r>
      <w:r>
        <w:rPr>
          <w:rFonts w:ascii="SimSun" w:hAnsi="SimSun" w:eastAsia="SimSun" w:cs="SimSun"/>
          <w:sz w:val="21"/>
          <w:szCs w:val="21"/>
          <w:spacing w:val="-5"/>
        </w:rPr>
        <w:t>满足企业上下游融资需求,</w:t>
      </w:r>
      <w:r>
        <w:rPr>
          <w:rFonts w:ascii="SimSun" w:hAnsi="SimSun" w:eastAsia="SimSun" w:cs="SimSun"/>
          <w:sz w:val="21"/>
          <w:szCs w:val="21"/>
        </w:rPr>
        <w:t xml:space="preserve">  </w:t>
      </w:r>
      <w:r>
        <w:rPr>
          <w:rFonts w:ascii="SimSun" w:hAnsi="SimSun" w:eastAsia="SimSun" w:cs="SimSun"/>
          <w:sz w:val="21"/>
          <w:szCs w:val="21"/>
          <w:spacing w:val="1"/>
        </w:rPr>
        <w:t>服务现代化产业体系建设。强化科技赋能, 延展产业链"秒级"</w:t>
      </w:r>
      <w:r>
        <w:rPr>
          <w:rFonts w:ascii="SimSun" w:hAnsi="SimSun" w:eastAsia="SimSun" w:cs="SimSun"/>
          <w:sz w:val="21"/>
          <w:szCs w:val="21"/>
          <w:spacing w:val="-7"/>
        </w:rPr>
        <w:t xml:space="preserve"> </w:t>
      </w:r>
      <w:r>
        <w:rPr>
          <w:rFonts w:ascii="SimSun" w:hAnsi="SimSun" w:eastAsia="SimSun" w:cs="SimSun"/>
          <w:sz w:val="21"/>
          <w:szCs w:val="21"/>
          <w:spacing w:val="1"/>
        </w:rPr>
        <w:t>融资产品线,</w:t>
      </w:r>
      <w:r>
        <w:rPr>
          <w:rFonts w:ascii="SimSun" w:hAnsi="SimSun" w:eastAsia="SimSun" w:cs="SimSun"/>
          <w:sz w:val="21"/>
          <w:szCs w:val="21"/>
          <w:spacing w:val="28"/>
        </w:rPr>
        <w:t xml:space="preserve"> </w:t>
      </w:r>
      <w:r>
        <w:rPr>
          <w:rFonts w:ascii="SimSun" w:hAnsi="SimSun" w:eastAsia="SimSun" w:cs="SimSun"/>
          <w:sz w:val="21"/>
          <w:szCs w:val="21"/>
          <w:spacing w:val="1"/>
        </w:rPr>
        <w:t>票据秒贴业务发生额</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1"/>
        </w:rPr>
        <w:t>934.76</w:t>
      </w:r>
      <w:r>
        <w:rPr>
          <w:rFonts w:ascii="Times New Roman" w:hAnsi="Times New Roman" w:eastAsia="Times New Roman" w:cs="Times New Roman"/>
          <w:sz w:val="21"/>
          <w:szCs w:val="21"/>
        </w:rPr>
        <w:t xml:space="preserve"> </w:t>
      </w:r>
      <w:r>
        <w:rPr>
          <w:rFonts w:ascii="SimSun" w:hAnsi="SimSun" w:eastAsia="SimSun" w:cs="SimSun"/>
          <w:sz w:val="21"/>
          <w:szCs w:val="21"/>
          <w:spacing w:val="-2"/>
        </w:rPr>
        <w:t>亿元,</w:t>
      </w:r>
      <w:r>
        <w:rPr>
          <w:rFonts w:ascii="SimSun" w:hAnsi="SimSun" w:eastAsia="SimSun" w:cs="SimSun"/>
          <w:sz w:val="21"/>
          <w:szCs w:val="21"/>
          <w:spacing w:val="35"/>
        </w:rPr>
        <w:t xml:space="preserve"> </w:t>
      </w:r>
      <w:r>
        <w:rPr>
          <w:rFonts w:ascii="SimSun" w:hAnsi="SimSun" w:eastAsia="SimSun" w:cs="SimSun"/>
          <w:sz w:val="21"/>
          <w:szCs w:val="21"/>
          <w:spacing w:val="-2"/>
        </w:rPr>
        <w:t>快易付秒放业务发生额</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2"/>
        </w:rPr>
        <w:t>200.97 </w:t>
      </w:r>
      <w:r>
        <w:rPr>
          <w:rFonts w:ascii="SimSun" w:hAnsi="SimSun" w:eastAsia="SimSun" w:cs="SimSun"/>
          <w:sz w:val="21"/>
          <w:szCs w:val="21"/>
          <w:spacing w:val="-2"/>
        </w:rPr>
        <w:t>亿元,</w:t>
      </w:r>
      <w:r>
        <w:rPr>
          <w:rFonts w:ascii="SimSun" w:hAnsi="SimSun" w:eastAsia="SimSun" w:cs="SimSun"/>
          <w:sz w:val="21"/>
          <w:szCs w:val="21"/>
          <w:spacing w:val="27"/>
        </w:rPr>
        <w:t xml:space="preserve"> </w:t>
      </w:r>
      <w:r>
        <w:rPr>
          <w:rFonts w:ascii="SimSun" w:hAnsi="SimSun" w:eastAsia="SimSun" w:cs="SimSun"/>
          <w:sz w:val="21"/>
          <w:szCs w:val="21"/>
          <w:spacing w:val="-2"/>
        </w:rPr>
        <w:t>订单秒放发生额</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2"/>
        </w:rPr>
        <w:t>65.61 </w:t>
      </w:r>
      <w:r>
        <w:rPr>
          <w:rFonts w:ascii="SimSun" w:hAnsi="SimSun" w:eastAsia="SimSun" w:cs="SimSun"/>
          <w:sz w:val="21"/>
          <w:szCs w:val="21"/>
          <w:spacing w:val="-2"/>
        </w:rPr>
        <w:t>亿元。推出自建智慧交易链平台。对接</w:t>
      </w:r>
    </w:p>
    <w:p>
      <w:pPr>
        <w:spacing w:line="284" w:lineRule="auto"/>
        <w:sectPr>
          <w:footerReference w:type="default" r:id="rId36"/>
          <w:pgSz w:w="11907" w:h="16839"/>
          <w:pgMar w:top="1196" w:right="1128" w:bottom="1375" w:left="1136" w:header="0" w:footer="1211" w:gutter="0"/>
        </w:sectPr>
        <w:rPr>
          <w:rFonts w:ascii="SimSun" w:hAnsi="SimSun" w:eastAsia="SimSun" w:cs="SimSun"/>
          <w:sz w:val="21"/>
          <w:szCs w:val="21"/>
        </w:rPr>
      </w:pPr>
    </w:p>
    <w:p>
      <w:pPr>
        <w:ind w:right="73" w:firstLine="20"/>
        <w:spacing w:before="43" w:line="282" w:lineRule="auto"/>
        <w:jc w:val="both"/>
        <w:rPr>
          <w:rFonts w:ascii="SimSun" w:hAnsi="SimSun" w:eastAsia="SimSun" w:cs="SimSun"/>
          <w:sz w:val="21"/>
          <w:szCs w:val="21"/>
        </w:rPr>
      </w:pPr>
      <w:r>
        <w:pict>
          <v:shape id="_x0000_s282" style="position:absolute;margin-left:88.704pt;margin-top:741.48pt;mso-position-vertical-relative:page;mso-position-horizontal-relative:page;width:144.05pt;height:0.75pt;z-index:251800576;" o:allowincell="f" fillcolor="#000000" filled="true" stroked="false" coordsize="2881,15" coordorigin="0,0" path="m0,14l2880,14l2880,0l0,0l0,14xe"/>
        </w:pict>
      </w:r>
      <w:r>
        <w:rPr>
          <w:rFonts w:ascii="SimSun" w:hAnsi="SimSun" w:eastAsia="SimSun" w:cs="SimSun"/>
          <w:sz w:val="21"/>
          <w:szCs w:val="21"/>
          <w:spacing w:val="1"/>
        </w:rPr>
        <w:t>中航信、中企云链等 </w:t>
      </w:r>
      <w:r>
        <w:rPr>
          <w:rFonts w:ascii="Times New Roman" w:hAnsi="Times New Roman" w:eastAsia="Times New Roman" w:cs="Times New Roman"/>
          <w:sz w:val="21"/>
          <w:szCs w:val="21"/>
          <w:spacing w:val="1"/>
        </w:rPr>
        <w:t>16  </w:t>
      </w:r>
      <w:r>
        <w:rPr>
          <w:rFonts w:ascii="SimSun" w:hAnsi="SimSun" w:eastAsia="SimSun" w:cs="SimSun"/>
          <w:sz w:val="21"/>
          <w:szCs w:val="21"/>
          <w:spacing w:val="1"/>
        </w:rPr>
        <w:t>家主流平台,实现跨场景金融合作</w:t>
      </w:r>
      <w:r>
        <w:rPr>
          <w:rFonts w:ascii="SimSun" w:hAnsi="SimSun" w:eastAsia="SimSun" w:cs="SimSun"/>
          <w:sz w:val="21"/>
          <w:szCs w:val="21"/>
        </w:rPr>
        <w:t>、全程自动化秒级放款等功能,</w:t>
      </w:r>
      <w:r>
        <w:rPr>
          <w:rFonts w:ascii="SimSun" w:hAnsi="SimSun" w:eastAsia="SimSun" w:cs="SimSun"/>
          <w:sz w:val="21"/>
          <w:szCs w:val="21"/>
          <w:spacing w:val="31"/>
        </w:rPr>
        <w:t xml:space="preserve"> </w:t>
      </w:r>
      <w:r>
        <w:rPr>
          <w:rFonts w:ascii="SimSun" w:hAnsi="SimSun" w:eastAsia="SimSun" w:cs="SimSun"/>
          <w:sz w:val="21"/>
          <w:szCs w:val="21"/>
        </w:rPr>
        <w:t>大幅提升用户 </w:t>
      </w:r>
      <w:r>
        <w:rPr>
          <w:rFonts w:ascii="SimSun" w:hAnsi="SimSun" w:eastAsia="SimSun" w:cs="SimSun"/>
          <w:sz w:val="21"/>
          <w:szCs w:val="21"/>
          <w:spacing w:val="1"/>
        </w:rPr>
        <w:t>体验。聚焦专项授权、制度创新、流程优化等,</w:t>
      </w:r>
      <w:r>
        <w:rPr>
          <w:rFonts w:ascii="SimSun" w:hAnsi="SimSun" w:eastAsia="SimSun" w:cs="SimSun"/>
          <w:sz w:val="21"/>
          <w:szCs w:val="21"/>
          <w:spacing w:val="50"/>
        </w:rPr>
        <w:t xml:space="preserve"> </w:t>
      </w:r>
      <w:r>
        <w:rPr>
          <w:rFonts w:ascii="SimSun" w:hAnsi="SimSun" w:eastAsia="SimSun" w:cs="SimSun"/>
          <w:sz w:val="21"/>
          <w:szCs w:val="21"/>
          <w:spacing w:val="1"/>
        </w:rPr>
        <w:t>以"一链一策</w:t>
      </w:r>
      <w:r>
        <w:rPr>
          <w:rFonts w:ascii="SimSun" w:hAnsi="SimSun" w:eastAsia="SimSun" w:cs="SimSun"/>
          <w:sz w:val="21"/>
          <w:szCs w:val="21"/>
        </w:rPr>
        <w:t>"</w:t>
      </w:r>
      <w:r>
        <w:rPr>
          <w:rFonts w:ascii="SimSun" w:hAnsi="SimSun" w:eastAsia="SimSun" w:cs="SimSun"/>
          <w:sz w:val="21"/>
          <w:szCs w:val="21"/>
          <w:spacing w:val="-29"/>
        </w:rPr>
        <w:t xml:space="preserve"> </w:t>
      </w:r>
      <w:r>
        <w:rPr>
          <w:rFonts w:ascii="SimSun" w:hAnsi="SimSun" w:eastAsia="SimSun" w:cs="SimSun"/>
          <w:sz w:val="21"/>
          <w:szCs w:val="21"/>
        </w:rPr>
        <w:t>满足企业个性化融资需求。报告期内,</w:t>
      </w:r>
      <w:r>
        <w:rPr>
          <w:rFonts w:ascii="SimSun" w:hAnsi="SimSun" w:eastAsia="SimSun" w:cs="SimSun"/>
          <w:sz w:val="21"/>
          <w:szCs w:val="21"/>
          <w:spacing w:val="29"/>
        </w:rPr>
        <w:t xml:space="preserve"> </w:t>
      </w:r>
      <w:r>
        <w:rPr>
          <w:rFonts w:ascii="SimSun" w:hAnsi="SimSun" w:eastAsia="SimSun" w:cs="SimSun"/>
          <w:sz w:val="21"/>
          <w:szCs w:val="21"/>
        </w:rPr>
        <w:t>产 </w:t>
      </w:r>
      <w:r>
        <w:rPr>
          <w:rFonts w:ascii="SimSun" w:hAnsi="SimSun" w:eastAsia="SimSun" w:cs="SimSun"/>
          <w:sz w:val="21"/>
          <w:szCs w:val="21"/>
          <w:spacing w:val="-2"/>
        </w:rPr>
        <w:t>业链金融业务量</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2"/>
        </w:rPr>
        <w:t>4,791.26 </w:t>
      </w:r>
      <w:r>
        <w:rPr>
          <w:rFonts w:ascii="SimSun" w:hAnsi="SimSun" w:eastAsia="SimSun" w:cs="SimSun"/>
          <w:sz w:val="21"/>
          <w:szCs w:val="21"/>
          <w:spacing w:val="-2"/>
        </w:rPr>
        <w:t>亿元,</w:t>
      </w:r>
      <w:r>
        <w:rPr>
          <w:rFonts w:ascii="SimSun" w:hAnsi="SimSun" w:eastAsia="SimSun" w:cs="SimSun"/>
          <w:sz w:val="21"/>
          <w:szCs w:val="21"/>
          <w:spacing w:val="49"/>
        </w:rPr>
        <w:t xml:space="preserve"> </w:t>
      </w:r>
      <w:r>
        <w:rPr>
          <w:rFonts w:ascii="SimSun" w:hAnsi="SimSun" w:eastAsia="SimSun" w:cs="SimSun"/>
          <w:sz w:val="21"/>
          <w:szCs w:val="21"/>
          <w:spacing w:val="-2"/>
        </w:rPr>
        <w:t>同比增长</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2"/>
        </w:rPr>
        <w:t>41.92%</w:t>
      </w:r>
      <w:r>
        <w:rPr>
          <w:rFonts w:ascii="SimSun" w:hAnsi="SimSun" w:eastAsia="SimSun" w:cs="SimSun"/>
          <w:sz w:val="21"/>
          <w:szCs w:val="21"/>
          <w:spacing w:val="-2"/>
        </w:rPr>
        <w:t>;</w:t>
      </w:r>
      <w:r>
        <w:rPr>
          <w:rFonts w:ascii="SimSun" w:hAnsi="SimSun" w:eastAsia="SimSun" w:cs="SimSun"/>
          <w:sz w:val="21"/>
          <w:szCs w:val="21"/>
          <w:spacing w:val="28"/>
        </w:rPr>
        <w:t xml:space="preserve"> </w:t>
      </w:r>
      <w:r>
        <w:rPr>
          <w:rFonts w:ascii="SimSun" w:hAnsi="SimSun" w:eastAsia="SimSun" w:cs="SimSun"/>
          <w:sz w:val="21"/>
          <w:szCs w:val="21"/>
          <w:spacing w:val="-2"/>
        </w:rPr>
        <w:t>服务融资客户</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2"/>
        </w:rPr>
        <w:t>2.63 </w:t>
      </w:r>
      <w:r>
        <w:rPr>
          <w:rFonts w:ascii="SimSun" w:hAnsi="SimSun" w:eastAsia="SimSun" w:cs="SimSun"/>
          <w:sz w:val="21"/>
          <w:szCs w:val="21"/>
          <w:spacing w:val="-3"/>
        </w:rPr>
        <w:t>万户,</w:t>
      </w:r>
      <w:r>
        <w:rPr>
          <w:rFonts w:ascii="SimSun" w:hAnsi="SimSun" w:eastAsia="SimSun" w:cs="SimSun"/>
          <w:sz w:val="21"/>
          <w:szCs w:val="21"/>
          <w:spacing w:val="28"/>
        </w:rPr>
        <w:t xml:space="preserve"> </w:t>
      </w:r>
      <w:r>
        <w:rPr>
          <w:rFonts w:ascii="SimSun" w:hAnsi="SimSun" w:eastAsia="SimSun" w:cs="SimSun"/>
          <w:sz w:val="21"/>
          <w:szCs w:val="21"/>
          <w:spacing w:val="-3"/>
        </w:rPr>
        <w:t>普惠客户占比</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3"/>
        </w:rPr>
        <w:t>91.84%</w:t>
      </w:r>
      <w:r>
        <w:rPr>
          <w:rFonts w:ascii="SimSun" w:hAnsi="SimSun" w:eastAsia="SimSun" w:cs="SimSun"/>
          <w:sz w:val="21"/>
          <w:szCs w:val="21"/>
          <w:spacing w:val="-3"/>
        </w:rPr>
        <w:t>。</w:t>
      </w:r>
    </w:p>
    <w:p>
      <w:pPr>
        <w:pStyle w:val="BodyText"/>
        <w:spacing w:line="248" w:lineRule="auto"/>
        <w:rPr/>
      </w:pPr>
      <w:r/>
    </w:p>
    <w:p>
      <w:pPr>
        <w:ind w:left="423"/>
        <w:spacing w:before="69"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3"/>
        </w:rPr>
        <w:t>5.</w:t>
      </w:r>
      <w:r>
        <w:rPr>
          <w:rFonts w:ascii="SimSun" w:hAnsi="SimSun" w:eastAsia="SimSun" w:cs="SimSun"/>
          <w:sz w:val="21"/>
          <w:szCs w:val="21"/>
          <w:b/>
          <w:bCs/>
          <w:spacing w:val="-3"/>
        </w:rPr>
        <w:t>科技金融</w:t>
      </w:r>
    </w:p>
    <w:p>
      <w:pPr>
        <w:ind w:firstLine="422"/>
        <w:spacing w:before="306" w:line="302" w:lineRule="auto"/>
        <w:jc w:val="both"/>
        <w:rPr>
          <w:rFonts w:ascii="SimSun" w:hAnsi="SimSun" w:eastAsia="SimSun" w:cs="SimSun"/>
          <w:sz w:val="21"/>
          <w:szCs w:val="21"/>
        </w:rPr>
      </w:pPr>
      <w:r>
        <w:rPr>
          <w:rFonts w:ascii="SimSun" w:hAnsi="SimSun" w:eastAsia="SimSun" w:cs="SimSun"/>
          <w:sz w:val="21"/>
          <w:szCs w:val="21"/>
          <w:spacing w:val="-1"/>
        </w:rPr>
        <w:t>积极对接科技强国战略, 加强产融对接,</w:t>
      </w:r>
      <w:r>
        <w:rPr>
          <w:rFonts w:ascii="SimSun" w:hAnsi="SimSun" w:eastAsia="SimSun" w:cs="SimSun"/>
          <w:sz w:val="21"/>
          <w:szCs w:val="21"/>
          <w:spacing w:val="29"/>
        </w:rPr>
        <w:t xml:space="preserve"> </w:t>
      </w:r>
      <w:r>
        <w:rPr>
          <w:rFonts w:ascii="SimSun" w:hAnsi="SimSun" w:eastAsia="SimSun" w:cs="SimSun"/>
          <w:sz w:val="21"/>
          <w:szCs w:val="21"/>
          <w:spacing w:val="-1"/>
        </w:rPr>
        <w:t>为科技型企业提</w:t>
      </w:r>
      <w:r>
        <w:rPr>
          <w:rFonts w:ascii="SimSun" w:hAnsi="SimSun" w:eastAsia="SimSun" w:cs="SimSun"/>
          <w:sz w:val="21"/>
          <w:szCs w:val="21"/>
          <w:spacing w:val="-2"/>
        </w:rPr>
        <w:t>供多层次、专业化、特色化的科技金融产品 </w:t>
      </w:r>
      <w:r>
        <w:rPr>
          <w:rFonts w:ascii="SimSun" w:hAnsi="SimSun" w:eastAsia="SimSun" w:cs="SimSun"/>
          <w:sz w:val="21"/>
          <w:szCs w:val="21"/>
          <w:spacing w:val="3"/>
        </w:rPr>
        <w:t>和服务,支持高水平科技自立自强。重点围绕服务战略性新兴产业、先进制造业、科技创新、绿色低碳、</w:t>
      </w:r>
      <w:r>
        <w:rPr>
          <w:rFonts w:ascii="SimSun" w:hAnsi="SimSun" w:eastAsia="SimSun" w:cs="SimSun"/>
          <w:sz w:val="21"/>
          <w:szCs w:val="21"/>
          <w:spacing w:val="10"/>
        </w:rPr>
        <w:t xml:space="preserve"> </w:t>
      </w:r>
      <w:r>
        <w:rPr>
          <w:rFonts w:ascii="SimSun" w:hAnsi="SimSun" w:eastAsia="SimSun" w:cs="SimSun"/>
          <w:sz w:val="21"/>
          <w:szCs w:val="21"/>
          <w:spacing w:val="-1"/>
        </w:rPr>
        <w:t>传统产业升级等领域, 优化客户结构和资产结构。聚焦高新技术企业、科技型中小企业、国家制造业单项 </w:t>
      </w:r>
      <w:r>
        <w:rPr>
          <w:rFonts w:ascii="SimSun" w:hAnsi="SimSun" w:eastAsia="SimSun" w:cs="SimSun"/>
          <w:sz w:val="21"/>
          <w:szCs w:val="21"/>
          <w:spacing w:val="5"/>
        </w:rPr>
        <w:t>冠军、专精特新"小巨人"、专精特新中小企业、国家技术创新示范企业等重点客群,</w:t>
      </w:r>
      <w:r>
        <w:rPr>
          <w:rFonts w:ascii="SimSun" w:hAnsi="SimSun" w:eastAsia="SimSun" w:cs="SimSun"/>
          <w:sz w:val="21"/>
          <w:szCs w:val="21"/>
          <w:spacing w:val="45"/>
        </w:rPr>
        <w:t xml:space="preserve"> </w:t>
      </w:r>
      <w:r>
        <w:rPr>
          <w:rFonts w:ascii="SimSun" w:hAnsi="SimSun" w:eastAsia="SimSun" w:cs="SimSun"/>
          <w:sz w:val="21"/>
          <w:szCs w:val="21"/>
          <w:spacing w:val="5"/>
        </w:rPr>
        <w:t>创新"科技金融专 </w:t>
      </w:r>
      <w:r>
        <w:rPr>
          <w:rFonts w:ascii="SimSun" w:hAnsi="SimSun" w:eastAsia="SimSun" w:cs="SimSun"/>
          <w:sz w:val="21"/>
          <w:szCs w:val="21"/>
          <w:spacing w:val="-1"/>
        </w:rPr>
        <w:t>班"</w:t>
      </w:r>
      <w:r>
        <w:rPr>
          <w:rFonts w:ascii="SimSun" w:hAnsi="SimSun" w:eastAsia="SimSun" w:cs="SimSun"/>
          <w:sz w:val="21"/>
          <w:szCs w:val="21"/>
          <w:spacing w:val="-26"/>
        </w:rPr>
        <w:t xml:space="preserve"> </w:t>
      </w:r>
      <w:r>
        <w:rPr>
          <w:rFonts w:ascii="SimSun" w:hAnsi="SimSun" w:eastAsia="SimSun" w:cs="SimSun"/>
          <w:sz w:val="21"/>
          <w:szCs w:val="21"/>
          <w:spacing w:val="-1"/>
        </w:rPr>
        <w:t>一体化经营模式,</w:t>
      </w:r>
      <w:r>
        <w:rPr>
          <w:rFonts w:ascii="SimSun" w:hAnsi="SimSun" w:eastAsia="SimSun" w:cs="SimSun"/>
          <w:sz w:val="21"/>
          <w:szCs w:val="21"/>
          <w:spacing w:val="29"/>
        </w:rPr>
        <w:t xml:space="preserve"> </w:t>
      </w:r>
      <w:r>
        <w:rPr>
          <w:rFonts w:ascii="SimSun" w:hAnsi="SimSun" w:eastAsia="SimSun" w:cs="SimSun"/>
          <w:sz w:val="21"/>
          <w:szCs w:val="21"/>
          <w:spacing w:val="-1"/>
        </w:rPr>
        <w:t>完善配套政策、产品、</w:t>
      </w:r>
      <w:r>
        <w:rPr>
          <w:rFonts w:ascii="SimSun" w:hAnsi="SimSun" w:eastAsia="SimSun" w:cs="SimSun"/>
          <w:sz w:val="21"/>
          <w:szCs w:val="21"/>
          <w:spacing w:val="-2"/>
        </w:rPr>
        <w:t>数据和系统,</w:t>
      </w:r>
      <w:r>
        <w:rPr>
          <w:rFonts w:ascii="SimSun" w:hAnsi="SimSun" w:eastAsia="SimSun" w:cs="SimSun"/>
          <w:sz w:val="21"/>
          <w:szCs w:val="21"/>
          <w:spacing w:val="29"/>
        </w:rPr>
        <w:t xml:space="preserve"> </w:t>
      </w:r>
      <w:r>
        <w:rPr>
          <w:rFonts w:ascii="SimSun" w:hAnsi="SimSun" w:eastAsia="SimSun" w:cs="SimSun"/>
          <w:sz w:val="21"/>
          <w:szCs w:val="21"/>
          <w:spacing w:val="-2"/>
        </w:rPr>
        <w:t>设立</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2"/>
        </w:rPr>
        <w:t>7 </w:t>
      </w:r>
      <w:r>
        <w:rPr>
          <w:rFonts w:ascii="SimSun" w:hAnsi="SimSun" w:eastAsia="SimSun" w:cs="SimSun"/>
          <w:sz w:val="21"/>
          <w:szCs w:val="21"/>
          <w:spacing w:val="-2"/>
        </w:rPr>
        <w:t>支投向战略性新兴产业及科创企业的私 </w:t>
      </w:r>
      <w:r>
        <w:rPr>
          <w:rFonts w:ascii="SimSun" w:hAnsi="SimSun" w:eastAsia="SimSun" w:cs="SimSun"/>
          <w:sz w:val="21"/>
          <w:szCs w:val="21"/>
          <w:spacing w:val="-2"/>
        </w:rPr>
        <w:t>募股权投资基金。报告期末, 科技金融授信客户数较上年末增长</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2"/>
        </w:rPr>
        <w:t>49.55%</w:t>
      </w:r>
      <w:r>
        <w:rPr>
          <w:rFonts w:ascii="SimSun" w:hAnsi="SimSun" w:eastAsia="SimSun" w:cs="SimSun"/>
          <w:sz w:val="21"/>
          <w:szCs w:val="21"/>
          <w:spacing w:val="-2"/>
        </w:rPr>
        <w:t>; 战略性新兴产业贷款余</w:t>
      </w:r>
      <w:r>
        <w:rPr>
          <w:rFonts w:ascii="SimSun" w:hAnsi="SimSun" w:eastAsia="SimSun" w:cs="SimSun"/>
          <w:sz w:val="21"/>
          <w:szCs w:val="21"/>
          <w:spacing w:val="-3"/>
        </w:rPr>
        <w:t>额较上年 </w:t>
      </w:r>
      <w:r>
        <w:rPr>
          <w:rFonts w:ascii="SimSun" w:hAnsi="SimSun" w:eastAsia="SimSun" w:cs="SimSun"/>
          <w:sz w:val="21"/>
          <w:szCs w:val="21"/>
          <w:spacing w:val="-1"/>
        </w:rPr>
        <w:t>末增长</w:t>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1"/>
        </w:rPr>
        <w:t>109.88%</w:t>
      </w:r>
      <w:r>
        <w:rPr>
          <w:rFonts w:ascii="SimSun" w:hAnsi="SimSun" w:eastAsia="SimSun" w:cs="SimSun"/>
          <w:sz w:val="21"/>
          <w:szCs w:val="21"/>
          <w:spacing w:val="-1"/>
        </w:rPr>
        <w:t>;服务专精特新"小巨人"企业</w:t>
      </w:r>
      <w:r>
        <w:rPr>
          <w:rFonts w:ascii="SimSun" w:hAnsi="SimSun" w:eastAsia="SimSun" w:cs="SimSun"/>
          <w:sz w:val="21"/>
          <w:szCs w:val="21"/>
          <w:spacing w:val="-61"/>
        </w:rPr>
        <w:t xml:space="preserve"> </w:t>
      </w:r>
      <w:r>
        <w:rPr>
          <w:rFonts w:ascii="Times New Roman" w:hAnsi="Times New Roman" w:eastAsia="Times New Roman" w:cs="Times New Roman"/>
          <w:sz w:val="21"/>
          <w:szCs w:val="21"/>
          <w:spacing w:val="-1"/>
        </w:rPr>
        <w:t>3</w:t>
      </w:r>
      <w:r>
        <w:rPr>
          <w:rFonts w:ascii="Times New Roman" w:hAnsi="Times New Roman" w:eastAsia="Times New Roman" w:cs="Times New Roman"/>
          <w:sz w:val="21"/>
          <w:szCs w:val="21"/>
          <w:spacing w:val="-2"/>
        </w:rPr>
        <w:t>,275 </w:t>
      </w:r>
      <w:r>
        <w:rPr>
          <w:rFonts w:ascii="SimSun" w:hAnsi="SimSun" w:eastAsia="SimSun" w:cs="SimSun"/>
          <w:sz w:val="21"/>
          <w:szCs w:val="21"/>
          <w:spacing w:val="-2"/>
        </w:rPr>
        <w:t>户,市场覆盖度</w:t>
      </w:r>
      <w:r>
        <w:rPr>
          <w:rFonts w:ascii="SimSun" w:hAnsi="SimSun" w:eastAsia="SimSun" w:cs="SimSun"/>
          <w:sz w:val="21"/>
          <w:szCs w:val="21"/>
          <w:spacing w:val="-57"/>
        </w:rPr>
        <w:t xml:space="preserve"> </w:t>
      </w:r>
      <w:r>
        <w:rPr>
          <w:rFonts w:ascii="Times New Roman" w:hAnsi="Times New Roman" w:eastAsia="Times New Roman" w:cs="Times New Roman"/>
          <w:sz w:val="21"/>
          <w:szCs w:val="21"/>
          <w:spacing w:val="-2"/>
        </w:rPr>
        <w:t>36.30%</w:t>
      </w:r>
      <w:r>
        <w:rPr>
          <w:rFonts w:ascii="SimSun" w:hAnsi="SimSun" w:eastAsia="SimSun" w:cs="SimSun"/>
          <w:sz w:val="21"/>
          <w:szCs w:val="21"/>
          <w:spacing w:val="-2"/>
        </w:rPr>
        <w:t>,贷款余额较上年末增长</w:t>
      </w:r>
      <w:r>
        <w:rPr>
          <w:rFonts w:ascii="SimSun" w:hAnsi="SimSun" w:eastAsia="SimSun" w:cs="SimSun"/>
          <w:sz w:val="21"/>
          <w:szCs w:val="21"/>
          <w:spacing w:val="-61"/>
        </w:rPr>
        <w:t xml:space="preserve"> </w:t>
      </w:r>
      <w:r>
        <w:rPr>
          <w:rFonts w:ascii="Times New Roman" w:hAnsi="Times New Roman" w:eastAsia="Times New Roman" w:cs="Times New Roman"/>
          <w:sz w:val="21"/>
          <w:szCs w:val="21"/>
          <w:spacing w:val="-2"/>
        </w:rPr>
        <w:t>75.52%</w:t>
      </w:r>
      <w:r>
        <w:rPr>
          <w:rFonts w:ascii="SimSun" w:hAnsi="SimSun" w:eastAsia="SimSun" w:cs="SimSun"/>
          <w:sz w:val="21"/>
          <w:szCs w:val="21"/>
          <w:spacing w:val="-2"/>
        </w:rPr>
        <w:t>。</w:t>
      </w:r>
    </w:p>
    <w:p>
      <w:pPr>
        <w:pStyle w:val="BodyText"/>
        <w:spacing w:line="246" w:lineRule="auto"/>
        <w:rPr/>
      </w:pPr>
      <w:r/>
    </w:p>
    <w:p>
      <w:pPr>
        <w:ind w:left="424"/>
        <w:spacing w:before="69" w:line="222"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3"/>
        </w:rPr>
        <w:t>6.</w:t>
      </w:r>
      <w:r>
        <w:rPr>
          <w:rFonts w:ascii="SimSun" w:hAnsi="SimSun" w:eastAsia="SimSun" w:cs="SimSun"/>
          <w:sz w:val="21"/>
          <w:szCs w:val="21"/>
          <w:b/>
          <w:bCs/>
          <w:spacing w:val="-3"/>
        </w:rPr>
        <w:t>投资银行</w:t>
      </w:r>
    </w:p>
    <w:p>
      <w:pPr>
        <w:ind w:left="1" w:right="73" w:firstLine="423"/>
        <w:spacing w:before="305" w:line="303" w:lineRule="auto"/>
        <w:jc w:val="both"/>
        <w:rPr>
          <w:rFonts w:ascii="SimSun" w:hAnsi="SimSun" w:eastAsia="SimSun" w:cs="SimSun"/>
          <w:sz w:val="21"/>
          <w:szCs w:val="21"/>
        </w:rPr>
      </w:pPr>
      <w:r>
        <w:rPr>
          <w:rFonts w:ascii="SimSun" w:hAnsi="SimSun" w:eastAsia="SimSun" w:cs="SimSun"/>
          <w:sz w:val="21"/>
          <w:szCs w:val="21"/>
          <w:spacing w:val="4"/>
        </w:rPr>
        <w:t>持续做大投行全量融资规模,打造创新型投资银行。报告期内, </w:t>
      </w:r>
      <w:r>
        <w:rPr>
          <w:rFonts w:ascii="Times New Roman" w:hAnsi="Times New Roman" w:eastAsia="Times New Roman" w:cs="Times New Roman"/>
          <w:sz w:val="21"/>
          <w:szCs w:val="21"/>
        </w:rPr>
        <w:t>NAFMII</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4"/>
        </w:rPr>
        <w:t>口径债券(非金融企业</w:t>
      </w:r>
      <w:r>
        <w:rPr>
          <w:rFonts w:ascii="SimSun" w:hAnsi="SimSun" w:eastAsia="SimSun" w:cs="SimSun"/>
          <w:sz w:val="21"/>
          <w:szCs w:val="21"/>
          <w:spacing w:val="3"/>
        </w:rPr>
        <w:t>债务</w:t>
      </w:r>
      <w:r>
        <w:rPr>
          <w:rFonts w:ascii="SimSun" w:hAnsi="SimSun" w:eastAsia="SimSun" w:cs="SimSun"/>
          <w:sz w:val="21"/>
          <w:szCs w:val="21"/>
        </w:rPr>
        <w:t xml:space="preserve"> </w:t>
      </w:r>
      <w:r>
        <w:rPr>
          <w:rFonts w:ascii="SimSun" w:hAnsi="SimSun" w:eastAsia="SimSun" w:cs="SimSun"/>
          <w:sz w:val="21"/>
          <w:szCs w:val="21"/>
        </w:rPr>
        <w:t>融资工具) 承销规模 </w:t>
      </w:r>
      <w:r>
        <w:rPr>
          <w:rFonts w:ascii="Times New Roman" w:hAnsi="Times New Roman" w:eastAsia="Times New Roman" w:cs="Times New Roman"/>
          <w:sz w:val="21"/>
          <w:szCs w:val="21"/>
        </w:rPr>
        <w:t>4,105.76  </w:t>
      </w:r>
      <w:r>
        <w:rPr>
          <w:rFonts w:ascii="SimSun" w:hAnsi="SimSun" w:eastAsia="SimSun" w:cs="SimSun"/>
          <w:sz w:val="21"/>
          <w:szCs w:val="21"/>
        </w:rPr>
        <w:t>亿元。把握国企</w:t>
      </w:r>
      <w:r>
        <w:rPr>
          <w:rFonts w:ascii="SimSun" w:hAnsi="SimSun" w:eastAsia="SimSun" w:cs="SimSun"/>
          <w:sz w:val="21"/>
          <w:szCs w:val="21"/>
          <w:spacing w:val="-1"/>
        </w:rPr>
        <w:t>改革三年行动业务机遇, </w:t>
      </w:r>
      <w:r>
        <w:rPr>
          <w:rFonts w:ascii="Times New Roman" w:hAnsi="Times New Roman" w:eastAsia="Times New Roman" w:cs="Times New Roman"/>
          <w:sz w:val="21"/>
          <w:szCs w:val="21"/>
          <w:spacing w:val="-1"/>
        </w:rPr>
        <w:t>2022  </w:t>
      </w:r>
      <w:r>
        <w:rPr>
          <w:rFonts w:ascii="SimSun" w:hAnsi="SimSun" w:eastAsia="SimSun" w:cs="SimSun"/>
          <w:sz w:val="21"/>
          <w:szCs w:val="21"/>
          <w:spacing w:val="-1"/>
        </w:rPr>
        <w:t>年境内外并购金融新增规模</w:t>
      </w:r>
      <w:r>
        <w:rPr>
          <w:rFonts w:ascii="SimSun" w:hAnsi="SimSun" w:eastAsia="SimSun" w:cs="SimSun"/>
          <w:sz w:val="21"/>
          <w:szCs w:val="21"/>
        </w:rPr>
        <w:t xml:space="preserve"> </w:t>
      </w:r>
      <w:r>
        <w:rPr>
          <w:rFonts w:ascii="Times New Roman" w:hAnsi="Times New Roman" w:eastAsia="Times New Roman" w:cs="Times New Roman"/>
          <w:sz w:val="21"/>
          <w:szCs w:val="21"/>
          <w:spacing w:val="-2"/>
        </w:rPr>
        <w:t>842 </w:t>
      </w:r>
      <w:r>
        <w:rPr>
          <w:rFonts w:ascii="SimSun" w:hAnsi="SimSun" w:eastAsia="SimSun" w:cs="SimSun"/>
          <w:sz w:val="21"/>
          <w:szCs w:val="21"/>
          <w:spacing w:val="-2"/>
        </w:rPr>
        <w:t>亿元,</w:t>
      </w:r>
      <w:r>
        <w:rPr>
          <w:rFonts w:ascii="SimSun" w:hAnsi="SimSun" w:eastAsia="SimSun" w:cs="SimSun"/>
          <w:sz w:val="21"/>
          <w:szCs w:val="21"/>
          <w:spacing w:val="40"/>
        </w:rPr>
        <w:t xml:space="preserve"> </w:t>
      </w:r>
      <w:r>
        <w:rPr>
          <w:rFonts w:ascii="SimSun" w:hAnsi="SimSun" w:eastAsia="SimSun" w:cs="SimSun"/>
          <w:sz w:val="21"/>
          <w:szCs w:val="21"/>
          <w:spacing w:val="-2"/>
        </w:rPr>
        <w:t>同比增长</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2"/>
        </w:rPr>
        <w:t>14.82%</w:t>
      </w:r>
      <w:r>
        <w:rPr>
          <w:rFonts w:ascii="SimSun" w:hAnsi="SimSun" w:eastAsia="SimSun" w:cs="SimSun"/>
          <w:sz w:val="21"/>
          <w:szCs w:val="21"/>
          <w:spacing w:val="-2"/>
        </w:rPr>
        <w:t>, 其中, 境内人民币并购贷款净增规模连续三年保持同业领先。服务绿</w:t>
      </w:r>
      <w:r>
        <w:rPr>
          <w:rFonts w:ascii="SimSun" w:hAnsi="SimSun" w:eastAsia="SimSun" w:cs="SimSun"/>
          <w:sz w:val="21"/>
          <w:szCs w:val="21"/>
          <w:spacing w:val="-3"/>
        </w:rPr>
        <w:t>色发展</w:t>
      </w:r>
      <w:r>
        <w:rPr>
          <w:rFonts w:ascii="SimSun" w:hAnsi="SimSun" w:eastAsia="SimSun" w:cs="SimSun"/>
          <w:sz w:val="21"/>
          <w:szCs w:val="21"/>
        </w:rPr>
        <w:t xml:space="preserve"> </w:t>
      </w:r>
      <w:r>
        <w:rPr>
          <w:rFonts w:ascii="SimSun" w:hAnsi="SimSun" w:eastAsia="SimSun" w:cs="SimSun"/>
          <w:sz w:val="21"/>
          <w:szCs w:val="21"/>
          <w:spacing w:val="1"/>
        </w:rPr>
        <w:t>战略, 主承销绿色债券(含碳中和债)</w:t>
      </w:r>
      <w:r>
        <w:rPr>
          <w:rFonts w:ascii="SimSun" w:hAnsi="SimSun" w:eastAsia="SimSun" w:cs="SimSun"/>
          <w:sz w:val="21"/>
          <w:szCs w:val="21"/>
          <w:spacing w:val="-22"/>
        </w:rPr>
        <w:t xml:space="preserve"> </w:t>
      </w:r>
      <w:r>
        <w:rPr>
          <w:rFonts w:ascii="Times New Roman" w:hAnsi="Times New Roman" w:eastAsia="Times New Roman" w:cs="Times New Roman"/>
          <w:sz w:val="21"/>
          <w:szCs w:val="21"/>
          <w:spacing w:val="1"/>
        </w:rPr>
        <w:t>71.65 </w:t>
      </w:r>
      <w:r>
        <w:rPr>
          <w:rFonts w:ascii="SimSun" w:hAnsi="SimSun" w:eastAsia="SimSun" w:cs="SimSun"/>
          <w:sz w:val="21"/>
          <w:szCs w:val="21"/>
          <w:spacing w:val="1"/>
        </w:rPr>
        <w:t>亿元, 投资绿色新能源股权</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1"/>
        </w:rPr>
        <w:t>3</w:t>
      </w:r>
      <w:r>
        <w:rPr>
          <w:rFonts w:ascii="Times New Roman" w:hAnsi="Times New Roman" w:eastAsia="Times New Roman" w:cs="Times New Roman"/>
          <w:sz w:val="21"/>
          <w:szCs w:val="21"/>
        </w:rPr>
        <w:t>0.18 </w:t>
      </w:r>
      <w:r>
        <w:rPr>
          <w:rFonts w:ascii="SimSun" w:hAnsi="SimSun" w:eastAsia="SimSun" w:cs="SimSun"/>
          <w:sz w:val="21"/>
          <w:szCs w:val="21"/>
        </w:rPr>
        <w:t>亿元。促进房地产市场平稳 </w:t>
      </w:r>
      <w:r>
        <w:rPr>
          <w:rFonts w:ascii="SimSun" w:hAnsi="SimSun" w:eastAsia="SimSun" w:cs="SimSun"/>
          <w:sz w:val="21"/>
          <w:szCs w:val="21"/>
          <w:spacing w:val="-1"/>
        </w:rPr>
        <w:t>健康发展,助力地产企业发债融资</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1"/>
        </w:rPr>
        <w:t>166.43 </w:t>
      </w:r>
      <w:r>
        <w:rPr>
          <w:rFonts w:ascii="SimSun" w:hAnsi="SimSun" w:eastAsia="SimSun" w:cs="SimSun"/>
          <w:sz w:val="21"/>
          <w:szCs w:val="21"/>
          <w:spacing w:val="-1"/>
        </w:rPr>
        <w:t>亿元,落地房地产并购贷款</w:t>
      </w:r>
      <w:r>
        <w:rPr>
          <w:rFonts w:ascii="SimSun" w:hAnsi="SimSun" w:eastAsia="SimSun" w:cs="SimSun"/>
          <w:sz w:val="21"/>
          <w:szCs w:val="21"/>
          <w:spacing w:val="-51"/>
        </w:rPr>
        <w:t xml:space="preserve"> </w:t>
      </w:r>
      <w:r>
        <w:rPr>
          <w:rFonts w:ascii="Times New Roman" w:hAnsi="Times New Roman" w:eastAsia="Times New Roman" w:cs="Times New Roman"/>
          <w:sz w:val="21"/>
          <w:szCs w:val="21"/>
          <w:spacing w:val="-1"/>
        </w:rPr>
        <w:t>77.89 </w:t>
      </w:r>
      <w:r>
        <w:rPr>
          <w:rFonts w:ascii="SimSun" w:hAnsi="SimSun" w:eastAsia="SimSun" w:cs="SimSun"/>
          <w:sz w:val="21"/>
          <w:szCs w:val="21"/>
          <w:spacing w:val="-1"/>
        </w:rPr>
        <w:t>亿元,投放房地产股权信托</w:t>
      </w:r>
      <w:r>
        <w:rPr>
          <w:rFonts w:ascii="SimSun" w:hAnsi="SimSun" w:eastAsia="SimSun" w:cs="SimSun"/>
          <w:sz w:val="21"/>
          <w:szCs w:val="21"/>
          <w:spacing w:val="-49"/>
        </w:rPr>
        <w:t xml:space="preserve"> </w:t>
      </w:r>
      <w:r>
        <w:rPr>
          <w:rFonts w:ascii="Times New Roman" w:hAnsi="Times New Roman" w:eastAsia="Times New Roman" w:cs="Times New Roman"/>
          <w:sz w:val="21"/>
          <w:szCs w:val="21"/>
          <w:spacing w:val="-1"/>
        </w:rPr>
        <w:t>74.87</w:t>
      </w:r>
      <w:r>
        <w:rPr>
          <w:rFonts w:ascii="Times New Roman" w:hAnsi="Times New Roman" w:eastAsia="Times New Roman" w:cs="Times New Roman"/>
          <w:sz w:val="21"/>
          <w:szCs w:val="21"/>
        </w:rPr>
        <w:t xml:space="preserve"> </w:t>
      </w:r>
      <w:r>
        <w:rPr>
          <w:rFonts w:ascii="SimSun" w:hAnsi="SimSun" w:eastAsia="SimSun" w:cs="SimSun"/>
          <w:sz w:val="21"/>
          <w:szCs w:val="21"/>
          <w:spacing w:val="10"/>
        </w:rPr>
        <w:t>亿元。 做深"融资""融智"协同服务,迭代升级"蕴通 </w:t>
      </w:r>
      <w:r>
        <w:rPr>
          <w:rFonts w:ascii="Times New Roman" w:hAnsi="Times New Roman" w:eastAsia="Times New Roman" w:cs="Times New Roman"/>
          <w:sz w:val="21"/>
          <w:szCs w:val="21"/>
          <w:spacing w:val="10"/>
        </w:rPr>
        <w:t>e  </w:t>
      </w:r>
      <w:r>
        <w:rPr>
          <w:rFonts w:ascii="SimSun" w:hAnsi="SimSun" w:eastAsia="SimSun" w:cs="SimSun"/>
          <w:sz w:val="21"/>
          <w:szCs w:val="21"/>
          <w:spacing w:val="10"/>
        </w:rPr>
        <w:t>智"顾问系统, 上线投行全量融资平台。全方</w:t>
      </w:r>
      <w:r>
        <w:rPr>
          <w:rFonts w:ascii="SimSun" w:hAnsi="SimSun" w:eastAsia="SimSun" w:cs="SimSun"/>
          <w:sz w:val="21"/>
          <w:szCs w:val="21"/>
        </w:rPr>
        <w:t xml:space="preserve"> </w:t>
      </w:r>
      <w:r>
        <w:rPr>
          <w:rFonts w:ascii="SimSun" w:hAnsi="SimSun" w:eastAsia="SimSun" w:cs="SimSun"/>
          <w:sz w:val="21"/>
          <w:szCs w:val="21"/>
          <w:spacing w:val="4"/>
        </w:rPr>
        <w:t>位提升产品服务创新能力,</w:t>
      </w:r>
      <w:r>
        <w:rPr>
          <w:rFonts w:ascii="SimSun" w:hAnsi="SimSun" w:eastAsia="SimSun" w:cs="SimSun"/>
          <w:sz w:val="21"/>
          <w:szCs w:val="21"/>
          <w:spacing w:val="50"/>
        </w:rPr>
        <w:t xml:space="preserve"> </w:t>
      </w:r>
      <w:r>
        <w:rPr>
          <w:rFonts w:ascii="SimSun" w:hAnsi="SimSun" w:eastAsia="SimSun" w:cs="SimSun"/>
          <w:sz w:val="21"/>
          <w:szCs w:val="21"/>
          <w:spacing w:val="4"/>
        </w:rPr>
        <w:t>获中央国债登记结算有限责任公司"优秀</w:t>
      </w:r>
      <w:r>
        <w:rPr>
          <w:rFonts w:ascii="SimSun" w:hAnsi="SimSun" w:eastAsia="SimSun" w:cs="SimSun"/>
          <w:sz w:val="21"/>
          <w:szCs w:val="21"/>
          <w:spacing w:val="-53"/>
        </w:rPr>
        <w:t xml:space="preserve"> </w:t>
      </w:r>
      <w:r>
        <w:rPr>
          <w:rFonts w:ascii="Times New Roman" w:hAnsi="Times New Roman" w:eastAsia="Times New Roman" w:cs="Times New Roman"/>
          <w:sz w:val="21"/>
          <w:szCs w:val="21"/>
        </w:rPr>
        <w:t>ABS</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4"/>
        </w:rPr>
        <w:t>发起机构"等奖项。</w:t>
      </w:r>
    </w:p>
    <w:p>
      <w:pPr>
        <w:pStyle w:val="BodyText"/>
        <w:spacing w:line="241" w:lineRule="auto"/>
        <w:rPr/>
      </w:pPr>
      <w:r/>
    </w:p>
    <w:p>
      <w:pPr>
        <w:ind w:left="535"/>
        <w:spacing w:before="68" w:line="221" w:lineRule="auto"/>
        <w:rPr>
          <w:rFonts w:ascii="SimSun" w:hAnsi="SimSun" w:eastAsia="SimSun" w:cs="SimSun"/>
          <w:sz w:val="21"/>
          <w:szCs w:val="21"/>
        </w:rPr>
      </w:pPr>
      <w:r>
        <w:rPr>
          <w:rFonts w:ascii="SimSun" w:hAnsi="SimSun" w:eastAsia="SimSun" w:cs="SimSun"/>
          <w:sz w:val="21"/>
          <w:szCs w:val="21"/>
          <w:b/>
          <w:bCs/>
          <w:spacing w:val="9"/>
        </w:rPr>
        <w:t>(三)个人金融业务</w:t>
      </w:r>
    </w:p>
    <w:p>
      <w:pPr>
        <w:ind w:left="3" w:right="72" w:firstLine="432"/>
        <w:spacing w:before="305" w:line="285" w:lineRule="auto"/>
        <w:jc w:val="both"/>
        <w:rPr>
          <w:rFonts w:ascii="SimSun" w:hAnsi="SimSun" w:eastAsia="SimSun" w:cs="SimSun"/>
          <w:sz w:val="21"/>
          <w:szCs w:val="21"/>
        </w:rPr>
      </w:pPr>
      <w:r>
        <w:rPr>
          <w:rFonts w:ascii="SimSun" w:hAnsi="SimSun" w:eastAsia="SimSun" w:cs="SimSun"/>
          <w:sz w:val="21"/>
          <w:szCs w:val="21"/>
        </w:rPr>
        <w:t>◆个人存款增量增幅创历史最佳,成本管控效果明显。报告期末,</w:t>
      </w:r>
      <w:r>
        <w:rPr>
          <w:rFonts w:ascii="SimSun" w:hAnsi="SimSun" w:eastAsia="SimSun" w:cs="SimSun"/>
          <w:sz w:val="21"/>
          <w:szCs w:val="21"/>
          <w:spacing w:val="40"/>
        </w:rPr>
        <w:t xml:space="preserve"> </w:t>
      </w:r>
      <w:r>
        <w:rPr>
          <w:rFonts w:ascii="SimSun" w:hAnsi="SimSun" w:eastAsia="SimSun" w:cs="SimSun"/>
          <w:sz w:val="21"/>
          <w:szCs w:val="21"/>
        </w:rPr>
        <w:t>个人存款余额 </w:t>
      </w:r>
      <w:r>
        <w:rPr>
          <w:rFonts w:ascii="Times New Roman" w:hAnsi="Times New Roman" w:eastAsia="Times New Roman" w:cs="Times New Roman"/>
          <w:sz w:val="21"/>
          <w:szCs w:val="21"/>
        </w:rPr>
        <w:t>29,557.24</w:t>
      </w:r>
      <w:r>
        <w:rPr>
          <w:rFonts w:ascii="Times New Roman" w:hAnsi="Times New Roman" w:eastAsia="Times New Roman" w:cs="Times New Roman"/>
          <w:sz w:val="21"/>
          <w:szCs w:val="21"/>
          <w:spacing w:val="50"/>
        </w:rPr>
        <w:t xml:space="preserve"> </w:t>
      </w:r>
      <w:r>
        <w:rPr>
          <w:rFonts w:ascii="SimSun" w:hAnsi="SimSun" w:eastAsia="SimSun" w:cs="SimSun"/>
          <w:sz w:val="21"/>
          <w:szCs w:val="21"/>
        </w:rPr>
        <w:t>亿元,</w:t>
      </w:r>
      <w:r>
        <w:rPr>
          <w:rFonts w:ascii="SimSun" w:hAnsi="SimSun" w:eastAsia="SimSun" w:cs="SimSun"/>
          <w:sz w:val="21"/>
          <w:szCs w:val="21"/>
          <w:spacing w:val="29"/>
        </w:rPr>
        <w:t xml:space="preserve"> </w:t>
      </w:r>
      <w:r>
        <w:rPr>
          <w:rFonts w:ascii="SimSun" w:hAnsi="SimSun" w:eastAsia="SimSun" w:cs="SimSun"/>
          <w:sz w:val="21"/>
          <w:szCs w:val="21"/>
        </w:rPr>
        <w:t>较 </w:t>
      </w:r>
      <w:r>
        <w:rPr>
          <w:rFonts w:ascii="SimSun" w:hAnsi="SimSun" w:eastAsia="SimSun" w:cs="SimSun"/>
          <w:sz w:val="21"/>
          <w:szCs w:val="21"/>
          <w:spacing w:val="-1"/>
        </w:rPr>
        <w:t>上年末增长</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1"/>
        </w:rPr>
        <w:t>23.01%</w:t>
      </w:r>
      <w:r>
        <w:rPr>
          <w:rFonts w:ascii="SimSun" w:hAnsi="SimSun" w:eastAsia="SimSun" w:cs="SimSun"/>
          <w:sz w:val="21"/>
          <w:szCs w:val="21"/>
          <w:spacing w:val="-1"/>
        </w:rPr>
        <w:t>。结构性存款与大额存单日均规模分别较上年压降</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1"/>
        </w:rPr>
        <w:t>747 </w:t>
      </w:r>
      <w:r>
        <w:rPr>
          <w:rFonts w:ascii="SimSun" w:hAnsi="SimSun" w:eastAsia="SimSun" w:cs="SimSun"/>
          <w:sz w:val="21"/>
          <w:szCs w:val="21"/>
          <w:spacing w:val="-1"/>
        </w:rPr>
        <w:t>亿元、</w:t>
      </w:r>
      <w:r>
        <w:rPr>
          <w:rFonts w:ascii="Times New Roman" w:hAnsi="Times New Roman" w:eastAsia="Times New Roman" w:cs="Times New Roman"/>
          <w:sz w:val="21"/>
          <w:szCs w:val="21"/>
          <w:spacing w:val="-1"/>
        </w:rPr>
        <w:t>269 </w:t>
      </w:r>
      <w:r>
        <w:rPr>
          <w:rFonts w:ascii="SimSun" w:hAnsi="SimSun" w:eastAsia="SimSun" w:cs="SimSun"/>
          <w:sz w:val="21"/>
          <w:szCs w:val="21"/>
          <w:spacing w:val="-1"/>
        </w:rPr>
        <w:t>亿元, 推</w:t>
      </w:r>
      <w:r>
        <w:rPr>
          <w:rFonts w:ascii="SimSun" w:hAnsi="SimSun" w:eastAsia="SimSun" w:cs="SimSun"/>
          <w:sz w:val="21"/>
          <w:szCs w:val="21"/>
          <w:spacing w:val="-2"/>
        </w:rPr>
        <w:t>动境内行个</w:t>
      </w:r>
      <w:r>
        <w:rPr>
          <w:rFonts w:ascii="SimSun" w:hAnsi="SimSun" w:eastAsia="SimSun" w:cs="SimSun"/>
          <w:sz w:val="21"/>
          <w:szCs w:val="21"/>
        </w:rPr>
        <w:t xml:space="preserve"> </w:t>
      </w:r>
      <w:r>
        <w:rPr>
          <w:rFonts w:ascii="SimSun" w:hAnsi="SimSun" w:eastAsia="SimSun" w:cs="SimSun"/>
          <w:sz w:val="21"/>
          <w:szCs w:val="21"/>
          <w:spacing w:val="-1"/>
        </w:rPr>
        <w:t>人存款平均成本率同比下降</w:t>
      </w:r>
      <w:r>
        <w:rPr>
          <w:rFonts w:ascii="SimSun" w:hAnsi="SimSun" w:eastAsia="SimSun" w:cs="SimSun"/>
          <w:sz w:val="21"/>
          <w:szCs w:val="21"/>
          <w:spacing w:val="-40"/>
        </w:rPr>
        <w:t xml:space="preserve"> </w:t>
      </w:r>
      <w:r>
        <w:rPr>
          <w:rFonts w:ascii="Times New Roman" w:hAnsi="Times New Roman" w:eastAsia="Times New Roman" w:cs="Times New Roman"/>
          <w:sz w:val="21"/>
          <w:szCs w:val="21"/>
          <w:spacing w:val="-1"/>
        </w:rPr>
        <w:t>7 </w:t>
      </w:r>
      <w:r>
        <w:rPr>
          <w:rFonts w:ascii="SimSun" w:hAnsi="SimSun" w:eastAsia="SimSun" w:cs="SimSun"/>
          <w:sz w:val="21"/>
          <w:szCs w:val="21"/>
          <w:spacing w:val="-1"/>
        </w:rPr>
        <w:t>个基点。</w:t>
      </w:r>
    </w:p>
    <w:p>
      <w:pPr>
        <w:pStyle w:val="BodyText"/>
        <w:spacing w:line="241" w:lineRule="auto"/>
        <w:rPr/>
      </w:pPr>
      <w:r/>
    </w:p>
    <w:p>
      <w:pPr>
        <w:ind w:left="2" w:right="72" w:firstLine="433"/>
        <w:spacing w:before="69" w:line="281" w:lineRule="auto"/>
        <w:rPr>
          <w:rFonts w:ascii="SimSun" w:hAnsi="SimSun" w:eastAsia="SimSun" w:cs="SimSun"/>
          <w:sz w:val="21"/>
          <w:szCs w:val="21"/>
        </w:rPr>
      </w:pPr>
      <w:r>
        <w:rPr>
          <w:rFonts w:ascii="SimSun" w:hAnsi="SimSun" w:eastAsia="SimSun" w:cs="SimSun"/>
          <w:sz w:val="21"/>
          <w:szCs w:val="21"/>
          <w:spacing w:val="-2"/>
        </w:rPr>
        <w:t>◆个人信贷业务顶住多重压力实现稳定增长。报告期末,</w:t>
      </w:r>
      <w:r>
        <w:rPr>
          <w:rFonts w:ascii="SimSun" w:hAnsi="SimSun" w:eastAsia="SimSun" w:cs="SimSun"/>
          <w:sz w:val="21"/>
          <w:szCs w:val="21"/>
          <w:spacing w:val="32"/>
        </w:rPr>
        <w:t xml:space="preserve"> </w:t>
      </w:r>
      <w:r>
        <w:rPr>
          <w:rFonts w:ascii="SimSun" w:hAnsi="SimSun" w:eastAsia="SimSun" w:cs="SimSun"/>
          <w:sz w:val="21"/>
          <w:szCs w:val="21"/>
          <w:spacing w:val="-2"/>
        </w:rPr>
        <w:t>个人贷款余额 </w:t>
      </w:r>
      <w:r>
        <w:rPr>
          <w:rFonts w:ascii="Times New Roman" w:hAnsi="Times New Roman" w:eastAsia="Times New Roman" w:cs="Times New Roman"/>
          <w:sz w:val="21"/>
          <w:szCs w:val="21"/>
          <w:spacing w:val="-2"/>
        </w:rPr>
        <w:t>23,665.07</w:t>
      </w:r>
      <w:r>
        <w:rPr>
          <w:rFonts w:ascii="Times New Roman" w:hAnsi="Times New Roman" w:eastAsia="Times New Roman" w:cs="Times New Roman"/>
          <w:sz w:val="21"/>
          <w:szCs w:val="21"/>
          <w:spacing w:val="51"/>
        </w:rPr>
        <w:t xml:space="preserve"> </w:t>
      </w:r>
      <w:r>
        <w:rPr>
          <w:rFonts w:ascii="SimSun" w:hAnsi="SimSun" w:eastAsia="SimSun" w:cs="SimSun"/>
          <w:sz w:val="21"/>
          <w:szCs w:val="21"/>
          <w:spacing w:val="-2"/>
        </w:rPr>
        <w:t>亿元,</w:t>
      </w:r>
      <w:r>
        <w:rPr>
          <w:rFonts w:ascii="SimSun" w:hAnsi="SimSun" w:eastAsia="SimSun" w:cs="SimSun"/>
          <w:sz w:val="21"/>
          <w:szCs w:val="21"/>
          <w:spacing w:val="29"/>
        </w:rPr>
        <w:t xml:space="preserve"> </w:t>
      </w:r>
      <w:r>
        <w:rPr>
          <w:rFonts w:ascii="SimSun" w:hAnsi="SimSun" w:eastAsia="SimSun" w:cs="SimSun"/>
          <w:sz w:val="21"/>
          <w:szCs w:val="21"/>
          <w:spacing w:val="-2"/>
        </w:rPr>
        <w:t>较上年末增</w:t>
      </w:r>
      <w:r>
        <w:rPr>
          <w:rFonts w:ascii="SimSun" w:hAnsi="SimSun" w:eastAsia="SimSun" w:cs="SimSun"/>
          <w:sz w:val="21"/>
          <w:szCs w:val="21"/>
        </w:rPr>
        <w:t xml:space="preserve"> </w:t>
      </w:r>
      <w:r>
        <w:rPr>
          <w:rFonts w:ascii="SimSun" w:hAnsi="SimSun" w:eastAsia="SimSun" w:cs="SimSun"/>
          <w:sz w:val="21"/>
          <w:szCs w:val="21"/>
          <w:spacing w:val="-4"/>
        </w:rPr>
        <w:t>长</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4"/>
        </w:rPr>
        <w:t>3.56%</w:t>
      </w:r>
      <w:r>
        <w:rPr>
          <w:rFonts w:ascii="SimSun" w:hAnsi="SimSun" w:eastAsia="SimSun" w:cs="SimSun"/>
          <w:sz w:val="21"/>
          <w:szCs w:val="21"/>
          <w:spacing w:val="-4"/>
        </w:rPr>
        <w:t>。其中,</w:t>
      </w:r>
      <w:r>
        <w:rPr>
          <w:rFonts w:ascii="SimSun" w:hAnsi="SimSun" w:eastAsia="SimSun" w:cs="SimSun"/>
          <w:sz w:val="21"/>
          <w:szCs w:val="21"/>
          <w:spacing w:val="-46"/>
        </w:rPr>
        <w:t xml:space="preserve"> </w:t>
      </w:r>
      <w:r>
        <w:rPr>
          <w:rFonts w:ascii="SimSun" w:hAnsi="SimSun" w:eastAsia="SimSun" w:cs="SimSun"/>
          <w:sz w:val="21"/>
          <w:szCs w:val="21"/>
          <w:spacing w:val="-4"/>
        </w:rPr>
        <w:t>个人住房贷款余额较上年末增长</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4"/>
        </w:rPr>
        <w:t>1.55%</w:t>
      </w:r>
      <w:r>
        <w:rPr>
          <w:rFonts w:ascii="Times New Roman" w:hAnsi="Times New Roman" w:eastAsia="Times New Roman" w:cs="Times New Roman"/>
          <w:sz w:val="21"/>
          <w:szCs w:val="21"/>
          <w:spacing w:val="-31"/>
        </w:rPr>
        <w:t xml:space="preserve"> </w:t>
      </w:r>
      <w:r>
        <w:rPr>
          <w:rFonts w:ascii="SimSun" w:hAnsi="SimSun" w:eastAsia="SimSun" w:cs="SimSun"/>
          <w:sz w:val="21"/>
          <w:szCs w:val="21"/>
          <w:spacing w:val="-4"/>
        </w:rPr>
        <w:t>,</w:t>
      </w:r>
      <w:r>
        <w:rPr>
          <w:rFonts w:ascii="SimSun" w:hAnsi="SimSun" w:eastAsia="SimSun" w:cs="SimSun"/>
          <w:sz w:val="21"/>
          <w:szCs w:val="21"/>
          <w:spacing w:val="-47"/>
        </w:rPr>
        <w:t xml:space="preserve"> </w:t>
      </w:r>
      <w:r>
        <w:rPr>
          <w:rFonts w:ascii="SimSun" w:hAnsi="SimSun" w:eastAsia="SimSun" w:cs="SimSun"/>
          <w:sz w:val="21"/>
          <w:szCs w:val="21"/>
          <w:spacing w:val="-4"/>
        </w:rPr>
        <w:t>境内行个人</w:t>
      </w:r>
      <w:r>
        <w:rPr>
          <w:rFonts w:ascii="SimSun" w:hAnsi="SimSun" w:eastAsia="SimSun" w:cs="SimSun"/>
          <w:sz w:val="21"/>
          <w:szCs w:val="21"/>
          <w:spacing w:val="-5"/>
        </w:rPr>
        <w:t>消费贷款余额较上年末增长</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5"/>
        </w:rPr>
        <w:t>58.38%</w:t>
      </w:r>
      <w:r>
        <w:rPr>
          <w:rFonts w:ascii="SimSun" w:hAnsi="SimSun" w:eastAsia="SimSun" w:cs="SimSun"/>
          <w:sz w:val="21"/>
          <w:szCs w:val="21"/>
          <w:spacing w:val="-5"/>
        </w:rPr>
        <w:t>,</w:t>
      </w:r>
      <w:r>
        <w:rPr>
          <w:rFonts w:ascii="SimSun" w:hAnsi="SimSun" w:eastAsia="SimSun" w:cs="SimSun"/>
          <w:sz w:val="21"/>
          <w:szCs w:val="21"/>
        </w:rPr>
        <w:t xml:space="preserve">  </w:t>
      </w:r>
      <w:r>
        <w:rPr>
          <w:rFonts w:ascii="SimSun" w:hAnsi="SimSun" w:eastAsia="SimSun" w:cs="SimSun"/>
          <w:sz w:val="21"/>
          <w:szCs w:val="21"/>
          <w:spacing w:val="-1"/>
        </w:rPr>
        <w:t>市场份额</w:t>
      </w:r>
      <w:r>
        <w:rPr>
          <w:rFonts w:ascii="Times New Roman" w:hAnsi="Times New Roman" w:eastAsia="Times New Roman" w:cs="Times New Roman"/>
          <w:sz w:val="13"/>
          <w:szCs w:val="13"/>
          <w:spacing w:val="-1"/>
          <w:position w:val="10"/>
        </w:rPr>
        <w:t>3</w:t>
      </w:r>
      <w:r>
        <w:rPr>
          <w:rFonts w:ascii="SimSun" w:hAnsi="SimSun" w:eastAsia="SimSun" w:cs="SimSun"/>
          <w:sz w:val="21"/>
          <w:szCs w:val="21"/>
          <w:spacing w:val="-1"/>
        </w:rPr>
        <w:t>较上年末提升</w:t>
      </w:r>
      <w:r>
        <w:rPr>
          <w:rFonts w:ascii="SimSun" w:hAnsi="SimSun" w:eastAsia="SimSun" w:cs="SimSun"/>
          <w:sz w:val="21"/>
          <w:szCs w:val="21"/>
          <w:spacing w:val="-45"/>
        </w:rPr>
        <w:t xml:space="preserve"> </w:t>
      </w:r>
      <w:r>
        <w:rPr>
          <w:rFonts w:ascii="Times New Roman" w:hAnsi="Times New Roman" w:eastAsia="Times New Roman" w:cs="Times New Roman"/>
          <w:sz w:val="21"/>
          <w:szCs w:val="21"/>
          <w:spacing w:val="-1"/>
        </w:rPr>
        <w:t>0.97 </w:t>
      </w:r>
      <w:r>
        <w:rPr>
          <w:rFonts w:ascii="SimSun" w:hAnsi="SimSun" w:eastAsia="SimSun" w:cs="SimSun"/>
          <w:sz w:val="21"/>
          <w:szCs w:val="21"/>
          <w:spacing w:val="-1"/>
        </w:rPr>
        <w:t>个百分点。报告期内,</w:t>
      </w:r>
      <w:r>
        <w:rPr>
          <w:rFonts w:ascii="SimSun" w:hAnsi="SimSun" w:eastAsia="SimSun" w:cs="SimSun"/>
          <w:sz w:val="21"/>
          <w:szCs w:val="21"/>
          <w:spacing w:val="29"/>
        </w:rPr>
        <w:t xml:space="preserve"> </w:t>
      </w:r>
      <w:r>
        <w:rPr>
          <w:rFonts w:ascii="SimSun" w:hAnsi="SimSun" w:eastAsia="SimSun" w:cs="SimSun"/>
          <w:sz w:val="21"/>
          <w:szCs w:val="21"/>
          <w:spacing w:val="-2"/>
        </w:rPr>
        <w:t>信用卡累计消费额同比增长</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2"/>
        </w:rPr>
        <w:t>1.44%</w:t>
      </w:r>
      <w:r>
        <w:rPr>
          <w:rFonts w:ascii="SimSun" w:hAnsi="SimSun" w:eastAsia="SimSun" w:cs="SimSun"/>
          <w:sz w:val="21"/>
          <w:szCs w:val="21"/>
          <w:spacing w:val="-2"/>
        </w:rPr>
        <w:t>。</w:t>
      </w:r>
    </w:p>
    <w:p>
      <w:pPr>
        <w:pStyle w:val="BodyText"/>
        <w:spacing w:line="241" w:lineRule="auto"/>
        <w:rPr/>
      </w:pPr>
      <w:r/>
    </w:p>
    <w:p>
      <w:pPr>
        <w:ind w:left="1" w:right="73" w:firstLine="434"/>
        <w:spacing w:before="69" w:line="263" w:lineRule="auto"/>
        <w:rPr>
          <w:rFonts w:ascii="SimSun" w:hAnsi="SimSun" w:eastAsia="SimSun" w:cs="SimSun"/>
          <w:sz w:val="21"/>
          <w:szCs w:val="21"/>
        </w:rPr>
      </w:pPr>
      <w:r>
        <w:rPr>
          <w:rFonts w:ascii="SimSun" w:hAnsi="SimSun" w:eastAsia="SimSun" w:cs="SimSun"/>
          <w:sz w:val="21"/>
          <w:szCs w:val="21"/>
          <w:spacing w:val="7"/>
        </w:rPr>
        <w:t>◆零售客户及</w:t>
      </w:r>
      <w:r>
        <w:rPr>
          <w:rFonts w:ascii="SimSun" w:hAnsi="SimSun" w:eastAsia="SimSun" w:cs="SimSun"/>
          <w:sz w:val="21"/>
          <w:szCs w:val="21"/>
          <w:spacing w:val="-45"/>
        </w:rPr>
        <w:t xml:space="preserve"> </w:t>
      </w:r>
      <w:r>
        <w:rPr>
          <w:rFonts w:ascii="Times New Roman" w:hAnsi="Times New Roman" w:eastAsia="Times New Roman" w:cs="Times New Roman"/>
          <w:sz w:val="21"/>
          <w:szCs w:val="21"/>
        </w:rPr>
        <w:t>AUM</w:t>
      </w:r>
      <w:r>
        <w:rPr>
          <w:rFonts w:ascii="Times New Roman" w:hAnsi="Times New Roman" w:eastAsia="Times New Roman" w:cs="Times New Roman"/>
          <w:sz w:val="21"/>
          <w:szCs w:val="21"/>
          <w:spacing w:val="16"/>
          <w:w w:val="101"/>
        </w:rPr>
        <w:t xml:space="preserve"> </w:t>
      </w:r>
      <w:r>
        <w:rPr>
          <w:rFonts w:ascii="SimSun" w:hAnsi="SimSun" w:eastAsia="SimSun" w:cs="SimSun"/>
          <w:sz w:val="21"/>
          <w:szCs w:val="21"/>
          <w:spacing w:val="7"/>
        </w:rPr>
        <w:t>规模持续增长。报告期末,境内行零售客户数(含借记卡和信用卡客户)较上年</w:t>
      </w:r>
      <w:r>
        <w:rPr>
          <w:rFonts w:ascii="SimSun" w:hAnsi="SimSun" w:eastAsia="SimSun" w:cs="SimSun"/>
          <w:sz w:val="21"/>
          <w:szCs w:val="21"/>
        </w:rPr>
        <w:t xml:space="preserve"> </w:t>
      </w:r>
      <w:r>
        <w:rPr>
          <w:rFonts w:ascii="SimSun" w:hAnsi="SimSun" w:eastAsia="SimSun" w:cs="SimSun"/>
          <w:sz w:val="21"/>
          <w:szCs w:val="21"/>
          <w:spacing w:val="-1"/>
        </w:rPr>
        <w:t>末增长</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1"/>
        </w:rPr>
        <w:t>3.29%</w:t>
      </w:r>
      <w:r>
        <w:rPr>
          <w:rFonts w:ascii="SimSun" w:hAnsi="SimSun" w:eastAsia="SimSun" w:cs="SimSun"/>
          <w:sz w:val="21"/>
          <w:szCs w:val="21"/>
          <w:spacing w:val="-1"/>
        </w:rPr>
        <w:t>,</w:t>
      </w:r>
      <w:r>
        <w:rPr>
          <w:rFonts w:ascii="SimSun" w:hAnsi="SimSun" w:eastAsia="SimSun" w:cs="SimSun"/>
          <w:sz w:val="21"/>
          <w:szCs w:val="21"/>
          <w:spacing w:val="30"/>
        </w:rPr>
        <w:t xml:space="preserve"> </w:t>
      </w:r>
      <w:r>
        <w:rPr>
          <w:rFonts w:ascii="SimSun" w:hAnsi="SimSun" w:eastAsia="SimSun" w:cs="SimSun"/>
          <w:sz w:val="21"/>
          <w:szCs w:val="21"/>
          <w:spacing w:val="-1"/>
        </w:rPr>
        <w:t>其中中高端客户数</w:t>
      </w:r>
      <w:r>
        <w:rPr>
          <w:rFonts w:ascii="Times New Roman" w:hAnsi="Times New Roman" w:eastAsia="Times New Roman" w:cs="Times New Roman"/>
          <w:sz w:val="13"/>
          <w:szCs w:val="13"/>
          <w:spacing w:val="-1"/>
          <w:position w:val="10"/>
        </w:rPr>
        <w:t>4</w:t>
      </w:r>
      <w:r>
        <w:rPr>
          <w:rFonts w:ascii="SimSun" w:hAnsi="SimSun" w:eastAsia="SimSun" w:cs="SimSun"/>
          <w:sz w:val="21"/>
          <w:szCs w:val="21"/>
          <w:spacing w:val="-1"/>
        </w:rPr>
        <w:t>较上年末增</w:t>
      </w:r>
      <w:r>
        <w:rPr>
          <w:rFonts w:ascii="SimSun" w:hAnsi="SimSun" w:eastAsia="SimSun" w:cs="SimSun"/>
          <w:sz w:val="21"/>
          <w:szCs w:val="21"/>
          <w:spacing w:val="-2"/>
        </w:rPr>
        <w:t>长</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2"/>
        </w:rPr>
        <w:t>10.73%</w:t>
      </w:r>
      <w:r>
        <w:rPr>
          <w:rFonts w:ascii="SimSun" w:hAnsi="SimSun" w:eastAsia="SimSun" w:cs="SimSun"/>
          <w:sz w:val="21"/>
          <w:szCs w:val="21"/>
          <w:spacing w:val="-2"/>
        </w:rPr>
        <w:t>; </w:t>
      </w:r>
      <w:r>
        <w:rPr>
          <w:rFonts w:ascii="Times New Roman" w:hAnsi="Times New Roman" w:eastAsia="Times New Roman" w:cs="Times New Roman"/>
          <w:sz w:val="21"/>
          <w:szCs w:val="21"/>
          <w:spacing w:val="-2"/>
        </w:rPr>
        <w:t>AUM </w:t>
      </w:r>
      <w:r>
        <w:rPr>
          <w:rFonts w:ascii="SimSun" w:hAnsi="SimSun" w:eastAsia="SimSun" w:cs="SimSun"/>
          <w:sz w:val="21"/>
          <w:szCs w:val="21"/>
          <w:spacing w:val="-2"/>
        </w:rPr>
        <w:t>规模较上年末增长</w:t>
      </w:r>
      <w:r>
        <w:rPr>
          <w:rFonts w:ascii="SimSun" w:hAnsi="SimSun" w:eastAsia="SimSun" w:cs="SimSun"/>
          <w:sz w:val="21"/>
          <w:szCs w:val="21"/>
          <w:spacing w:val="-40"/>
        </w:rPr>
        <w:t xml:space="preserve"> </w:t>
      </w:r>
      <w:r>
        <w:rPr>
          <w:rFonts w:ascii="Times New Roman" w:hAnsi="Times New Roman" w:eastAsia="Times New Roman" w:cs="Times New Roman"/>
          <w:sz w:val="21"/>
          <w:szCs w:val="21"/>
          <w:spacing w:val="-2"/>
        </w:rPr>
        <w:t>8.57%</w:t>
      </w:r>
      <w:r>
        <w:rPr>
          <w:rFonts w:ascii="SimSun" w:hAnsi="SimSun" w:eastAsia="SimSun" w:cs="SimSun"/>
          <w:sz w:val="21"/>
          <w:szCs w:val="21"/>
          <w:spacing w:val="-2"/>
        </w:rPr>
        <w:t>。</w:t>
      </w:r>
    </w:p>
    <w:p>
      <w:pPr>
        <w:pStyle w:val="BodyText"/>
        <w:spacing w:line="241" w:lineRule="auto"/>
        <w:rPr/>
      </w:pPr>
      <w:r/>
    </w:p>
    <w:p>
      <w:pPr>
        <w:ind w:left="430"/>
        <w:spacing w:before="69" w:line="221" w:lineRule="auto"/>
        <w:outlineLvl w:val="0"/>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1.</w:t>
      </w:r>
      <w:r>
        <w:rPr>
          <w:rFonts w:ascii="SimSun" w:hAnsi="SimSun" w:eastAsia="SimSun" w:cs="SimSun"/>
          <w:sz w:val="21"/>
          <w:szCs w:val="21"/>
          <w:b/>
          <w:bCs/>
          <w:spacing w:val="-2"/>
        </w:rPr>
        <w:t>零售客户及</w:t>
      </w:r>
      <w:r>
        <w:rPr>
          <w:rFonts w:ascii="SimSun" w:hAnsi="SimSun" w:eastAsia="SimSun" w:cs="SimSun"/>
          <w:sz w:val="21"/>
          <w:szCs w:val="21"/>
          <w:spacing w:val="-51"/>
        </w:rPr>
        <w:t xml:space="preserve"> </w:t>
      </w:r>
      <w:r>
        <w:rPr>
          <w:rFonts w:ascii="Times New Roman" w:hAnsi="Times New Roman" w:eastAsia="Times New Roman" w:cs="Times New Roman"/>
          <w:sz w:val="21"/>
          <w:szCs w:val="21"/>
          <w:b/>
          <w:bCs/>
          <w:spacing w:val="-2"/>
        </w:rPr>
        <w:t>AUM</w:t>
      </w:r>
    </w:p>
    <w:p>
      <w:pPr>
        <w:ind w:left="1" w:right="72" w:firstLine="422"/>
        <w:spacing w:before="309" w:line="284" w:lineRule="auto"/>
        <w:jc w:val="both"/>
        <w:rPr>
          <w:rFonts w:ascii="SimSun" w:hAnsi="SimSun" w:eastAsia="SimSun" w:cs="SimSun"/>
          <w:sz w:val="21"/>
          <w:szCs w:val="21"/>
        </w:rPr>
      </w:pPr>
      <w:r>
        <w:rPr>
          <w:rFonts w:ascii="SimSun" w:hAnsi="SimSun" w:eastAsia="SimSun" w:cs="SimSun"/>
          <w:sz w:val="21"/>
          <w:szCs w:val="21"/>
          <w:spacing w:val="-3"/>
        </w:rPr>
        <w:t>完善客户分层分类经营体系,</w:t>
      </w:r>
      <w:r>
        <w:rPr>
          <w:rFonts w:ascii="SimSun" w:hAnsi="SimSun" w:eastAsia="SimSun" w:cs="SimSun"/>
          <w:sz w:val="21"/>
          <w:szCs w:val="21"/>
          <w:spacing w:val="-21"/>
        </w:rPr>
        <w:t xml:space="preserve"> </w:t>
      </w:r>
      <w:r>
        <w:rPr>
          <w:rFonts w:ascii="SimSun" w:hAnsi="SimSun" w:eastAsia="SimSun" w:cs="SimSun"/>
          <w:sz w:val="21"/>
          <w:szCs w:val="21"/>
          <w:spacing w:val="-3"/>
        </w:rPr>
        <w:t>强化零售客户数字化经营能力。全新上线简洁清晰的零售客户标签体系,</w:t>
      </w:r>
      <w:r>
        <w:rPr>
          <w:rFonts w:ascii="SimSun" w:hAnsi="SimSun" w:eastAsia="SimSun" w:cs="SimSun"/>
          <w:sz w:val="21"/>
          <w:szCs w:val="21"/>
        </w:rPr>
        <w:t xml:space="preserve"> </w:t>
      </w:r>
      <w:r>
        <w:rPr>
          <w:rFonts w:ascii="SimSun" w:hAnsi="SimSun" w:eastAsia="SimSun" w:cs="SimSun"/>
          <w:sz w:val="21"/>
          <w:szCs w:val="21"/>
        </w:rPr>
        <w:t>完善客户画像。深化零售营销中台应用, 将金融</w:t>
      </w:r>
      <w:r>
        <w:rPr>
          <w:rFonts w:ascii="SimSun" w:hAnsi="SimSun" w:eastAsia="SimSun" w:cs="SimSun"/>
          <w:sz w:val="21"/>
          <w:szCs w:val="21"/>
          <w:spacing w:val="-1"/>
        </w:rPr>
        <w:t>服务有效精准触达客户。加强客户经理工作平台与企业微</w:t>
      </w:r>
      <w:r>
        <w:rPr>
          <w:rFonts w:ascii="SimSun" w:hAnsi="SimSun" w:eastAsia="SimSun" w:cs="SimSun"/>
          <w:sz w:val="21"/>
          <w:szCs w:val="21"/>
        </w:rPr>
        <w:t xml:space="preserve"> </w:t>
      </w:r>
      <w:r>
        <w:rPr>
          <w:rFonts w:ascii="SimSun" w:hAnsi="SimSun" w:eastAsia="SimSun" w:cs="SimSun"/>
          <w:sz w:val="21"/>
          <w:szCs w:val="21"/>
          <w:spacing w:val="4"/>
        </w:rPr>
        <w:t>信推广应用,建强数字化经营力量。加大场景金融的拓展力度,推进个</w:t>
      </w:r>
      <w:r>
        <w:rPr>
          <w:rFonts w:ascii="SimSun" w:hAnsi="SimSun" w:eastAsia="SimSun" w:cs="SimSun"/>
          <w:sz w:val="21"/>
          <w:szCs w:val="21"/>
          <w:spacing w:val="3"/>
        </w:rPr>
        <w:t>人手机银行</w:t>
      </w:r>
      <w:r>
        <w:rPr>
          <w:rFonts w:ascii="SimSun" w:hAnsi="SimSun" w:eastAsia="SimSun" w:cs="SimSun"/>
          <w:sz w:val="21"/>
          <w:szCs w:val="21"/>
          <w:spacing w:val="-30"/>
        </w:rPr>
        <w:t xml:space="preserve"> </w:t>
      </w:r>
      <w:r>
        <w:rPr>
          <w:rFonts w:ascii="Times New Roman" w:hAnsi="Times New Roman" w:eastAsia="Times New Roman" w:cs="Times New Roman"/>
          <w:sz w:val="21"/>
          <w:szCs w:val="21"/>
          <w:spacing w:val="3"/>
        </w:rPr>
        <w:t>7.0</w:t>
      </w:r>
      <w:r>
        <w:rPr>
          <w:rFonts w:ascii="Times New Roman" w:hAnsi="Times New Roman" w:eastAsia="Times New Roman" w:cs="Times New Roman"/>
          <w:sz w:val="21"/>
          <w:szCs w:val="21"/>
          <w:spacing w:val="41"/>
        </w:rPr>
        <w:t xml:space="preserve"> </w:t>
      </w:r>
      <w:r>
        <w:rPr>
          <w:rFonts w:ascii="SimSun" w:hAnsi="SimSun" w:eastAsia="SimSun" w:cs="SimSun"/>
          <w:sz w:val="21"/>
          <w:szCs w:val="21"/>
          <w:spacing w:val="3"/>
        </w:rPr>
        <w:t>的迭代更新, 进一</w:t>
      </w:r>
    </w:p>
    <w:p>
      <w:pPr>
        <w:pStyle w:val="BodyText"/>
        <w:spacing w:line="250" w:lineRule="auto"/>
        <w:rPr/>
      </w:pPr>
      <w:r/>
    </w:p>
    <w:p>
      <w:pPr>
        <w:ind w:left="639"/>
        <w:spacing w:before="59" w:line="223" w:lineRule="auto"/>
        <w:rPr>
          <w:rFonts w:ascii="SimSun" w:hAnsi="SimSun" w:eastAsia="SimSun" w:cs="SimSun"/>
          <w:sz w:val="18"/>
          <w:szCs w:val="18"/>
        </w:rPr>
      </w:pPr>
      <w:r>
        <w:rPr>
          <w:rFonts w:ascii="Times New Roman" w:hAnsi="Times New Roman" w:eastAsia="Times New Roman" w:cs="Times New Roman"/>
          <w:sz w:val="12"/>
          <w:szCs w:val="12"/>
          <w:spacing w:val="2"/>
          <w:position w:val="7"/>
        </w:rPr>
        <w:t>3   </w:t>
      </w:r>
      <w:r>
        <w:rPr>
          <w:rFonts w:ascii="Times New Roman" w:hAnsi="Times New Roman" w:eastAsia="Times New Roman" w:cs="Times New Roman"/>
          <w:sz w:val="18"/>
          <w:szCs w:val="18"/>
          <w:spacing w:val="2"/>
        </w:rPr>
        <w:t>17 </w:t>
      </w:r>
      <w:r>
        <w:rPr>
          <w:rFonts w:ascii="SimSun" w:hAnsi="SimSun" w:eastAsia="SimSun" w:cs="SimSun"/>
          <w:sz w:val="18"/>
          <w:szCs w:val="18"/>
          <w:spacing w:val="2"/>
        </w:rPr>
        <w:t>家商业银行,下同。</w:t>
      </w:r>
    </w:p>
    <w:p>
      <w:pPr>
        <w:ind w:left="636"/>
        <w:spacing w:before="15" w:line="226" w:lineRule="auto"/>
        <w:rPr>
          <w:rFonts w:ascii="SimSun" w:hAnsi="SimSun" w:eastAsia="SimSun" w:cs="SimSun"/>
          <w:sz w:val="18"/>
          <w:szCs w:val="18"/>
        </w:rPr>
      </w:pPr>
      <w:r>
        <w:rPr>
          <w:rFonts w:ascii="Times New Roman" w:hAnsi="Times New Roman" w:eastAsia="Times New Roman" w:cs="Times New Roman"/>
          <w:sz w:val="12"/>
          <w:szCs w:val="12"/>
          <w:spacing w:val="-1"/>
          <w:position w:val="7"/>
        </w:rPr>
        <w:t>4   </w:t>
      </w:r>
      <w:r>
        <w:rPr>
          <w:rFonts w:ascii="SimSun" w:hAnsi="SimSun" w:eastAsia="SimSun" w:cs="SimSun"/>
          <w:sz w:val="18"/>
          <w:szCs w:val="18"/>
          <w:spacing w:val="-1"/>
        </w:rPr>
        <w:t>含境内行达标沃德客户及集团私人银行客</w:t>
      </w:r>
      <w:r>
        <w:rPr>
          <w:rFonts w:ascii="SimSun" w:hAnsi="SimSun" w:eastAsia="SimSun" w:cs="SimSun"/>
          <w:sz w:val="18"/>
          <w:szCs w:val="18"/>
          <w:spacing w:val="-2"/>
        </w:rPr>
        <w:t>户。</w:t>
      </w:r>
    </w:p>
    <w:p>
      <w:pPr>
        <w:spacing w:line="226" w:lineRule="auto"/>
        <w:sectPr>
          <w:footerReference w:type="default" r:id="rId37"/>
          <w:pgSz w:w="11907" w:h="16839"/>
          <w:pgMar w:top="1196" w:right="1055" w:bottom="1375" w:left="1139" w:header="0" w:footer="1211" w:gutter="0"/>
        </w:sectPr>
        <w:rPr>
          <w:rFonts w:ascii="SimSun" w:hAnsi="SimSun" w:eastAsia="SimSun" w:cs="SimSun"/>
          <w:sz w:val="18"/>
          <w:szCs w:val="18"/>
        </w:rPr>
      </w:pPr>
    </w:p>
    <w:p>
      <w:pPr>
        <w:ind w:left="3" w:right="67" w:firstLine="2"/>
        <w:spacing w:before="43" w:line="282" w:lineRule="auto"/>
        <w:rPr>
          <w:rFonts w:ascii="SimSun" w:hAnsi="SimSun" w:eastAsia="SimSun" w:cs="SimSun"/>
          <w:sz w:val="21"/>
          <w:szCs w:val="21"/>
        </w:rPr>
      </w:pPr>
      <w:r>
        <w:rPr>
          <w:rFonts w:ascii="SimSun" w:hAnsi="SimSun" w:eastAsia="SimSun" w:cs="SimSun"/>
          <w:sz w:val="21"/>
          <w:szCs w:val="21"/>
          <w:spacing w:val="7"/>
        </w:rPr>
        <w:t>步提升全渠道、全场景获客活客成效,不断提升客户服务能力,实现</w:t>
      </w:r>
      <w:r>
        <w:rPr>
          <w:rFonts w:ascii="SimSun" w:hAnsi="SimSun" w:eastAsia="SimSun" w:cs="SimSun"/>
          <w:sz w:val="21"/>
          <w:szCs w:val="21"/>
          <w:spacing w:val="-38"/>
        </w:rPr>
        <w:t xml:space="preserve"> </w:t>
      </w:r>
      <w:r>
        <w:rPr>
          <w:rFonts w:ascii="Times New Roman" w:hAnsi="Times New Roman" w:eastAsia="Times New Roman" w:cs="Times New Roman"/>
          <w:sz w:val="21"/>
          <w:szCs w:val="21"/>
        </w:rPr>
        <w:t>AUM</w:t>
      </w:r>
      <w:r>
        <w:rPr>
          <w:rFonts w:ascii="Times New Roman" w:hAnsi="Times New Roman" w:eastAsia="Times New Roman" w:cs="Times New Roman"/>
          <w:sz w:val="21"/>
          <w:szCs w:val="21"/>
          <w:spacing w:val="7"/>
        </w:rPr>
        <w:t xml:space="preserve"> </w:t>
      </w:r>
      <w:r>
        <w:rPr>
          <w:rFonts w:ascii="SimSun" w:hAnsi="SimSun" w:eastAsia="SimSun" w:cs="SimSun"/>
          <w:sz w:val="21"/>
          <w:szCs w:val="21"/>
          <w:spacing w:val="7"/>
        </w:rPr>
        <w:t>规模稳步增长。报告期末,境</w:t>
      </w:r>
      <w:r>
        <w:rPr>
          <w:rFonts w:ascii="SimSun" w:hAnsi="SimSun" w:eastAsia="SimSun" w:cs="SimSun"/>
          <w:sz w:val="21"/>
          <w:szCs w:val="21"/>
        </w:rPr>
        <w:t xml:space="preserve"> </w:t>
      </w:r>
      <w:r>
        <w:rPr>
          <w:rFonts w:ascii="SimSun" w:hAnsi="SimSun" w:eastAsia="SimSun" w:cs="SimSun"/>
          <w:sz w:val="21"/>
          <w:szCs w:val="21"/>
          <w:spacing w:val="3"/>
        </w:rPr>
        <w:t>内行零售客户数</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3"/>
        </w:rPr>
        <w:t>1.91 </w:t>
      </w:r>
      <w:r>
        <w:rPr>
          <w:rFonts w:ascii="SimSun" w:hAnsi="SimSun" w:eastAsia="SimSun" w:cs="SimSun"/>
          <w:sz w:val="21"/>
          <w:szCs w:val="21"/>
          <w:spacing w:val="3"/>
        </w:rPr>
        <w:t>亿户(含借记卡和信用卡客户),较上年末增长</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3"/>
        </w:rPr>
        <w:t>3.29%</w:t>
      </w:r>
      <w:r>
        <w:rPr>
          <w:rFonts w:ascii="SimSun" w:hAnsi="SimSun" w:eastAsia="SimSun" w:cs="SimSun"/>
          <w:sz w:val="21"/>
          <w:szCs w:val="21"/>
          <w:spacing w:val="3"/>
        </w:rPr>
        <w:t>, 达</w:t>
      </w:r>
      <w:r>
        <w:rPr>
          <w:rFonts w:ascii="SimSun" w:hAnsi="SimSun" w:eastAsia="SimSun" w:cs="SimSun"/>
          <w:sz w:val="21"/>
          <w:szCs w:val="21"/>
          <w:spacing w:val="2"/>
        </w:rPr>
        <w:t>标沃德客户</w:t>
      </w:r>
      <w:r>
        <w:rPr>
          <w:rFonts w:ascii="SimSun" w:hAnsi="SimSun" w:eastAsia="SimSun" w:cs="SimSun"/>
          <w:sz w:val="21"/>
          <w:szCs w:val="21"/>
          <w:spacing w:val="-45"/>
        </w:rPr>
        <w:t xml:space="preserve"> </w:t>
      </w:r>
      <w:r>
        <w:rPr>
          <w:rFonts w:ascii="Times New Roman" w:hAnsi="Times New Roman" w:eastAsia="Times New Roman" w:cs="Times New Roman"/>
          <w:sz w:val="21"/>
          <w:szCs w:val="21"/>
          <w:spacing w:val="2"/>
        </w:rPr>
        <w:t>221.86 </w:t>
      </w:r>
      <w:r>
        <w:rPr>
          <w:rFonts w:ascii="SimSun" w:hAnsi="SimSun" w:eastAsia="SimSun" w:cs="SimSun"/>
          <w:sz w:val="21"/>
          <w:szCs w:val="21"/>
          <w:spacing w:val="2"/>
        </w:rPr>
        <w:t>万户,</w:t>
      </w:r>
      <w:r>
        <w:rPr>
          <w:rFonts w:ascii="SimSun" w:hAnsi="SimSun" w:eastAsia="SimSun" w:cs="SimSun"/>
          <w:sz w:val="21"/>
          <w:szCs w:val="21"/>
        </w:rPr>
        <w:t xml:space="preserve">  </w:t>
      </w:r>
      <w:r>
        <w:rPr>
          <w:rFonts w:ascii="SimSun" w:hAnsi="SimSun" w:eastAsia="SimSun" w:cs="SimSun"/>
          <w:sz w:val="21"/>
          <w:szCs w:val="21"/>
          <w:spacing w:val="-2"/>
        </w:rPr>
        <w:t>较上年末增长</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2"/>
        </w:rPr>
        <w:t>10.77%</w:t>
      </w:r>
      <w:r>
        <w:rPr>
          <w:rFonts w:ascii="Times New Roman" w:hAnsi="Times New Roman" w:eastAsia="Times New Roman" w:cs="Times New Roman"/>
          <w:sz w:val="21"/>
          <w:szCs w:val="21"/>
          <w:spacing w:val="-27"/>
        </w:rPr>
        <w:t xml:space="preserve"> </w:t>
      </w:r>
      <w:r>
        <w:rPr>
          <w:rFonts w:ascii="SimSun" w:hAnsi="SimSun" w:eastAsia="SimSun" w:cs="SimSun"/>
          <w:sz w:val="21"/>
          <w:szCs w:val="21"/>
          <w:spacing w:val="-2"/>
        </w:rPr>
        <w:t>。</w:t>
      </w:r>
      <w:r>
        <w:rPr>
          <w:rFonts w:ascii="Times New Roman" w:hAnsi="Times New Roman" w:eastAsia="Times New Roman" w:cs="Times New Roman"/>
          <w:sz w:val="21"/>
          <w:szCs w:val="21"/>
          <w:spacing w:val="-2"/>
        </w:rPr>
        <w:t>AUM </w:t>
      </w:r>
      <w:r>
        <w:rPr>
          <w:rFonts w:ascii="SimSun" w:hAnsi="SimSun" w:eastAsia="SimSun" w:cs="SimSun"/>
          <w:sz w:val="21"/>
          <w:szCs w:val="21"/>
          <w:spacing w:val="-2"/>
        </w:rPr>
        <w:t>规模</w:t>
      </w:r>
      <w:r>
        <w:rPr>
          <w:rFonts w:ascii="SimSun" w:hAnsi="SimSun" w:eastAsia="SimSun" w:cs="SimSun"/>
          <w:sz w:val="21"/>
          <w:szCs w:val="21"/>
          <w:spacing w:val="-49"/>
        </w:rPr>
        <w:t xml:space="preserve"> </w:t>
      </w:r>
      <w:r>
        <w:rPr>
          <w:rFonts w:ascii="Times New Roman" w:hAnsi="Times New Roman" w:eastAsia="Times New Roman" w:cs="Times New Roman"/>
          <w:sz w:val="21"/>
          <w:szCs w:val="21"/>
          <w:spacing w:val="-2"/>
        </w:rPr>
        <w:t>46,213.62 </w:t>
      </w:r>
      <w:r>
        <w:rPr>
          <w:rFonts w:ascii="SimSun" w:hAnsi="SimSun" w:eastAsia="SimSun" w:cs="SimSun"/>
          <w:sz w:val="21"/>
          <w:szCs w:val="21"/>
          <w:spacing w:val="-3"/>
        </w:rPr>
        <w:t>亿元,</w:t>
      </w:r>
      <w:r>
        <w:rPr>
          <w:rFonts w:ascii="SimSun" w:hAnsi="SimSun" w:eastAsia="SimSun" w:cs="SimSun"/>
          <w:sz w:val="21"/>
          <w:szCs w:val="21"/>
          <w:spacing w:val="29"/>
        </w:rPr>
        <w:t xml:space="preserve"> </w:t>
      </w:r>
      <w:r>
        <w:rPr>
          <w:rFonts w:ascii="SimSun" w:hAnsi="SimSun" w:eastAsia="SimSun" w:cs="SimSun"/>
          <w:sz w:val="21"/>
          <w:szCs w:val="21"/>
          <w:spacing w:val="-3"/>
        </w:rPr>
        <w:t>较上年末增长</w:t>
      </w:r>
      <w:r>
        <w:rPr>
          <w:rFonts w:ascii="SimSun" w:hAnsi="SimSun" w:eastAsia="SimSun" w:cs="SimSun"/>
          <w:sz w:val="21"/>
          <w:szCs w:val="21"/>
          <w:spacing w:val="-39"/>
        </w:rPr>
        <w:t xml:space="preserve"> </w:t>
      </w:r>
      <w:r>
        <w:rPr>
          <w:rFonts w:ascii="Times New Roman" w:hAnsi="Times New Roman" w:eastAsia="Times New Roman" w:cs="Times New Roman"/>
          <w:sz w:val="21"/>
          <w:szCs w:val="21"/>
          <w:spacing w:val="-3"/>
        </w:rPr>
        <w:t>8.57%</w:t>
      </w:r>
      <w:r>
        <w:rPr>
          <w:rFonts w:ascii="SimSun" w:hAnsi="SimSun" w:eastAsia="SimSun" w:cs="SimSun"/>
          <w:sz w:val="21"/>
          <w:szCs w:val="21"/>
          <w:spacing w:val="-3"/>
        </w:rPr>
        <w:t>。</w:t>
      </w:r>
    </w:p>
    <w:p>
      <w:pPr>
        <w:pStyle w:val="BodyText"/>
        <w:spacing w:line="249" w:lineRule="auto"/>
        <w:rPr/>
      </w:pPr>
      <w:r/>
    </w:p>
    <w:p>
      <w:pPr>
        <w:ind w:left="423"/>
        <w:spacing w:before="68"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2.</w:t>
      </w:r>
      <w:r>
        <w:rPr>
          <w:rFonts w:ascii="SimSun" w:hAnsi="SimSun" w:eastAsia="SimSun" w:cs="SimSun"/>
          <w:sz w:val="21"/>
          <w:szCs w:val="21"/>
          <w:b/>
          <w:bCs/>
          <w:spacing w:val="-2"/>
        </w:rPr>
        <w:t>财富管理</w:t>
      </w:r>
    </w:p>
    <w:p>
      <w:pPr>
        <w:pStyle w:val="BodyText"/>
        <w:rPr/>
      </w:pPr>
      <w:r/>
    </w:p>
    <w:p>
      <w:pPr>
        <w:ind w:left="3" w:right="68" w:firstLine="423"/>
        <w:spacing w:before="68" w:line="297" w:lineRule="auto"/>
        <w:rPr>
          <w:rFonts w:ascii="SimSun" w:hAnsi="SimSun" w:eastAsia="SimSun" w:cs="SimSun"/>
          <w:sz w:val="21"/>
          <w:szCs w:val="21"/>
        </w:rPr>
      </w:pPr>
      <w:r>
        <w:rPr>
          <w:rFonts w:ascii="SimSun" w:hAnsi="SimSun" w:eastAsia="SimSun" w:cs="SimSun"/>
          <w:sz w:val="21"/>
          <w:szCs w:val="21"/>
          <w:spacing w:val="-2"/>
        </w:rPr>
        <w:t>坚持以客户为中心,</w:t>
      </w:r>
      <w:r>
        <w:rPr>
          <w:rFonts w:ascii="SimSun" w:hAnsi="SimSun" w:eastAsia="SimSun" w:cs="SimSun"/>
          <w:sz w:val="21"/>
          <w:szCs w:val="21"/>
          <w:spacing w:val="30"/>
        </w:rPr>
        <w:t xml:space="preserve"> </w:t>
      </w:r>
      <w:r>
        <w:rPr>
          <w:rFonts w:ascii="SimSun" w:hAnsi="SimSun" w:eastAsia="SimSun" w:cs="SimSun"/>
          <w:sz w:val="21"/>
          <w:szCs w:val="21"/>
          <w:spacing w:val="-2"/>
        </w:rPr>
        <w:t>打造财富金融业务特色,</w:t>
      </w:r>
      <w:r>
        <w:rPr>
          <w:rFonts w:ascii="SimSun" w:hAnsi="SimSun" w:eastAsia="SimSun" w:cs="SimSun"/>
          <w:sz w:val="21"/>
          <w:szCs w:val="21"/>
          <w:spacing w:val="30"/>
        </w:rPr>
        <w:t xml:space="preserve"> </w:t>
      </w:r>
      <w:r>
        <w:rPr>
          <w:rFonts w:ascii="SimSun" w:hAnsi="SimSun" w:eastAsia="SimSun" w:cs="SimSun"/>
          <w:sz w:val="21"/>
          <w:szCs w:val="21"/>
          <w:spacing w:val="-2"/>
        </w:rPr>
        <w:t>发挥财富管理产品、服务及品牌优势, 服务人民</w:t>
      </w:r>
      <w:r>
        <w:rPr>
          <w:rFonts w:ascii="SimSun" w:hAnsi="SimSun" w:eastAsia="SimSun" w:cs="SimSun"/>
          <w:sz w:val="21"/>
          <w:szCs w:val="21"/>
          <w:spacing w:val="-3"/>
        </w:rPr>
        <w:t>群众多</w:t>
      </w:r>
      <w:r>
        <w:rPr>
          <w:rFonts w:ascii="SimSun" w:hAnsi="SimSun" w:eastAsia="SimSun" w:cs="SimSun"/>
          <w:sz w:val="21"/>
          <w:szCs w:val="21"/>
        </w:rPr>
        <w:t xml:space="preserve"> </w:t>
      </w:r>
      <w:r>
        <w:rPr>
          <w:rFonts w:ascii="SimSun" w:hAnsi="SimSun" w:eastAsia="SimSun" w:cs="SimSun"/>
          <w:sz w:val="21"/>
          <w:szCs w:val="21"/>
          <w:spacing w:val="2"/>
        </w:rPr>
        <w:t>层次、个性化的财富管理需求, 助力实现共同富裕。发挥集团综合化优势, 持续完善"全链条"</w:t>
      </w:r>
      <w:r>
        <w:rPr>
          <w:rFonts w:ascii="SimSun" w:hAnsi="SimSun" w:eastAsia="SimSun" w:cs="SimSun"/>
          <w:sz w:val="21"/>
          <w:szCs w:val="21"/>
          <w:spacing w:val="-16"/>
        </w:rPr>
        <w:t xml:space="preserve"> </w:t>
      </w:r>
      <w:r>
        <w:rPr>
          <w:rFonts w:ascii="SimSun" w:hAnsi="SimSun" w:eastAsia="SimSun" w:cs="SimSun"/>
          <w:sz w:val="21"/>
          <w:szCs w:val="21"/>
          <w:spacing w:val="2"/>
        </w:rPr>
        <w:t>大财富管</w:t>
      </w:r>
      <w:r>
        <w:rPr>
          <w:rFonts w:ascii="SimSun" w:hAnsi="SimSun" w:eastAsia="SimSun" w:cs="SimSun"/>
          <w:sz w:val="21"/>
          <w:szCs w:val="21"/>
        </w:rPr>
        <w:t xml:space="preserve"> </w:t>
      </w:r>
      <w:r>
        <w:rPr>
          <w:rFonts w:ascii="SimSun" w:hAnsi="SimSun" w:eastAsia="SimSun" w:cs="SimSun"/>
          <w:sz w:val="21"/>
          <w:szCs w:val="21"/>
          <w:spacing w:val="-4"/>
        </w:rPr>
        <w:t>理经营体系,</w:t>
      </w:r>
      <w:r>
        <w:rPr>
          <w:rFonts w:ascii="SimSun" w:hAnsi="SimSun" w:eastAsia="SimSun" w:cs="SimSun"/>
          <w:sz w:val="21"/>
          <w:szCs w:val="21"/>
          <w:spacing w:val="-34"/>
        </w:rPr>
        <w:t xml:space="preserve"> </w:t>
      </w:r>
      <w:r>
        <w:rPr>
          <w:rFonts w:ascii="SimSun" w:hAnsi="SimSun" w:eastAsia="SimSun" w:cs="SimSun"/>
          <w:sz w:val="21"/>
          <w:szCs w:val="21"/>
          <w:spacing w:val="-4"/>
        </w:rPr>
        <w:t>提升财富管理协同效应。首批取得个人养老金业务资格,</w:t>
      </w:r>
      <w:r>
        <w:rPr>
          <w:rFonts w:ascii="SimSun" w:hAnsi="SimSun" w:eastAsia="SimSun" w:cs="SimSun"/>
          <w:sz w:val="21"/>
          <w:szCs w:val="21"/>
          <w:spacing w:val="-43"/>
        </w:rPr>
        <w:t xml:space="preserve"> </w:t>
      </w:r>
      <w:r>
        <w:rPr>
          <w:rFonts w:ascii="SimSun" w:hAnsi="SimSun" w:eastAsia="SimSun" w:cs="SimSun"/>
          <w:sz w:val="21"/>
          <w:szCs w:val="21"/>
          <w:spacing w:val="-4"/>
        </w:rPr>
        <w:t>持续做深养老金融产品和服务体系。</w:t>
      </w:r>
      <w:r>
        <w:rPr>
          <w:rFonts w:ascii="SimSun" w:hAnsi="SimSun" w:eastAsia="SimSun" w:cs="SimSun"/>
          <w:sz w:val="21"/>
          <w:szCs w:val="21"/>
        </w:rPr>
        <w:t xml:space="preserve"> </w:t>
      </w:r>
      <w:r>
        <w:rPr>
          <w:rFonts w:ascii="SimSun" w:hAnsi="SimSun" w:eastAsia="SimSun" w:cs="SimSun"/>
          <w:sz w:val="21"/>
          <w:szCs w:val="21"/>
          <w:spacing w:val="-1"/>
        </w:rPr>
        <w:t>聚焦财富金融数字化经营水平,</w:t>
      </w:r>
      <w:r>
        <w:rPr>
          <w:rFonts w:ascii="SimSun" w:hAnsi="SimSun" w:eastAsia="SimSun" w:cs="SimSun"/>
          <w:sz w:val="21"/>
          <w:szCs w:val="21"/>
          <w:spacing w:val="-11"/>
        </w:rPr>
        <w:t xml:space="preserve"> </w:t>
      </w:r>
      <w:r>
        <w:rPr>
          <w:rFonts w:ascii="SimSun" w:hAnsi="SimSun" w:eastAsia="SimSun" w:cs="SimSun"/>
          <w:sz w:val="21"/>
          <w:szCs w:val="21"/>
          <w:spacing w:val="-1"/>
        </w:rPr>
        <w:t>强化数据驱动对客户需求的深度挖掘, 以"人机协同"的方式实现全渠道、</w:t>
      </w:r>
      <w:r>
        <w:rPr>
          <w:rFonts w:ascii="SimSun" w:hAnsi="SimSun" w:eastAsia="SimSun" w:cs="SimSun"/>
          <w:sz w:val="21"/>
          <w:szCs w:val="21"/>
        </w:rPr>
        <w:t xml:space="preserve"> </w:t>
      </w:r>
      <w:r>
        <w:rPr>
          <w:rFonts w:ascii="SimSun" w:hAnsi="SimSun" w:eastAsia="SimSun" w:cs="SimSun"/>
          <w:sz w:val="21"/>
          <w:szCs w:val="21"/>
          <w:spacing w:val="-3"/>
        </w:rPr>
        <w:t>全链路的营销服务。</w:t>
      </w:r>
    </w:p>
    <w:p>
      <w:pPr>
        <w:pStyle w:val="BodyText"/>
        <w:rPr/>
      </w:pPr>
      <w:r/>
    </w:p>
    <w:p>
      <w:pPr>
        <w:ind w:firstLine="424"/>
        <w:spacing w:before="68" w:line="299" w:lineRule="auto"/>
        <w:jc w:val="both"/>
        <w:rPr>
          <w:rFonts w:ascii="SimSun" w:hAnsi="SimSun" w:eastAsia="SimSun" w:cs="SimSun"/>
          <w:sz w:val="21"/>
          <w:szCs w:val="21"/>
        </w:rPr>
      </w:pPr>
      <w:r>
        <w:rPr>
          <w:rFonts w:ascii="SimSun" w:hAnsi="SimSun" w:eastAsia="SimSun" w:cs="SimSun"/>
          <w:sz w:val="21"/>
          <w:szCs w:val="21"/>
          <w:spacing w:val="4"/>
        </w:rPr>
        <w:t>加强产品创设和供应能力。坚持开放融合,持续引进优质产品,与 </w:t>
      </w:r>
      <w:r>
        <w:rPr>
          <w:rFonts w:ascii="Times New Roman" w:hAnsi="Times New Roman" w:eastAsia="Times New Roman" w:cs="Times New Roman"/>
          <w:sz w:val="21"/>
          <w:szCs w:val="21"/>
          <w:spacing w:val="4"/>
        </w:rPr>
        <w:t>16  </w:t>
      </w:r>
      <w:r>
        <w:rPr>
          <w:rFonts w:ascii="SimSun" w:hAnsi="SimSun" w:eastAsia="SimSun" w:cs="SimSun"/>
          <w:sz w:val="21"/>
          <w:szCs w:val="21"/>
          <w:spacing w:val="4"/>
        </w:rPr>
        <w:t>家行外机构建立代销理</w:t>
      </w:r>
      <w:r>
        <w:rPr>
          <w:rFonts w:ascii="SimSun" w:hAnsi="SimSun" w:eastAsia="SimSun" w:cs="SimSun"/>
          <w:sz w:val="21"/>
          <w:szCs w:val="21"/>
          <w:spacing w:val="3"/>
        </w:rPr>
        <w:t>财产品</w:t>
      </w:r>
      <w:r>
        <w:rPr>
          <w:rFonts w:ascii="SimSun" w:hAnsi="SimSun" w:eastAsia="SimSun" w:cs="SimSun"/>
          <w:sz w:val="21"/>
          <w:szCs w:val="21"/>
        </w:rPr>
        <w:t xml:space="preserve"> </w:t>
      </w:r>
      <w:r>
        <w:rPr>
          <w:rFonts w:ascii="SimSun" w:hAnsi="SimSun" w:eastAsia="SimSun" w:cs="SimSun"/>
          <w:sz w:val="21"/>
          <w:szCs w:val="21"/>
          <w:spacing w:val="8"/>
        </w:rPr>
        <w:t>合作关系。融合量化指标与专家经验,打造涵盖理财、基金、保险、贵金属等的"沃德优</w:t>
      </w:r>
      <w:r>
        <w:rPr>
          <w:rFonts w:ascii="SimSun" w:hAnsi="SimSun" w:eastAsia="SimSun" w:cs="SimSun"/>
          <w:sz w:val="21"/>
          <w:szCs w:val="21"/>
          <w:spacing w:val="7"/>
        </w:rPr>
        <w:t>选"产品体系。</w:t>
      </w:r>
      <w:r>
        <w:rPr>
          <w:rFonts w:ascii="SimSun" w:hAnsi="SimSun" w:eastAsia="SimSun" w:cs="SimSun"/>
          <w:sz w:val="21"/>
          <w:szCs w:val="21"/>
        </w:rPr>
        <w:t xml:space="preserve"> </w:t>
      </w:r>
      <w:r>
        <w:rPr>
          <w:rFonts w:ascii="Times New Roman" w:hAnsi="Times New Roman" w:eastAsia="Times New Roman" w:cs="Times New Roman"/>
          <w:sz w:val="21"/>
          <w:szCs w:val="21"/>
          <w:spacing w:val="-2"/>
        </w:rPr>
        <w:t>2022 </w:t>
      </w:r>
      <w:r>
        <w:rPr>
          <w:rFonts w:ascii="SimSun" w:hAnsi="SimSun" w:eastAsia="SimSun" w:cs="SimSun"/>
          <w:sz w:val="21"/>
          <w:szCs w:val="21"/>
          <w:spacing w:val="-2"/>
        </w:rPr>
        <w:t>年首批获得养老金基金销售资格, 连续第</w:t>
      </w:r>
      <w:r>
        <w:rPr>
          <w:rFonts w:ascii="SimSun" w:hAnsi="SimSun" w:eastAsia="SimSun" w:cs="SimSun"/>
          <w:sz w:val="21"/>
          <w:szCs w:val="21"/>
          <w:spacing w:val="-38"/>
        </w:rPr>
        <w:t xml:space="preserve"> </w:t>
      </w:r>
      <w:r>
        <w:rPr>
          <w:rFonts w:ascii="Times New Roman" w:hAnsi="Times New Roman" w:eastAsia="Times New Roman" w:cs="Times New Roman"/>
          <w:sz w:val="21"/>
          <w:szCs w:val="21"/>
          <w:spacing w:val="-2"/>
        </w:rPr>
        <w:t>7 </w:t>
      </w:r>
      <w:r>
        <w:rPr>
          <w:rFonts w:ascii="SimSun" w:hAnsi="SimSun" w:eastAsia="SimSun" w:cs="SimSun"/>
          <w:sz w:val="21"/>
          <w:szCs w:val="21"/>
          <w:spacing w:val="-2"/>
        </w:rPr>
        <w:t>年开展手机银行基金申购费率优惠活动, 沃德优选基金整 </w:t>
      </w:r>
      <w:r>
        <w:rPr>
          <w:rFonts w:ascii="SimSun" w:hAnsi="SimSun" w:eastAsia="SimSun" w:cs="SimSun"/>
          <w:sz w:val="21"/>
          <w:szCs w:val="21"/>
          <w:spacing w:val="1"/>
        </w:rPr>
        <w:t>体表现优于市场平均。加大低波动、低起点的固收、固收</w:t>
      </w:r>
      <w:r>
        <w:rPr>
          <w:rFonts w:ascii="Times New Roman" w:hAnsi="Times New Roman" w:eastAsia="Times New Roman" w:cs="Times New Roman"/>
          <w:sz w:val="21"/>
          <w:szCs w:val="21"/>
          <w:spacing w:val="1"/>
        </w:rPr>
        <w:t>+</w:t>
      </w:r>
      <w:r>
        <w:rPr>
          <w:rFonts w:ascii="SimSun" w:hAnsi="SimSun" w:eastAsia="SimSun" w:cs="SimSun"/>
          <w:sz w:val="21"/>
          <w:szCs w:val="21"/>
          <w:spacing w:val="1"/>
        </w:rPr>
        <w:t>基金、养老基金和现金管理类产品的引入和推 </w:t>
      </w:r>
      <w:r>
        <w:rPr>
          <w:rFonts w:ascii="SimSun" w:hAnsi="SimSun" w:eastAsia="SimSun" w:cs="SimSun"/>
          <w:sz w:val="21"/>
          <w:szCs w:val="21"/>
          <w:spacing w:val="-2"/>
        </w:rPr>
        <w:t>动力度, 满足全量客户多层次投资需求。报告期末,</w:t>
      </w:r>
      <w:r>
        <w:rPr>
          <w:rFonts w:ascii="SimSun" w:hAnsi="SimSun" w:eastAsia="SimSun" w:cs="SimSun"/>
          <w:sz w:val="21"/>
          <w:szCs w:val="21"/>
          <w:spacing w:val="37"/>
        </w:rPr>
        <w:t xml:space="preserve"> </w:t>
      </w:r>
      <w:r>
        <w:rPr>
          <w:rFonts w:ascii="SimSun" w:hAnsi="SimSun" w:eastAsia="SimSun" w:cs="SimSun"/>
          <w:sz w:val="21"/>
          <w:szCs w:val="21"/>
          <w:spacing w:val="-2"/>
        </w:rPr>
        <w:t>代销个人公募基金产品余额</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2"/>
        </w:rPr>
        <w:t>2,645.20 </w:t>
      </w:r>
      <w:r>
        <w:rPr>
          <w:rFonts w:ascii="SimSun" w:hAnsi="SimSun" w:eastAsia="SimSun" w:cs="SimSun"/>
          <w:sz w:val="21"/>
          <w:szCs w:val="21"/>
          <w:spacing w:val="-2"/>
        </w:rPr>
        <w:t>亿元,</w:t>
      </w:r>
      <w:r>
        <w:rPr>
          <w:rFonts w:ascii="SimSun" w:hAnsi="SimSun" w:eastAsia="SimSun" w:cs="SimSun"/>
          <w:sz w:val="21"/>
          <w:szCs w:val="21"/>
          <w:spacing w:val="26"/>
        </w:rPr>
        <w:t xml:space="preserve"> </w:t>
      </w:r>
      <w:r>
        <w:rPr>
          <w:rFonts w:ascii="SimSun" w:hAnsi="SimSun" w:eastAsia="SimSun" w:cs="SimSun"/>
          <w:sz w:val="21"/>
          <w:szCs w:val="21"/>
          <w:spacing w:val="-2"/>
        </w:rPr>
        <w:t>代销理财 </w:t>
      </w:r>
      <w:r>
        <w:rPr>
          <w:rFonts w:ascii="SimSun" w:hAnsi="SimSun" w:eastAsia="SimSun" w:cs="SimSun"/>
          <w:sz w:val="21"/>
          <w:szCs w:val="21"/>
          <w:spacing w:val="-1"/>
        </w:rPr>
        <w:t>产品余额</w:t>
      </w:r>
      <w:r>
        <w:rPr>
          <w:rFonts w:ascii="SimSun" w:hAnsi="SimSun" w:eastAsia="SimSun" w:cs="SimSun"/>
          <w:sz w:val="21"/>
          <w:szCs w:val="21"/>
          <w:spacing w:val="-39"/>
        </w:rPr>
        <w:t xml:space="preserve"> </w:t>
      </w:r>
      <w:r>
        <w:rPr>
          <w:rFonts w:ascii="Times New Roman" w:hAnsi="Times New Roman" w:eastAsia="Times New Roman" w:cs="Times New Roman"/>
          <w:sz w:val="21"/>
          <w:szCs w:val="21"/>
          <w:spacing w:val="-1"/>
        </w:rPr>
        <w:t>8,590.02 </w:t>
      </w:r>
      <w:r>
        <w:rPr>
          <w:rFonts w:ascii="SimSun" w:hAnsi="SimSun" w:eastAsia="SimSun" w:cs="SimSun"/>
          <w:sz w:val="21"/>
          <w:szCs w:val="21"/>
          <w:spacing w:val="-1"/>
        </w:rPr>
        <w:t>亿元,</w:t>
      </w:r>
      <w:r>
        <w:rPr>
          <w:rFonts w:ascii="SimSun" w:hAnsi="SimSun" w:eastAsia="SimSun" w:cs="SimSun"/>
          <w:sz w:val="21"/>
          <w:szCs w:val="21"/>
          <w:spacing w:val="28"/>
        </w:rPr>
        <w:t xml:space="preserve"> </w:t>
      </w:r>
      <w:r>
        <w:rPr>
          <w:rFonts w:ascii="SimSun" w:hAnsi="SimSun" w:eastAsia="SimSun" w:cs="SimSun"/>
          <w:sz w:val="21"/>
          <w:szCs w:val="21"/>
          <w:spacing w:val="-1"/>
        </w:rPr>
        <w:t>代销保险产品余额</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2"/>
        </w:rPr>
        <w:t>2,551.02 </w:t>
      </w:r>
      <w:r>
        <w:rPr>
          <w:rFonts w:ascii="SimSun" w:hAnsi="SimSun" w:eastAsia="SimSun" w:cs="SimSun"/>
          <w:sz w:val="21"/>
          <w:szCs w:val="21"/>
          <w:spacing w:val="-2"/>
        </w:rPr>
        <w:t>亿元。</w:t>
      </w:r>
    </w:p>
    <w:p>
      <w:pPr>
        <w:pStyle w:val="BodyText"/>
        <w:spacing w:line="249" w:lineRule="auto"/>
        <w:rPr/>
      </w:pPr>
      <w:r/>
    </w:p>
    <w:p>
      <w:pPr>
        <w:ind w:left="421"/>
        <w:spacing w:before="68"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3.</w:t>
      </w:r>
      <w:r>
        <w:rPr>
          <w:rFonts w:ascii="SimSun" w:hAnsi="SimSun" w:eastAsia="SimSun" w:cs="SimSun"/>
          <w:sz w:val="21"/>
          <w:szCs w:val="21"/>
          <w:b/>
          <w:bCs/>
          <w:spacing w:val="-2"/>
        </w:rPr>
        <w:t>场景与支付</w:t>
      </w:r>
    </w:p>
    <w:p>
      <w:pPr>
        <w:ind w:left="3" w:right="67" w:firstLine="421"/>
        <w:spacing w:before="308" w:line="285" w:lineRule="auto"/>
        <w:jc w:val="both"/>
        <w:rPr>
          <w:rFonts w:ascii="SimSun" w:hAnsi="SimSun" w:eastAsia="SimSun" w:cs="SimSun"/>
          <w:sz w:val="21"/>
          <w:szCs w:val="21"/>
        </w:rPr>
      </w:pPr>
      <w:r>
        <w:rPr>
          <w:rFonts w:ascii="SimSun" w:hAnsi="SimSun" w:eastAsia="SimSun" w:cs="SimSun"/>
          <w:sz w:val="21"/>
          <w:szCs w:val="21"/>
          <w:spacing w:val="-1"/>
        </w:rPr>
        <w:t>提升金融服务乡村振兴的能力, 积极参与养老第三支柱建设,</w:t>
      </w:r>
      <w:r>
        <w:rPr>
          <w:rFonts w:ascii="SimSun" w:hAnsi="SimSun" w:eastAsia="SimSun" w:cs="SimSun"/>
          <w:sz w:val="21"/>
          <w:szCs w:val="21"/>
          <w:spacing w:val="35"/>
        </w:rPr>
        <w:t xml:space="preserve"> </w:t>
      </w:r>
      <w:r>
        <w:rPr>
          <w:rFonts w:ascii="SimSun" w:hAnsi="SimSun" w:eastAsia="SimSun" w:cs="SimSun"/>
          <w:sz w:val="21"/>
          <w:szCs w:val="21"/>
          <w:spacing w:val="-1"/>
        </w:rPr>
        <w:t>响应新</w:t>
      </w:r>
      <w:r>
        <w:rPr>
          <w:rFonts w:ascii="SimSun" w:hAnsi="SimSun" w:eastAsia="SimSun" w:cs="SimSun"/>
          <w:sz w:val="21"/>
          <w:szCs w:val="21"/>
          <w:spacing w:val="-2"/>
        </w:rPr>
        <w:t>市民金融服务工作的要求, 大力</w:t>
      </w:r>
      <w:r>
        <w:rPr>
          <w:rFonts w:ascii="SimSun" w:hAnsi="SimSun" w:eastAsia="SimSun" w:cs="SimSun"/>
          <w:sz w:val="21"/>
          <w:szCs w:val="21"/>
        </w:rPr>
        <w:t xml:space="preserve"> </w:t>
      </w:r>
      <w:r>
        <w:rPr>
          <w:rFonts w:ascii="SimSun" w:hAnsi="SimSun" w:eastAsia="SimSun" w:cs="SimSun"/>
          <w:sz w:val="21"/>
          <w:szCs w:val="21"/>
          <w:spacing w:val="-1"/>
        </w:rPr>
        <w:t>推广乡村振兴主题借记卡、个人养老金账户、新市民主题借记卡, 报告</w:t>
      </w:r>
      <w:r>
        <w:rPr>
          <w:rFonts w:ascii="SimSun" w:hAnsi="SimSun" w:eastAsia="SimSun" w:cs="SimSun"/>
          <w:sz w:val="21"/>
          <w:szCs w:val="21"/>
          <w:spacing w:val="-2"/>
        </w:rPr>
        <w:t>期末,</w:t>
      </w:r>
      <w:r>
        <w:rPr>
          <w:rFonts w:ascii="SimSun" w:hAnsi="SimSun" w:eastAsia="SimSun" w:cs="SimSun"/>
          <w:sz w:val="21"/>
          <w:szCs w:val="21"/>
          <w:spacing w:val="35"/>
        </w:rPr>
        <w:t xml:space="preserve"> </w:t>
      </w:r>
      <w:r>
        <w:rPr>
          <w:rFonts w:ascii="SimSun" w:hAnsi="SimSun" w:eastAsia="SimSun" w:cs="SimSun"/>
          <w:sz w:val="21"/>
          <w:szCs w:val="21"/>
          <w:spacing w:val="-2"/>
        </w:rPr>
        <w:t>乡村振兴主题借记卡累计发</w:t>
      </w:r>
      <w:r>
        <w:rPr>
          <w:rFonts w:ascii="SimSun" w:hAnsi="SimSun" w:eastAsia="SimSun" w:cs="SimSun"/>
          <w:sz w:val="21"/>
          <w:szCs w:val="21"/>
        </w:rPr>
        <w:t xml:space="preserve"> </w:t>
      </w:r>
      <w:r>
        <w:rPr>
          <w:rFonts w:ascii="SimSun" w:hAnsi="SimSun" w:eastAsia="SimSun" w:cs="SimSun"/>
          <w:sz w:val="21"/>
          <w:szCs w:val="21"/>
          <w:spacing w:val="-6"/>
        </w:rPr>
        <w:t>卡量</w:t>
      </w:r>
      <w:r>
        <w:rPr>
          <w:rFonts w:ascii="SimSun" w:hAnsi="SimSun" w:eastAsia="SimSun" w:cs="SimSun"/>
          <w:sz w:val="21"/>
          <w:szCs w:val="21"/>
          <w:spacing w:val="-22"/>
        </w:rPr>
        <w:t xml:space="preserve"> </w:t>
      </w:r>
      <w:r>
        <w:rPr>
          <w:rFonts w:ascii="Times New Roman" w:hAnsi="Times New Roman" w:eastAsia="Times New Roman" w:cs="Times New Roman"/>
          <w:sz w:val="21"/>
          <w:szCs w:val="21"/>
          <w:spacing w:val="-6"/>
        </w:rPr>
        <w:t>171.84</w:t>
      </w:r>
      <w:r>
        <w:rPr>
          <w:rFonts w:ascii="Times New Roman" w:hAnsi="Times New Roman" w:eastAsia="Times New Roman" w:cs="Times New Roman"/>
          <w:sz w:val="21"/>
          <w:szCs w:val="21"/>
          <w:spacing w:val="14"/>
        </w:rPr>
        <w:t xml:space="preserve"> </w:t>
      </w:r>
      <w:r>
        <w:rPr>
          <w:rFonts w:ascii="SimSun" w:hAnsi="SimSun" w:eastAsia="SimSun" w:cs="SimSun"/>
          <w:sz w:val="21"/>
          <w:szCs w:val="21"/>
          <w:spacing w:val="-6"/>
        </w:rPr>
        <w:t>万张。</w:t>
      </w:r>
    </w:p>
    <w:p>
      <w:pPr>
        <w:ind w:left="4" w:right="67" w:firstLine="427"/>
        <w:spacing w:before="304" w:line="298" w:lineRule="auto"/>
        <w:jc w:val="both"/>
        <w:rPr>
          <w:rFonts w:ascii="SimSun" w:hAnsi="SimSun" w:eastAsia="SimSun" w:cs="SimSun"/>
          <w:sz w:val="21"/>
          <w:szCs w:val="21"/>
        </w:rPr>
      </w:pPr>
      <w:r>
        <w:rPr>
          <w:rFonts w:ascii="SimSun" w:hAnsi="SimSun" w:eastAsia="SimSun" w:cs="SimSun"/>
          <w:sz w:val="21"/>
          <w:szCs w:val="21"/>
          <w:spacing w:val="-2"/>
        </w:rPr>
        <w:t>聚焦政务场景,</w:t>
      </w:r>
      <w:r>
        <w:rPr>
          <w:rFonts w:ascii="SimSun" w:hAnsi="SimSun" w:eastAsia="SimSun" w:cs="SimSun"/>
          <w:sz w:val="21"/>
          <w:szCs w:val="21"/>
          <w:spacing w:val="50"/>
        </w:rPr>
        <w:t xml:space="preserve"> </w:t>
      </w:r>
      <w:r>
        <w:rPr>
          <w:rFonts w:ascii="SimSun" w:hAnsi="SimSun" w:eastAsia="SimSun" w:cs="SimSun"/>
          <w:sz w:val="21"/>
          <w:szCs w:val="21"/>
          <w:spacing w:val="-2"/>
        </w:rPr>
        <w:t>以市民钱包、新市民借记卡</w:t>
      </w:r>
      <w:r>
        <w:rPr>
          <w:rFonts w:ascii="SimSun" w:hAnsi="SimSun" w:eastAsia="SimSun" w:cs="SimSun"/>
          <w:sz w:val="21"/>
          <w:szCs w:val="21"/>
          <w:spacing w:val="-3"/>
        </w:rPr>
        <w:t>为载体,</w:t>
      </w:r>
      <w:r>
        <w:rPr>
          <w:rFonts w:ascii="SimSun" w:hAnsi="SimSun" w:eastAsia="SimSun" w:cs="SimSun"/>
          <w:sz w:val="21"/>
          <w:szCs w:val="21"/>
          <w:spacing w:val="29"/>
        </w:rPr>
        <w:t xml:space="preserve"> </w:t>
      </w:r>
      <w:r>
        <w:rPr>
          <w:rFonts w:ascii="SimSun" w:hAnsi="SimSun" w:eastAsia="SimSun" w:cs="SimSun"/>
          <w:sz w:val="21"/>
          <w:szCs w:val="21"/>
          <w:spacing w:val="-3"/>
        </w:rPr>
        <w:t>为市民提供缴费、信贷、支付等金融服务。聚焦</w:t>
      </w:r>
      <w:r>
        <w:rPr>
          <w:rFonts w:ascii="SimSun" w:hAnsi="SimSun" w:eastAsia="SimSun" w:cs="SimSun"/>
          <w:sz w:val="21"/>
          <w:szCs w:val="21"/>
        </w:rPr>
        <w:t xml:space="preserve"> </w:t>
      </w:r>
      <w:r>
        <w:rPr>
          <w:rFonts w:ascii="SimSun" w:hAnsi="SimSun" w:eastAsia="SimSun" w:cs="SimSun"/>
          <w:sz w:val="21"/>
          <w:szCs w:val="21"/>
          <w:spacing w:val="-2"/>
        </w:rPr>
        <w:t>交通出行场景,</w:t>
      </w:r>
      <w:r>
        <w:rPr>
          <w:rFonts w:ascii="SimSun" w:hAnsi="SimSun" w:eastAsia="SimSun" w:cs="SimSun"/>
          <w:sz w:val="21"/>
          <w:szCs w:val="21"/>
          <w:spacing w:val="39"/>
        </w:rPr>
        <w:t xml:space="preserve"> </w:t>
      </w:r>
      <w:r>
        <w:rPr>
          <w:rFonts w:ascii="SimSun" w:hAnsi="SimSun" w:eastAsia="SimSun" w:cs="SimSun"/>
          <w:sz w:val="21"/>
          <w:szCs w:val="21"/>
          <w:spacing w:val="-2"/>
        </w:rPr>
        <w:t>在公共交通、新能源汽车、航空公司、车后市场等领域,</w:t>
      </w:r>
      <w:r>
        <w:rPr>
          <w:rFonts w:ascii="SimSun" w:hAnsi="SimSun" w:eastAsia="SimSun" w:cs="SimSun"/>
          <w:sz w:val="21"/>
          <w:szCs w:val="21"/>
          <w:spacing w:val="29"/>
        </w:rPr>
        <w:t xml:space="preserve"> </w:t>
      </w:r>
      <w:r>
        <w:rPr>
          <w:rFonts w:ascii="SimSun" w:hAnsi="SimSun" w:eastAsia="SimSun" w:cs="SimSun"/>
          <w:sz w:val="21"/>
          <w:szCs w:val="21"/>
          <w:spacing w:val="-2"/>
        </w:rPr>
        <w:t>构建会员体系, 丰富支付优惠权</w:t>
      </w:r>
      <w:r>
        <w:rPr>
          <w:rFonts w:ascii="SimSun" w:hAnsi="SimSun" w:eastAsia="SimSun" w:cs="SimSun"/>
          <w:sz w:val="21"/>
          <w:szCs w:val="21"/>
        </w:rPr>
        <w:t xml:space="preserve"> </w:t>
      </w:r>
      <w:r>
        <w:rPr>
          <w:rFonts w:ascii="SimSun" w:hAnsi="SimSun" w:eastAsia="SimSun" w:cs="SimSun"/>
          <w:sz w:val="21"/>
          <w:szCs w:val="21"/>
          <w:spacing w:val="-1"/>
        </w:rPr>
        <w:t>益,</w:t>
      </w:r>
      <w:r>
        <w:rPr>
          <w:rFonts w:ascii="SimSun" w:hAnsi="SimSun" w:eastAsia="SimSun" w:cs="SimSun"/>
          <w:sz w:val="21"/>
          <w:szCs w:val="21"/>
          <w:spacing w:val="29"/>
        </w:rPr>
        <w:t xml:space="preserve"> </w:t>
      </w:r>
      <w:r>
        <w:rPr>
          <w:rFonts w:ascii="SimSun" w:hAnsi="SimSun" w:eastAsia="SimSun" w:cs="SimSun"/>
          <w:sz w:val="21"/>
          <w:szCs w:val="21"/>
          <w:spacing w:val="-1"/>
        </w:rPr>
        <w:t>为客户提供安全、便捷、合规的账户及支付服务。聚焦医疗健康场景, 优化就医环节支</w:t>
      </w:r>
      <w:r>
        <w:rPr>
          <w:rFonts w:ascii="SimSun" w:hAnsi="SimSun" w:eastAsia="SimSun" w:cs="SimSun"/>
          <w:sz w:val="21"/>
          <w:szCs w:val="21"/>
          <w:spacing w:val="-2"/>
        </w:rPr>
        <w:t>付流程, 提供</w:t>
      </w:r>
      <w:r>
        <w:rPr>
          <w:rFonts w:ascii="SimSun" w:hAnsi="SimSun" w:eastAsia="SimSun" w:cs="SimSun"/>
          <w:sz w:val="21"/>
          <w:szCs w:val="21"/>
        </w:rPr>
        <w:t xml:space="preserve"> </w:t>
      </w:r>
      <w:r>
        <w:rPr>
          <w:rFonts w:ascii="SimSun" w:hAnsi="SimSun" w:eastAsia="SimSun" w:cs="SimSun"/>
          <w:sz w:val="21"/>
          <w:szCs w:val="21"/>
        </w:rPr>
        <w:t>便民、惠民的支付服务。深化智慧校园建设, </w:t>
      </w:r>
      <w:r>
        <w:rPr>
          <w:rFonts w:ascii="SimSun" w:hAnsi="SimSun" w:eastAsia="SimSun" w:cs="SimSun"/>
          <w:sz w:val="21"/>
          <w:szCs w:val="21"/>
          <w:spacing w:val="-1"/>
        </w:rPr>
        <w:t>通过开放银行向学校提供安全、便捷、智能的教育行业解决</w:t>
      </w:r>
      <w:r>
        <w:rPr>
          <w:rFonts w:ascii="SimSun" w:hAnsi="SimSun" w:eastAsia="SimSun" w:cs="SimSun"/>
          <w:sz w:val="21"/>
          <w:szCs w:val="21"/>
        </w:rPr>
        <w:t xml:space="preserve"> </w:t>
      </w:r>
      <w:r>
        <w:rPr>
          <w:rFonts w:ascii="SimSun" w:hAnsi="SimSun" w:eastAsia="SimSun" w:cs="SimSun"/>
          <w:sz w:val="21"/>
          <w:szCs w:val="21"/>
          <w:spacing w:val="-8"/>
        </w:rPr>
        <w:t>方案。</w:t>
      </w:r>
    </w:p>
    <w:p>
      <w:pPr>
        <w:ind w:left="4" w:right="67" w:firstLine="417"/>
        <w:spacing w:before="309" w:line="291" w:lineRule="auto"/>
        <w:jc w:val="both"/>
        <w:rPr>
          <w:rFonts w:ascii="SimSun" w:hAnsi="SimSun" w:eastAsia="SimSun" w:cs="SimSun"/>
          <w:sz w:val="21"/>
          <w:szCs w:val="21"/>
        </w:rPr>
      </w:pPr>
      <w:r>
        <w:rPr>
          <w:rFonts w:ascii="SimSun" w:hAnsi="SimSun" w:eastAsia="SimSun" w:cs="SimSun"/>
          <w:sz w:val="21"/>
          <w:szCs w:val="21"/>
        </w:rPr>
        <w:t>报告期末,</w:t>
      </w:r>
      <w:r>
        <w:rPr>
          <w:rFonts w:ascii="SimSun" w:hAnsi="SimSun" w:eastAsia="SimSun" w:cs="SimSun"/>
          <w:sz w:val="21"/>
          <w:szCs w:val="21"/>
          <w:spacing w:val="29"/>
        </w:rPr>
        <w:t xml:space="preserve"> </w:t>
      </w:r>
      <w:r>
        <w:rPr>
          <w:rFonts w:ascii="SimSun" w:hAnsi="SimSun" w:eastAsia="SimSun" w:cs="SimSun"/>
          <w:sz w:val="21"/>
          <w:szCs w:val="21"/>
        </w:rPr>
        <w:t>借记卡累计发卡量</w:t>
      </w:r>
      <w:r>
        <w:rPr>
          <w:rFonts w:ascii="SimSun" w:hAnsi="SimSun" w:eastAsia="SimSun" w:cs="SimSun"/>
          <w:sz w:val="21"/>
          <w:szCs w:val="21"/>
          <w:spacing w:val="-20"/>
        </w:rPr>
        <w:t xml:space="preserve"> </w:t>
      </w:r>
      <w:r>
        <w:rPr>
          <w:rFonts w:ascii="Times New Roman" w:hAnsi="Times New Roman" w:eastAsia="Times New Roman" w:cs="Times New Roman"/>
          <w:sz w:val="21"/>
          <w:szCs w:val="21"/>
        </w:rPr>
        <w:t>17,351.56</w:t>
      </w:r>
      <w:r>
        <w:rPr>
          <w:rFonts w:ascii="Times New Roman" w:hAnsi="Times New Roman" w:eastAsia="Times New Roman" w:cs="Times New Roman"/>
          <w:sz w:val="21"/>
          <w:szCs w:val="21"/>
          <w:spacing w:val="21"/>
        </w:rPr>
        <w:t xml:space="preserve"> </w:t>
      </w:r>
      <w:r>
        <w:rPr>
          <w:rFonts w:ascii="SimSun" w:hAnsi="SimSun" w:eastAsia="SimSun" w:cs="SimSun"/>
          <w:sz w:val="21"/>
          <w:szCs w:val="21"/>
        </w:rPr>
        <w:t>万张,</w:t>
      </w:r>
      <w:r>
        <w:rPr>
          <w:rFonts w:ascii="SimSun" w:hAnsi="SimSun" w:eastAsia="SimSun" w:cs="SimSun"/>
          <w:sz w:val="21"/>
          <w:szCs w:val="21"/>
          <w:spacing w:val="29"/>
        </w:rPr>
        <w:t xml:space="preserve"> </w:t>
      </w:r>
      <w:r>
        <w:rPr>
          <w:rFonts w:ascii="SimSun" w:hAnsi="SimSun" w:eastAsia="SimSun" w:cs="SimSun"/>
          <w:sz w:val="21"/>
          <w:szCs w:val="21"/>
        </w:rPr>
        <w:t>较上年末净增</w:t>
      </w:r>
      <w:r>
        <w:rPr>
          <w:rFonts w:ascii="SimSun" w:hAnsi="SimSun" w:eastAsia="SimSun" w:cs="SimSun"/>
          <w:sz w:val="21"/>
          <w:szCs w:val="21"/>
          <w:spacing w:val="-37"/>
        </w:rPr>
        <w:t xml:space="preserve"> </w:t>
      </w:r>
      <w:r>
        <w:rPr>
          <w:rFonts w:ascii="Times New Roman" w:hAnsi="Times New Roman" w:eastAsia="Times New Roman" w:cs="Times New Roman"/>
          <w:sz w:val="21"/>
          <w:szCs w:val="21"/>
        </w:rPr>
        <w:t>776.41</w:t>
      </w:r>
      <w:r>
        <w:rPr>
          <w:rFonts w:ascii="Times New Roman" w:hAnsi="Times New Roman" w:eastAsia="Times New Roman" w:cs="Times New Roman"/>
          <w:sz w:val="21"/>
          <w:szCs w:val="21"/>
          <w:spacing w:val="18"/>
          <w:w w:val="101"/>
        </w:rPr>
        <w:t xml:space="preserve"> </w:t>
      </w:r>
      <w:r>
        <w:rPr>
          <w:rFonts w:ascii="SimSun" w:hAnsi="SimSun" w:eastAsia="SimSun" w:cs="SimSun"/>
          <w:sz w:val="21"/>
          <w:szCs w:val="21"/>
        </w:rPr>
        <w:t>万张。</w:t>
      </w:r>
      <w:r>
        <w:rPr>
          <w:rFonts w:ascii="SimSun" w:hAnsi="SimSun" w:eastAsia="SimSun" w:cs="SimSun"/>
          <w:sz w:val="21"/>
          <w:szCs w:val="21"/>
          <w:spacing w:val="-1"/>
        </w:rPr>
        <w:t>报告期内,借记卡线上获</w:t>
      </w:r>
      <w:r>
        <w:rPr>
          <w:rFonts w:ascii="SimSun" w:hAnsi="SimSun" w:eastAsia="SimSun" w:cs="SimSun"/>
          <w:sz w:val="21"/>
          <w:szCs w:val="21"/>
        </w:rPr>
        <w:t xml:space="preserve"> </w:t>
      </w:r>
      <w:r>
        <w:rPr>
          <w:rFonts w:ascii="SimSun" w:hAnsi="SimSun" w:eastAsia="SimSun" w:cs="SimSun"/>
          <w:sz w:val="21"/>
          <w:szCs w:val="21"/>
          <w:spacing w:val="-2"/>
        </w:rPr>
        <w:t>客占比较上年末提升</w:t>
      </w:r>
      <w:r>
        <w:rPr>
          <w:rFonts w:ascii="SimSun" w:hAnsi="SimSun" w:eastAsia="SimSun" w:cs="SimSun"/>
          <w:sz w:val="21"/>
          <w:szCs w:val="21"/>
          <w:spacing w:val="-33"/>
        </w:rPr>
        <w:t xml:space="preserve"> </w:t>
      </w:r>
      <w:r>
        <w:rPr>
          <w:rFonts w:ascii="Times New Roman" w:hAnsi="Times New Roman" w:eastAsia="Times New Roman" w:cs="Times New Roman"/>
          <w:sz w:val="21"/>
          <w:szCs w:val="21"/>
          <w:spacing w:val="-2"/>
        </w:rPr>
        <w:t>6.86 </w:t>
      </w:r>
      <w:r>
        <w:rPr>
          <w:rFonts w:ascii="SimSun" w:hAnsi="SimSun" w:eastAsia="SimSun" w:cs="SimSun"/>
          <w:sz w:val="21"/>
          <w:szCs w:val="21"/>
          <w:spacing w:val="-2"/>
        </w:rPr>
        <w:t>个百分点。协同合作机构优化支付产品, 提升持卡人主流平台支付体验; 助力老</w:t>
      </w:r>
      <w:r>
        <w:rPr>
          <w:rFonts w:ascii="SimSun" w:hAnsi="SimSun" w:eastAsia="SimSun" w:cs="SimSun"/>
          <w:sz w:val="21"/>
          <w:szCs w:val="21"/>
        </w:rPr>
        <w:t xml:space="preserve"> </w:t>
      </w:r>
      <w:r>
        <w:rPr>
          <w:rFonts w:ascii="SimSun" w:hAnsi="SimSun" w:eastAsia="SimSun" w:cs="SimSun"/>
          <w:sz w:val="21"/>
          <w:szCs w:val="21"/>
          <w:spacing w:val="-1"/>
        </w:rPr>
        <w:t>字号振兴,</w:t>
      </w:r>
      <w:r>
        <w:rPr>
          <w:rFonts w:ascii="SimSun" w:hAnsi="SimSun" w:eastAsia="SimSun" w:cs="SimSun"/>
          <w:sz w:val="21"/>
          <w:szCs w:val="21"/>
          <w:spacing w:val="27"/>
        </w:rPr>
        <w:t xml:space="preserve"> </w:t>
      </w:r>
      <w:r>
        <w:rPr>
          <w:rFonts w:ascii="SimSun" w:hAnsi="SimSun" w:eastAsia="SimSun" w:cs="SimSun"/>
          <w:sz w:val="21"/>
          <w:szCs w:val="21"/>
          <w:spacing w:val="-1"/>
        </w:rPr>
        <w:t>合作开展老字号消费优惠等用卡营销活动, 丰富消费支付业务场景。报告期内,</w:t>
      </w:r>
      <w:r>
        <w:rPr>
          <w:rFonts w:ascii="SimSun" w:hAnsi="SimSun" w:eastAsia="SimSun" w:cs="SimSun"/>
          <w:sz w:val="21"/>
          <w:szCs w:val="21"/>
          <w:spacing w:val="-2"/>
        </w:rPr>
        <w:t xml:space="preserve"> 借记卡累计消</w:t>
      </w:r>
      <w:r>
        <w:rPr>
          <w:rFonts w:ascii="SimSun" w:hAnsi="SimSun" w:eastAsia="SimSun" w:cs="SimSun"/>
          <w:sz w:val="21"/>
          <w:szCs w:val="21"/>
        </w:rPr>
        <w:t xml:space="preserve"> </w:t>
      </w:r>
      <w:r>
        <w:rPr>
          <w:rFonts w:ascii="SimSun" w:hAnsi="SimSun" w:eastAsia="SimSun" w:cs="SimSun"/>
          <w:sz w:val="21"/>
          <w:szCs w:val="21"/>
          <w:spacing w:val="-1"/>
        </w:rPr>
        <w:t>费额</w:t>
      </w:r>
      <w:r>
        <w:rPr>
          <w:rFonts w:ascii="SimSun" w:hAnsi="SimSun" w:eastAsia="SimSun" w:cs="SimSun"/>
          <w:sz w:val="21"/>
          <w:szCs w:val="21"/>
          <w:spacing w:val="-45"/>
        </w:rPr>
        <w:t xml:space="preserve"> </w:t>
      </w:r>
      <w:r>
        <w:rPr>
          <w:rFonts w:ascii="Times New Roman" w:hAnsi="Times New Roman" w:eastAsia="Times New Roman" w:cs="Times New Roman"/>
          <w:sz w:val="21"/>
          <w:szCs w:val="21"/>
          <w:spacing w:val="-1"/>
        </w:rPr>
        <w:t>23,756.46 </w:t>
      </w:r>
      <w:r>
        <w:rPr>
          <w:rFonts w:ascii="SimSun" w:hAnsi="SimSun" w:eastAsia="SimSun" w:cs="SimSun"/>
          <w:sz w:val="21"/>
          <w:szCs w:val="21"/>
          <w:spacing w:val="-1"/>
        </w:rPr>
        <w:t>亿元。</w:t>
      </w:r>
    </w:p>
    <w:p>
      <w:pPr>
        <w:pStyle w:val="BodyText"/>
        <w:spacing w:line="246" w:lineRule="auto"/>
        <w:rPr/>
      </w:pPr>
      <w:r/>
    </w:p>
    <w:p>
      <w:pPr>
        <w:ind w:left="423"/>
        <w:spacing w:before="69" w:line="222"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4.</w:t>
      </w:r>
      <w:r>
        <w:rPr>
          <w:rFonts w:ascii="SimSun" w:hAnsi="SimSun" w:eastAsia="SimSun" w:cs="SimSun"/>
          <w:sz w:val="21"/>
          <w:szCs w:val="21"/>
          <w:b/>
          <w:bCs/>
          <w:spacing w:val="-2"/>
        </w:rPr>
        <w:t>消费金融</w:t>
      </w:r>
    </w:p>
    <w:p>
      <w:pPr>
        <w:ind w:left="2" w:right="67" w:firstLine="421"/>
        <w:spacing w:before="306" w:line="297" w:lineRule="auto"/>
        <w:jc w:val="both"/>
        <w:rPr>
          <w:rFonts w:ascii="SimSun" w:hAnsi="SimSun" w:eastAsia="SimSun" w:cs="SimSun"/>
          <w:sz w:val="21"/>
          <w:szCs w:val="21"/>
        </w:rPr>
      </w:pPr>
      <w:r>
        <w:rPr>
          <w:rFonts w:ascii="SimSun" w:hAnsi="SimSun" w:eastAsia="SimSun" w:cs="SimSun"/>
          <w:sz w:val="21"/>
          <w:szCs w:val="21"/>
        </w:rPr>
        <w:t>积极落实差别化住房信贷政策, 合理支持居民刚</w:t>
      </w:r>
      <w:r>
        <w:rPr>
          <w:rFonts w:ascii="SimSun" w:hAnsi="SimSun" w:eastAsia="SimSun" w:cs="SimSun"/>
          <w:sz w:val="21"/>
          <w:szCs w:val="21"/>
          <w:spacing w:val="-1"/>
        </w:rPr>
        <w:t>性和改善性住房需求; 持续完善全流程风控体系, 保</w:t>
      </w:r>
      <w:r>
        <w:rPr>
          <w:rFonts w:ascii="SimSun" w:hAnsi="SimSun" w:eastAsia="SimSun" w:cs="SimSun"/>
          <w:sz w:val="21"/>
          <w:szCs w:val="21"/>
        </w:rPr>
        <w:t xml:space="preserve"> </w:t>
      </w:r>
      <w:r>
        <w:rPr>
          <w:rFonts w:ascii="SimSun" w:hAnsi="SimSun" w:eastAsia="SimSun" w:cs="SimSun"/>
          <w:sz w:val="21"/>
          <w:szCs w:val="21"/>
        </w:rPr>
        <w:t>障个人住房贷款业务稳健发展。服务国家扩内需</w:t>
      </w:r>
      <w:r>
        <w:rPr>
          <w:rFonts w:ascii="SimSun" w:hAnsi="SimSun" w:eastAsia="SimSun" w:cs="SimSun"/>
          <w:sz w:val="21"/>
          <w:szCs w:val="21"/>
          <w:spacing w:val="-1"/>
        </w:rPr>
        <w:t>、促消费战略, 加快个人消费贷款产品迭代创新, 满足居</w:t>
      </w:r>
      <w:r>
        <w:rPr>
          <w:rFonts w:ascii="SimSun" w:hAnsi="SimSun" w:eastAsia="SimSun" w:cs="SimSun"/>
          <w:sz w:val="21"/>
          <w:szCs w:val="21"/>
        </w:rPr>
        <w:t xml:space="preserve"> </w:t>
      </w:r>
      <w:r>
        <w:rPr>
          <w:rFonts w:ascii="SimSun" w:hAnsi="SimSun" w:eastAsia="SimSun" w:cs="SimSun"/>
          <w:sz w:val="21"/>
          <w:szCs w:val="21"/>
        </w:rPr>
        <w:t>民衣食住行医等多元化消费金融需求, 提升新市民</w:t>
      </w:r>
      <w:r>
        <w:rPr>
          <w:rFonts w:ascii="SimSun" w:hAnsi="SimSun" w:eastAsia="SimSun" w:cs="SimSun"/>
          <w:sz w:val="21"/>
          <w:szCs w:val="21"/>
          <w:spacing w:val="-1"/>
        </w:rPr>
        <w:t>群体消费信贷服务水平。持续提升房贷全流程数字化水</w:t>
      </w:r>
      <w:r>
        <w:rPr>
          <w:rFonts w:ascii="SimSun" w:hAnsi="SimSun" w:eastAsia="SimSun" w:cs="SimSun"/>
          <w:sz w:val="21"/>
          <w:szCs w:val="21"/>
        </w:rPr>
        <w:t xml:space="preserve"> </w:t>
      </w:r>
      <w:r>
        <w:rPr>
          <w:rFonts w:ascii="SimSun" w:hAnsi="SimSun" w:eastAsia="SimSun" w:cs="SimSun"/>
          <w:sz w:val="21"/>
          <w:szCs w:val="21"/>
        </w:rPr>
        <w:t>平, 借助营销中台快速部署客户全生命周期经营策略</w:t>
      </w:r>
      <w:r>
        <w:rPr>
          <w:rFonts w:ascii="SimSun" w:hAnsi="SimSun" w:eastAsia="SimSun" w:cs="SimSun"/>
          <w:sz w:val="21"/>
          <w:szCs w:val="21"/>
          <w:spacing w:val="-1"/>
        </w:rPr>
        <w:t>, 基于企业级架构实现模块化、参数化产品配置与创</w:t>
      </w:r>
      <w:r>
        <w:rPr>
          <w:rFonts w:ascii="SimSun" w:hAnsi="SimSun" w:eastAsia="SimSun" w:cs="SimSun"/>
          <w:sz w:val="21"/>
          <w:szCs w:val="21"/>
        </w:rPr>
        <w:t xml:space="preserve"> </w:t>
      </w:r>
      <w:r>
        <w:rPr>
          <w:rFonts w:ascii="SimSun" w:hAnsi="SimSun" w:eastAsia="SimSun" w:cs="SimSun"/>
          <w:sz w:val="21"/>
          <w:szCs w:val="21"/>
          <w:spacing w:val="5"/>
        </w:rPr>
        <w:t>新,增强集中风控支撑,</w:t>
      </w:r>
      <w:r>
        <w:rPr>
          <w:rFonts w:ascii="SimSun" w:hAnsi="SimSun" w:eastAsia="SimSun" w:cs="SimSun"/>
          <w:sz w:val="21"/>
          <w:szCs w:val="21"/>
          <w:spacing w:val="34"/>
        </w:rPr>
        <w:t xml:space="preserve"> </w:t>
      </w:r>
      <w:r>
        <w:rPr>
          <w:rFonts w:ascii="SimSun" w:hAnsi="SimSun" w:eastAsia="SimSun" w:cs="SimSun"/>
          <w:sz w:val="21"/>
          <w:szCs w:val="21"/>
          <w:spacing w:val="5"/>
        </w:rPr>
        <w:t>强化重点领域反欺</w:t>
      </w:r>
      <w:r>
        <w:rPr>
          <w:rFonts w:ascii="SimSun" w:hAnsi="SimSun" w:eastAsia="SimSun" w:cs="SimSun"/>
          <w:sz w:val="21"/>
          <w:szCs w:val="21"/>
          <w:spacing w:val="4"/>
        </w:rPr>
        <w:t>诈能力,以科技赋能提升服务质效。</w:t>
      </w:r>
    </w:p>
    <w:p>
      <w:pPr>
        <w:spacing w:line="297" w:lineRule="auto"/>
        <w:sectPr>
          <w:footerReference w:type="default" r:id="rId38"/>
          <w:pgSz w:w="11907" w:h="16839"/>
          <w:pgMar w:top="1196" w:right="1061" w:bottom="1375" w:left="1137" w:header="0" w:footer="1211" w:gutter="0"/>
        </w:sectPr>
        <w:rPr>
          <w:rFonts w:ascii="SimSun" w:hAnsi="SimSun" w:eastAsia="SimSun" w:cs="SimSun"/>
          <w:sz w:val="21"/>
          <w:szCs w:val="21"/>
        </w:rPr>
      </w:pPr>
    </w:p>
    <w:p>
      <w:pPr>
        <w:ind w:left="1" w:right="70" w:firstLine="417"/>
        <w:spacing w:before="42" w:line="268" w:lineRule="auto"/>
        <w:rPr>
          <w:rFonts w:ascii="SimSun" w:hAnsi="SimSun" w:eastAsia="SimSun" w:cs="SimSun"/>
          <w:sz w:val="21"/>
          <w:szCs w:val="21"/>
        </w:rPr>
      </w:pPr>
      <w:r>
        <w:pict>
          <v:shape id="_x0000_s284" style="position:absolute;margin-left:88.704pt;margin-top:753.12pt;mso-position-vertical-relative:page;mso-position-horizontal-relative:page;width:144.05pt;height:0.75pt;z-index:251814912;" o:allowincell="f" fillcolor="#000000" filled="true" stroked="false" coordsize="2881,15" coordorigin="0,0" path="m0,14l2880,14l2880,0l0,0l0,14xe"/>
        </w:pict>
      </w:r>
      <w:r>
        <w:rPr>
          <w:rFonts w:ascii="SimSun" w:hAnsi="SimSun" w:eastAsia="SimSun" w:cs="SimSun"/>
          <w:sz w:val="21"/>
          <w:szCs w:val="21"/>
          <w:spacing w:val="-3"/>
        </w:rPr>
        <w:t>报告期末, 个人住房贷款余额</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3"/>
        </w:rPr>
        <w:t>15,</w:t>
      </w:r>
      <w:r>
        <w:rPr>
          <w:rFonts w:ascii="Times New Roman" w:hAnsi="Times New Roman" w:eastAsia="Times New Roman" w:cs="Times New Roman"/>
          <w:sz w:val="21"/>
          <w:szCs w:val="21"/>
          <w:spacing w:val="-28"/>
        </w:rPr>
        <w:t xml:space="preserve"> </w:t>
      </w:r>
      <w:r>
        <w:rPr>
          <w:rFonts w:ascii="Times New Roman" w:hAnsi="Times New Roman" w:eastAsia="Times New Roman" w:cs="Times New Roman"/>
          <w:sz w:val="21"/>
          <w:szCs w:val="21"/>
          <w:spacing w:val="-3"/>
        </w:rPr>
        <w:t>126.48 </w:t>
      </w:r>
      <w:r>
        <w:rPr>
          <w:rFonts w:ascii="SimSun" w:hAnsi="SimSun" w:eastAsia="SimSun" w:cs="SimSun"/>
          <w:sz w:val="21"/>
          <w:szCs w:val="21"/>
          <w:spacing w:val="-3"/>
        </w:rPr>
        <w:t>亿元, 较上年末增长</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3"/>
        </w:rPr>
        <w:t>1.55%</w:t>
      </w:r>
      <w:r>
        <w:rPr>
          <w:rFonts w:ascii="SimSun" w:hAnsi="SimSun" w:eastAsia="SimSun" w:cs="SimSun"/>
          <w:sz w:val="21"/>
          <w:szCs w:val="21"/>
          <w:spacing w:val="-3"/>
        </w:rPr>
        <w:t>; 境内行个人消费贷款</w:t>
      </w:r>
      <w:r>
        <w:rPr>
          <w:rFonts w:ascii="SimSun" w:hAnsi="SimSun" w:eastAsia="SimSun" w:cs="SimSun"/>
          <w:sz w:val="21"/>
          <w:szCs w:val="21"/>
          <w:spacing w:val="-4"/>
        </w:rPr>
        <w:t>余额</w:t>
      </w:r>
      <w:r>
        <w:rPr>
          <w:rFonts w:ascii="SimSun" w:hAnsi="SimSun" w:eastAsia="SimSun" w:cs="SimSun"/>
          <w:sz w:val="21"/>
          <w:szCs w:val="21"/>
          <w:spacing w:val="-39"/>
        </w:rPr>
        <w:t xml:space="preserve"> </w:t>
      </w:r>
      <w:r>
        <w:rPr>
          <w:rFonts w:ascii="Times New Roman" w:hAnsi="Times New Roman" w:eastAsia="Times New Roman" w:cs="Times New Roman"/>
          <w:sz w:val="21"/>
          <w:szCs w:val="21"/>
          <w:spacing w:val="-4"/>
        </w:rPr>
        <w:t>848.93</w:t>
      </w:r>
      <w:r>
        <w:rPr>
          <w:rFonts w:ascii="Times New Roman" w:hAnsi="Times New Roman" w:eastAsia="Times New Roman" w:cs="Times New Roman"/>
          <w:sz w:val="21"/>
          <w:szCs w:val="21"/>
        </w:rPr>
        <w:t xml:space="preserve"> </w:t>
      </w:r>
      <w:r>
        <w:rPr>
          <w:rFonts w:ascii="SimSun" w:hAnsi="SimSun" w:eastAsia="SimSun" w:cs="SimSun"/>
          <w:sz w:val="21"/>
          <w:szCs w:val="21"/>
          <w:spacing w:val="-3"/>
        </w:rPr>
        <w:t>亿元,</w:t>
      </w:r>
      <w:r>
        <w:rPr>
          <w:rFonts w:ascii="SimSun" w:hAnsi="SimSun" w:eastAsia="SimSun" w:cs="SimSun"/>
          <w:sz w:val="21"/>
          <w:szCs w:val="21"/>
          <w:spacing w:val="28"/>
        </w:rPr>
        <w:t xml:space="preserve"> </w:t>
      </w:r>
      <w:r>
        <w:rPr>
          <w:rFonts w:ascii="SimSun" w:hAnsi="SimSun" w:eastAsia="SimSun" w:cs="SimSun"/>
          <w:sz w:val="21"/>
          <w:szCs w:val="21"/>
          <w:spacing w:val="-3"/>
        </w:rPr>
        <w:t>较上年末增长</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58.38%</w:t>
      </w:r>
      <w:r>
        <w:rPr>
          <w:rFonts w:ascii="Times New Roman" w:hAnsi="Times New Roman" w:eastAsia="Times New Roman" w:cs="Times New Roman"/>
          <w:sz w:val="21"/>
          <w:szCs w:val="21"/>
          <w:spacing w:val="-30"/>
        </w:rPr>
        <w:t xml:space="preserve"> </w:t>
      </w:r>
      <w:r>
        <w:rPr>
          <w:rFonts w:ascii="SimSun" w:hAnsi="SimSun" w:eastAsia="SimSun" w:cs="SimSun"/>
          <w:sz w:val="21"/>
          <w:szCs w:val="21"/>
          <w:spacing w:val="-3"/>
        </w:rPr>
        <w:t>,</w:t>
      </w:r>
      <w:r>
        <w:rPr>
          <w:rFonts w:ascii="SimSun" w:hAnsi="SimSun" w:eastAsia="SimSun" w:cs="SimSun"/>
          <w:sz w:val="21"/>
          <w:szCs w:val="21"/>
          <w:spacing w:val="38"/>
        </w:rPr>
        <w:t xml:space="preserve"> </w:t>
      </w:r>
      <w:r>
        <w:rPr>
          <w:rFonts w:ascii="SimSun" w:hAnsi="SimSun" w:eastAsia="SimSun" w:cs="SimSun"/>
          <w:sz w:val="21"/>
          <w:szCs w:val="21"/>
          <w:spacing w:val="-3"/>
        </w:rPr>
        <w:t>市场份额较上年末提升</w:t>
      </w:r>
      <w:r>
        <w:rPr>
          <w:rFonts w:ascii="SimSun" w:hAnsi="SimSun" w:eastAsia="SimSun" w:cs="SimSun"/>
          <w:sz w:val="21"/>
          <w:szCs w:val="21"/>
          <w:spacing w:val="-45"/>
        </w:rPr>
        <w:t xml:space="preserve"> </w:t>
      </w:r>
      <w:r>
        <w:rPr>
          <w:rFonts w:ascii="Times New Roman" w:hAnsi="Times New Roman" w:eastAsia="Times New Roman" w:cs="Times New Roman"/>
          <w:sz w:val="21"/>
          <w:szCs w:val="21"/>
          <w:spacing w:val="-3"/>
        </w:rPr>
        <w:t>0.97</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4"/>
        </w:rPr>
        <w:t>个百分点。</w:t>
      </w:r>
    </w:p>
    <w:p>
      <w:pPr>
        <w:pStyle w:val="BodyText"/>
        <w:spacing w:line="243" w:lineRule="auto"/>
        <w:rPr/>
      </w:pPr>
      <w:r/>
    </w:p>
    <w:p>
      <w:pPr>
        <w:ind w:left="422"/>
        <w:spacing w:before="68" w:line="222"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3"/>
        </w:rPr>
        <w:t>5.</w:t>
      </w:r>
      <w:r>
        <w:rPr>
          <w:rFonts w:ascii="SimSun" w:hAnsi="SimSun" w:eastAsia="SimSun" w:cs="SimSun"/>
          <w:sz w:val="21"/>
          <w:szCs w:val="21"/>
          <w:b/>
          <w:bCs/>
          <w:spacing w:val="-3"/>
        </w:rPr>
        <w:t>私人银行</w:t>
      </w:r>
    </w:p>
    <w:p>
      <w:pPr>
        <w:ind w:firstLine="424"/>
        <w:spacing w:before="305" w:line="296" w:lineRule="auto"/>
        <w:jc w:val="both"/>
        <w:rPr>
          <w:rFonts w:ascii="SimSun" w:hAnsi="SimSun" w:eastAsia="SimSun" w:cs="SimSun"/>
          <w:sz w:val="21"/>
          <w:szCs w:val="21"/>
        </w:rPr>
      </w:pPr>
      <w:r>
        <w:rPr>
          <w:rFonts w:ascii="SimSun" w:hAnsi="SimSun" w:eastAsia="SimSun" w:cs="SimSun"/>
          <w:sz w:val="21"/>
          <w:szCs w:val="21"/>
          <w:spacing w:val="-1"/>
        </w:rPr>
        <w:t>不断完善私人银行产品体系, 建立全市场遴选机制, 代销私银专属产品数量与规模持续增长, 产品策 </w:t>
      </w:r>
      <w:r>
        <w:rPr>
          <w:rFonts w:ascii="SimSun" w:hAnsi="SimSun" w:eastAsia="SimSun" w:cs="SimSun"/>
          <w:sz w:val="21"/>
          <w:szCs w:val="21"/>
          <w:spacing w:val="-1"/>
        </w:rPr>
        <w:t>略逐步丰富。家族财富管理业务发展提速, 报告期内实现规模翻番, 其中保险金信托为业务增长主力。打 </w:t>
      </w:r>
      <w:r>
        <w:rPr>
          <w:rFonts w:ascii="SimSun" w:hAnsi="SimSun" w:eastAsia="SimSun" w:cs="SimSun"/>
          <w:sz w:val="21"/>
          <w:szCs w:val="21"/>
          <w:spacing w:val="6"/>
        </w:rPr>
        <w:t>造私人银行专业队伍,组织分层培训,队伍专业能力有所提升。常态化发布投研报告</w:t>
      </w:r>
      <w:r>
        <w:rPr>
          <w:rFonts w:ascii="SimSun" w:hAnsi="SimSun" w:eastAsia="SimSun" w:cs="SimSun"/>
          <w:sz w:val="21"/>
          <w:szCs w:val="21"/>
          <w:spacing w:val="5"/>
        </w:rPr>
        <w:t>与资产配置建议书,</w:t>
      </w:r>
      <w:r>
        <w:rPr>
          <w:rFonts w:ascii="SimSun" w:hAnsi="SimSun" w:eastAsia="SimSun" w:cs="SimSun"/>
          <w:sz w:val="21"/>
          <w:szCs w:val="21"/>
        </w:rPr>
        <w:t xml:space="preserve">  </w:t>
      </w:r>
      <w:r>
        <w:rPr>
          <w:rFonts w:ascii="SimSun" w:hAnsi="SimSun" w:eastAsia="SimSun" w:cs="SimSun"/>
          <w:sz w:val="21"/>
          <w:szCs w:val="21"/>
          <w:spacing w:val="-1"/>
        </w:rPr>
        <w:t>增强投研能力。强化名单制营销管理, 通过各类目标特征客户名单进</w:t>
      </w:r>
      <w:r>
        <w:rPr>
          <w:rFonts w:ascii="SimSun" w:hAnsi="SimSun" w:eastAsia="SimSun" w:cs="SimSun"/>
          <w:sz w:val="21"/>
          <w:szCs w:val="21"/>
          <w:spacing w:val="-2"/>
        </w:rPr>
        <w:t>行精准营销。报告期末,</w:t>
      </w:r>
      <w:r>
        <w:rPr>
          <w:rFonts w:ascii="SimSun" w:hAnsi="SimSun" w:eastAsia="SimSun" w:cs="SimSun"/>
          <w:sz w:val="21"/>
          <w:szCs w:val="21"/>
          <w:spacing w:val="27"/>
        </w:rPr>
        <w:t xml:space="preserve"> </w:t>
      </w:r>
      <w:r>
        <w:rPr>
          <w:rFonts w:ascii="SimSun" w:hAnsi="SimSun" w:eastAsia="SimSun" w:cs="SimSun"/>
          <w:sz w:val="21"/>
          <w:szCs w:val="21"/>
          <w:spacing w:val="-2"/>
        </w:rPr>
        <w:t>集团私人银 </w:t>
      </w:r>
      <w:r>
        <w:rPr>
          <w:rFonts w:ascii="SimSun" w:hAnsi="SimSun" w:eastAsia="SimSun" w:cs="SimSun"/>
          <w:sz w:val="21"/>
          <w:szCs w:val="21"/>
          <w:spacing w:val="-1"/>
        </w:rPr>
        <w:t>行客户数</w:t>
      </w:r>
      <w:r>
        <w:rPr>
          <w:rFonts w:ascii="Times New Roman" w:hAnsi="Times New Roman" w:eastAsia="Times New Roman" w:cs="Times New Roman"/>
          <w:sz w:val="21"/>
          <w:szCs w:val="21"/>
          <w:spacing w:val="-1"/>
        </w:rPr>
        <w:t>7.70 </w:t>
      </w:r>
      <w:r>
        <w:rPr>
          <w:rFonts w:ascii="SimSun" w:hAnsi="SimSun" w:eastAsia="SimSun" w:cs="SimSun"/>
          <w:sz w:val="21"/>
          <w:szCs w:val="21"/>
          <w:spacing w:val="-1"/>
        </w:rPr>
        <w:t>万户,较上年末增长</w:t>
      </w:r>
      <w:r>
        <w:rPr>
          <w:rFonts w:ascii="SimSun" w:hAnsi="SimSun" w:eastAsia="SimSun" w:cs="SimSun"/>
          <w:sz w:val="21"/>
          <w:szCs w:val="21"/>
          <w:spacing w:val="-62"/>
        </w:rPr>
        <w:t xml:space="preserve"> </w:t>
      </w:r>
      <w:r>
        <w:rPr>
          <w:rFonts w:ascii="Times New Roman" w:hAnsi="Times New Roman" w:eastAsia="Times New Roman" w:cs="Times New Roman"/>
          <w:sz w:val="21"/>
          <w:szCs w:val="21"/>
          <w:spacing w:val="-1"/>
        </w:rPr>
        <w:t>9.33%</w:t>
      </w:r>
      <w:r>
        <w:rPr>
          <w:rFonts w:ascii="SimSun" w:hAnsi="SimSun" w:eastAsia="SimSun" w:cs="SimSun"/>
          <w:sz w:val="21"/>
          <w:szCs w:val="21"/>
          <w:spacing w:val="-1"/>
        </w:rPr>
        <w:t>;集团管理私人银行客户资产</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1"/>
        </w:rPr>
        <w:t>10,844.42</w:t>
      </w:r>
      <w:r>
        <w:rPr>
          <w:rFonts w:ascii="Times New Roman" w:hAnsi="Times New Roman" w:eastAsia="Times New Roman" w:cs="Times New Roman"/>
          <w:sz w:val="21"/>
          <w:szCs w:val="21"/>
          <w:spacing w:val="-12"/>
        </w:rPr>
        <w:t xml:space="preserve"> </w:t>
      </w:r>
      <w:r>
        <w:rPr>
          <w:rFonts w:ascii="SimSun" w:hAnsi="SimSun" w:eastAsia="SimSun" w:cs="SimSun"/>
          <w:sz w:val="21"/>
          <w:szCs w:val="21"/>
          <w:spacing w:val="-1"/>
        </w:rPr>
        <w:t>亿元,较</w:t>
      </w:r>
      <w:r>
        <w:rPr>
          <w:rFonts w:ascii="SimSun" w:hAnsi="SimSun" w:eastAsia="SimSun" w:cs="SimSun"/>
          <w:sz w:val="21"/>
          <w:szCs w:val="21"/>
          <w:spacing w:val="-2"/>
        </w:rPr>
        <w:t>上年末增长</w:t>
      </w:r>
      <w:r>
        <w:rPr>
          <w:rFonts w:ascii="SimSun" w:hAnsi="SimSun" w:eastAsia="SimSun" w:cs="SimSun"/>
          <w:sz w:val="21"/>
          <w:szCs w:val="21"/>
          <w:spacing w:val="-59"/>
        </w:rPr>
        <w:t xml:space="preserve"> </w:t>
      </w:r>
      <w:r>
        <w:rPr>
          <w:rFonts w:ascii="Times New Roman" w:hAnsi="Times New Roman" w:eastAsia="Times New Roman" w:cs="Times New Roman"/>
          <w:sz w:val="21"/>
          <w:szCs w:val="21"/>
          <w:spacing w:val="-2"/>
        </w:rPr>
        <w:t>8.97%</w:t>
      </w:r>
      <w:r>
        <w:rPr>
          <w:rFonts w:ascii="SimSun" w:hAnsi="SimSun" w:eastAsia="SimSun" w:cs="SimSun"/>
          <w:sz w:val="21"/>
          <w:szCs w:val="21"/>
          <w:spacing w:val="-2"/>
        </w:rPr>
        <w:t>。</w:t>
      </w:r>
    </w:p>
    <w:p>
      <w:pPr>
        <w:pStyle w:val="BodyText"/>
        <w:spacing w:line="247" w:lineRule="auto"/>
        <w:rPr/>
      </w:pPr>
      <w:r/>
    </w:p>
    <w:p>
      <w:pPr>
        <w:ind w:left="423"/>
        <w:spacing w:before="68"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3"/>
        </w:rPr>
        <w:t>6.</w:t>
      </w:r>
      <w:r>
        <w:rPr>
          <w:rFonts w:ascii="SimSun" w:hAnsi="SimSun" w:eastAsia="SimSun" w:cs="SimSun"/>
          <w:sz w:val="21"/>
          <w:szCs w:val="21"/>
          <w:b/>
          <w:bCs/>
          <w:spacing w:val="-3"/>
        </w:rPr>
        <w:t>信用卡</w:t>
      </w:r>
    </w:p>
    <w:p>
      <w:pPr>
        <w:pStyle w:val="BodyText"/>
        <w:rPr/>
      </w:pPr>
      <w:r/>
    </w:p>
    <w:p>
      <w:pPr>
        <w:ind w:right="70" w:firstLine="421"/>
        <w:spacing w:before="68" w:line="293" w:lineRule="auto"/>
        <w:jc w:val="both"/>
        <w:rPr>
          <w:rFonts w:ascii="SimSun" w:hAnsi="SimSun" w:eastAsia="SimSun" w:cs="SimSun"/>
          <w:sz w:val="21"/>
          <w:szCs w:val="21"/>
        </w:rPr>
      </w:pPr>
      <w:r>
        <w:rPr>
          <w:rFonts w:ascii="SimSun" w:hAnsi="SimSun" w:eastAsia="SimSun" w:cs="SimSun"/>
          <w:sz w:val="21"/>
          <w:szCs w:val="21"/>
          <w:spacing w:val="2"/>
        </w:rPr>
        <w:t>加强"方便实惠交给您" 品牌营销, 开展最红星期五、抗疫惠民、五五</w:t>
      </w:r>
      <w:r>
        <w:rPr>
          <w:rFonts w:ascii="SimSun" w:hAnsi="SimSun" w:eastAsia="SimSun" w:cs="SimSun"/>
          <w:sz w:val="21"/>
          <w:szCs w:val="21"/>
          <w:spacing w:val="1"/>
        </w:rPr>
        <w:t>购物节、年货节等多档次大规</w:t>
      </w:r>
      <w:r>
        <w:rPr>
          <w:rFonts w:ascii="SimSun" w:hAnsi="SimSun" w:eastAsia="SimSun" w:cs="SimSun"/>
          <w:sz w:val="21"/>
          <w:szCs w:val="21"/>
        </w:rPr>
        <w:t xml:space="preserve"> </w:t>
      </w:r>
      <w:r>
        <w:rPr>
          <w:rFonts w:ascii="SimSun" w:hAnsi="SimSun" w:eastAsia="SimSun" w:cs="SimSun"/>
          <w:sz w:val="21"/>
          <w:szCs w:val="21"/>
          <w:spacing w:val="6"/>
        </w:rPr>
        <w:t>模用卡活动,消费额逆势增长, 报告期内,消费额行业排名第 </w:t>
      </w:r>
      <w:r>
        <w:rPr>
          <w:rFonts w:ascii="Times New Roman" w:hAnsi="Times New Roman" w:eastAsia="Times New Roman" w:cs="Times New Roman"/>
          <w:sz w:val="21"/>
          <w:szCs w:val="21"/>
          <w:spacing w:val="6"/>
        </w:rPr>
        <w:t>3</w:t>
      </w:r>
      <w:r>
        <w:rPr>
          <w:rFonts w:ascii="SimSun" w:hAnsi="SimSun" w:eastAsia="SimSun" w:cs="SimSun"/>
          <w:sz w:val="21"/>
          <w:szCs w:val="21"/>
          <w:spacing w:val="6"/>
        </w:rPr>
        <w:t>,较年初持平。聚焦优质客群, 推</w:t>
      </w:r>
      <w:r>
        <w:rPr>
          <w:rFonts w:ascii="SimSun" w:hAnsi="SimSun" w:eastAsia="SimSun" w:cs="SimSun"/>
          <w:sz w:val="21"/>
          <w:szCs w:val="21"/>
          <w:spacing w:val="5"/>
        </w:rPr>
        <w:t>出国韵</w:t>
      </w:r>
      <w:r>
        <w:rPr>
          <w:rFonts w:ascii="SimSun" w:hAnsi="SimSun" w:eastAsia="SimSun" w:cs="SimSun"/>
          <w:sz w:val="21"/>
          <w:szCs w:val="21"/>
        </w:rPr>
        <w:t xml:space="preserve"> </w:t>
      </w:r>
      <w:r>
        <w:rPr>
          <w:rFonts w:ascii="SimSun" w:hAnsi="SimSun" w:eastAsia="SimSun" w:cs="SimSun"/>
          <w:sz w:val="21"/>
          <w:szCs w:val="21"/>
          <w:spacing w:val="-2"/>
        </w:rPr>
        <w:t>主题卡和泡泡玛特小甜豆优逸白金卡等多个卡产品。报告期末, 新客户中优质客户占比同比提升</w:t>
      </w:r>
      <w:r>
        <w:rPr>
          <w:rFonts w:ascii="SimSun" w:hAnsi="SimSun" w:eastAsia="SimSun" w:cs="SimSun"/>
          <w:sz w:val="21"/>
          <w:szCs w:val="21"/>
          <w:spacing w:val="-31"/>
        </w:rPr>
        <w:t xml:space="preserve"> </w:t>
      </w:r>
      <w:r>
        <w:rPr>
          <w:rFonts w:ascii="Times New Roman" w:hAnsi="Times New Roman" w:eastAsia="Times New Roman" w:cs="Times New Roman"/>
          <w:sz w:val="21"/>
          <w:szCs w:val="21"/>
          <w:spacing w:val="-2"/>
        </w:rPr>
        <w:t>3.49 </w:t>
      </w:r>
      <w:r>
        <w:rPr>
          <w:rFonts w:ascii="SimSun" w:hAnsi="SimSun" w:eastAsia="SimSun" w:cs="SimSun"/>
          <w:sz w:val="21"/>
          <w:szCs w:val="21"/>
          <w:spacing w:val="-2"/>
        </w:rPr>
        <w:t>个百</w:t>
      </w:r>
      <w:r>
        <w:rPr>
          <w:rFonts w:ascii="SimSun" w:hAnsi="SimSun" w:eastAsia="SimSun" w:cs="SimSun"/>
          <w:sz w:val="21"/>
          <w:szCs w:val="21"/>
        </w:rPr>
        <w:t xml:space="preserve"> </w:t>
      </w:r>
      <w:r>
        <w:rPr>
          <w:rFonts w:ascii="SimSun" w:hAnsi="SimSun" w:eastAsia="SimSun" w:cs="SimSun"/>
          <w:sz w:val="21"/>
          <w:szCs w:val="21"/>
          <w:spacing w:val="-8"/>
        </w:rPr>
        <w:t>分点。</w:t>
      </w:r>
    </w:p>
    <w:p>
      <w:pPr>
        <w:ind w:right="70" w:firstLine="421"/>
        <w:spacing w:before="305" w:line="293" w:lineRule="auto"/>
        <w:jc w:val="both"/>
        <w:rPr>
          <w:rFonts w:ascii="SimSun" w:hAnsi="SimSun" w:eastAsia="SimSun" w:cs="SimSun"/>
          <w:sz w:val="21"/>
          <w:szCs w:val="21"/>
        </w:rPr>
      </w:pPr>
      <w:r>
        <w:rPr>
          <w:rFonts w:ascii="SimSun" w:hAnsi="SimSun" w:eastAsia="SimSun" w:cs="SimSun"/>
          <w:sz w:val="21"/>
          <w:szCs w:val="21"/>
          <w:spacing w:val="4"/>
        </w:rPr>
        <w:t>稳步推进数字化转型,上线新贷记卡核心系统, </w:t>
      </w:r>
      <w:r>
        <w:rPr>
          <w:rFonts w:ascii="Times New Roman" w:hAnsi="Times New Roman" w:eastAsia="Times New Roman" w:cs="Times New Roman"/>
          <w:sz w:val="21"/>
          <w:szCs w:val="21"/>
          <w:spacing w:val="4"/>
        </w:rPr>
        <w:t>7  </w:t>
      </w:r>
      <w:r>
        <w:rPr>
          <w:rFonts w:ascii="SimSun" w:hAnsi="SimSun" w:eastAsia="SimSun" w:cs="SimSun"/>
          <w:sz w:val="21"/>
          <w:szCs w:val="21"/>
          <w:spacing w:val="4"/>
        </w:rPr>
        <w:t>月完成全量客户的系统切换,成为本行首</w:t>
      </w:r>
      <w:r>
        <w:rPr>
          <w:rFonts w:ascii="SimSun" w:hAnsi="SimSun" w:eastAsia="SimSun" w:cs="SimSun"/>
          <w:sz w:val="21"/>
          <w:szCs w:val="21"/>
          <w:spacing w:val="3"/>
        </w:rPr>
        <w:t>个完成分</w:t>
      </w:r>
      <w:r>
        <w:rPr>
          <w:rFonts w:ascii="SimSun" w:hAnsi="SimSun" w:eastAsia="SimSun" w:cs="SimSun"/>
          <w:sz w:val="21"/>
          <w:szCs w:val="21"/>
        </w:rPr>
        <w:t xml:space="preserve"> </w:t>
      </w:r>
      <w:r>
        <w:rPr>
          <w:rFonts w:ascii="SimSun" w:hAnsi="SimSun" w:eastAsia="SimSun" w:cs="SimSun"/>
          <w:sz w:val="21"/>
          <w:szCs w:val="21"/>
          <w:spacing w:val="-1"/>
        </w:rPr>
        <w:t>布式云迁移的核心系统, 在业内首创信用卡交易实时记账业务模式。升级优化线上运营平台,</w:t>
      </w:r>
      <w:r>
        <w:rPr>
          <w:rFonts w:ascii="SimSun" w:hAnsi="SimSun" w:eastAsia="SimSun" w:cs="SimSun"/>
          <w:sz w:val="21"/>
          <w:szCs w:val="21"/>
          <w:spacing w:val="27"/>
        </w:rPr>
        <w:t xml:space="preserve"> </w:t>
      </w:r>
      <w:r>
        <w:rPr>
          <w:rFonts w:ascii="SimSun" w:hAnsi="SimSun" w:eastAsia="SimSun" w:cs="SimSun"/>
          <w:sz w:val="21"/>
          <w:szCs w:val="21"/>
          <w:spacing w:val="-2"/>
        </w:rPr>
        <w:t>发布买单吧</w:t>
      </w:r>
      <w:r>
        <w:rPr>
          <w:rFonts w:ascii="SimSun" w:hAnsi="SimSun" w:eastAsia="SimSun" w:cs="SimSun"/>
          <w:sz w:val="21"/>
          <w:szCs w:val="21"/>
        </w:rPr>
        <w:t xml:space="preserve"> </w:t>
      </w:r>
      <w:r>
        <w:rPr>
          <w:rFonts w:ascii="Times New Roman" w:hAnsi="Times New Roman" w:eastAsia="Times New Roman" w:cs="Times New Roman"/>
          <w:sz w:val="21"/>
          <w:szCs w:val="21"/>
          <w:spacing w:val="2"/>
        </w:rPr>
        <w:t>6.0</w:t>
      </w:r>
      <w:r>
        <w:rPr>
          <w:rFonts w:ascii="Times New Roman" w:hAnsi="Times New Roman" w:eastAsia="Times New Roman" w:cs="Times New Roman"/>
          <w:sz w:val="21"/>
          <w:szCs w:val="21"/>
          <w:spacing w:val="24"/>
        </w:rPr>
        <w:t xml:space="preserve"> </w:t>
      </w:r>
      <w:r>
        <w:rPr>
          <w:rFonts w:ascii="SimSun" w:hAnsi="SimSun" w:eastAsia="SimSun" w:cs="SimSun"/>
          <w:sz w:val="21"/>
          <w:szCs w:val="21"/>
          <w:spacing w:val="2"/>
        </w:rPr>
        <w:t>版本,</w:t>
      </w:r>
      <w:r>
        <w:rPr>
          <w:rFonts w:ascii="SimSun" w:hAnsi="SimSun" w:eastAsia="SimSun" w:cs="SimSun"/>
          <w:sz w:val="21"/>
          <w:szCs w:val="21"/>
          <w:spacing w:val="30"/>
        </w:rPr>
        <w:t xml:space="preserve"> </w:t>
      </w:r>
      <w:r>
        <w:rPr>
          <w:rFonts w:ascii="SimSun" w:hAnsi="SimSun" w:eastAsia="SimSun" w:cs="SimSun"/>
          <w:sz w:val="21"/>
          <w:szCs w:val="21"/>
          <w:spacing w:val="2"/>
        </w:rPr>
        <w:t>重点整合推出互联网</w:t>
      </w:r>
      <w:r>
        <w:rPr>
          <w:rFonts w:ascii="SimSun" w:hAnsi="SimSun" w:eastAsia="SimSun" w:cs="SimSun"/>
          <w:sz w:val="21"/>
          <w:szCs w:val="21"/>
          <w:spacing w:val="-32"/>
        </w:rPr>
        <w:t xml:space="preserve"> </w:t>
      </w:r>
      <w:r>
        <w:rPr>
          <w:rFonts w:ascii="Times New Roman" w:hAnsi="Times New Roman" w:eastAsia="Times New Roman" w:cs="Times New Roman"/>
          <w:sz w:val="21"/>
          <w:szCs w:val="21"/>
          <w:spacing w:val="2"/>
        </w:rPr>
        <w:t>6</w:t>
      </w:r>
      <w:r>
        <w:rPr>
          <w:rFonts w:ascii="Times New Roman" w:hAnsi="Times New Roman" w:eastAsia="Times New Roman" w:cs="Times New Roman"/>
          <w:sz w:val="21"/>
          <w:szCs w:val="21"/>
          <w:spacing w:val="26"/>
        </w:rPr>
        <w:t xml:space="preserve"> </w:t>
      </w:r>
      <w:r>
        <w:rPr>
          <w:rFonts w:ascii="SimSun" w:hAnsi="SimSun" w:eastAsia="SimSun" w:cs="SimSun"/>
          <w:sz w:val="21"/>
          <w:szCs w:val="21"/>
          <w:spacing w:val="2"/>
        </w:rPr>
        <w:t>大场景,使线上业务分流率达到</w:t>
      </w:r>
      <w:r>
        <w:rPr>
          <w:rFonts w:ascii="SimSun" w:hAnsi="SimSun" w:eastAsia="SimSun" w:cs="SimSun"/>
          <w:sz w:val="21"/>
          <w:szCs w:val="21"/>
          <w:spacing w:val="-29"/>
        </w:rPr>
        <w:t xml:space="preserve"> </w:t>
      </w:r>
      <w:r>
        <w:rPr>
          <w:rFonts w:ascii="Times New Roman" w:hAnsi="Times New Roman" w:eastAsia="Times New Roman" w:cs="Times New Roman"/>
          <w:sz w:val="21"/>
          <w:szCs w:val="21"/>
          <w:spacing w:val="2"/>
        </w:rPr>
        <w:t>97.82%</w:t>
      </w:r>
      <w:r>
        <w:rPr>
          <w:rFonts w:ascii="SimSun" w:hAnsi="SimSun" w:eastAsia="SimSun" w:cs="SimSun"/>
          <w:sz w:val="21"/>
          <w:szCs w:val="21"/>
          <w:spacing w:val="2"/>
        </w:rPr>
        <w:t>。买单吧</w:t>
      </w:r>
      <w:r>
        <w:rPr>
          <w:rFonts w:ascii="SimSun" w:hAnsi="SimSun" w:eastAsia="SimSun" w:cs="SimSun"/>
          <w:sz w:val="21"/>
          <w:szCs w:val="21"/>
          <w:spacing w:val="-39"/>
        </w:rPr>
        <w:t xml:space="preserve"> </w:t>
      </w:r>
      <w:r>
        <w:rPr>
          <w:rFonts w:ascii="Times New Roman" w:hAnsi="Times New Roman" w:eastAsia="Times New Roman" w:cs="Times New Roman"/>
          <w:sz w:val="21"/>
          <w:szCs w:val="21"/>
        </w:rPr>
        <w:t>APP</w:t>
      </w:r>
      <w:r>
        <w:rPr>
          <w:rFonts w:ascii="Times New Roman" w:hAnsi="Times New Roman" w:eastAsia="Times New Roman" w:cs="Times New Roman"/>
          <w:sz w:val="21"/>
          <w:szCs w:val="21"/>
          <w:spacing w:val="27"/>
          <w:w w:val="101"/>
        </w:rPr>
        <w:t xml:space="preserve"> </w:t>
      </w:r>
      <w:r>
        <w:rPr>
          <w:rFonts w:ascii="SimSun" w:hAnsi="SimSun" w:eastAsia="SimSun" w:cs="SimSun"/>
          <w:sz w:val="21"/>
          <w:szCs w:val="21"/>
          <w:spacing w:val="2"/>
        </w:rPr>
        <w:t>获"</w:t>
      </w:r>
      <w:r>
        <w:rPr>
          <w:rFonts w:ascii="Times New Roman" w:hAnsi="Times New Roman" w:eastAsia="Times New Roman" w:cs="Times New Roman"/>
          <w:sz w:val="21"/>
          <w:szCs w:val="21"/>
          <w:spacing w:val="2"/>
        </w:rPr>
        <w:t>2022</w:t>
      </w:r>
      <w:r>
        <w:rPr>
          <w:rFonts w:ascii="Times New Roman" w:hAnsi="Times New Roman" w:eastAsia="Times New Roman" w:cs="Times New Roman"/>
          <w:sz w:val="21"/>
          <w:szCs w:val="21"/>
          <w:spacing w:val="42"/>
          <w:w w:val="101"/>
        </w:rPr>
        <w:t xml:space="preserve"> </w:t>
      </w:r>
      <w:r>
        <w:rPr>
          <w:rFonts w:ascii="SimSun" w:hAnsi="SimSun" w:eastAsia="SimSun" w:cs="SimSun"/>
          <w:sz w:val="21"/>
          <w:szCs w:val="21"/>
          <w:spacing w:val="2"/>
        </w:rPr>
        <w:t>中国金</w:t>
      </w:r>
      <w:r>
        <w:rPr>
          <w:rFonts w:ascii="SimSun" w:hAnsi="SimSun" w:eastAsia="SimSun" w:cs="SimSun"/>
          <w:sz w:val="21"/>
          <w:szCs w:val="21"/>
        </w:rPr>
        <w:t xml:space="preserve"> </w:t>
      </w:r>
      <w:r>
        <w:rPr>
          <w:rFonts w:ascii="SimSun" w:hAnsi="SimSun" w:eastAsia="SimSun" w:cs="SimSun"/>
          <w:sz w:val="21"/>
          <w:szCs w:val="21"/>
          <w:spacing w:val="2"/>
        </w:rPr>
        <w:t>鼎奖</w:t>
      </w:r>
      <w:r>
        <w:rPr>
          <w:rFonts w:ascii="Times New Roman" w:hAnsi="Times New Roman" w:eastAsia="Times New Roman" w:cs="Times New Roman"/>
          <w:sz w:val="21"/>
          <w:szCs w:val="21"/>
          <w:spacing w:val="2"/>
        </w:rPr>
        <w:t>-</w:t>
      </w:r>
      <w:r>
        <w:rPr>
          <w:rFonts w:ascii="SimSun" w:hAnsi="SimSun" w:eastAsia="SimSun" w:cs="SimSun"/>
          <w:sz w:val="21"/>
          <w:szCs w:val="21"/>
          <w:spacing w:val="2"/>
        </w:rPr>
        <w:t>年度科技金融奖"。</w:t>
      </w:r>
    </w:p>
    <w:p>
      <w:pPr>
        <w:ind w:left="2" w:right="70" w:firstLine="417"/>
        <w:spacing w:before="309" w:line="282" w:lineRule="auto"/>
        <w:jc w:val="both"/>
        <w:rPr>
          <w:rFonts w:ascii="SimSun" w:hAnsi="SimSun" w:eastAsia="SimSun" w:cs="SimSun"/>
          <w:sz w:val="21"/>
          <w:szCs w:val="21"/>
        </w:rPr>
      </w:pPr>
      <w:r>
        <w:rPr>
          <w:rFonts w:ascii="SimSun" w:hAnsi="SimSun" w:eastAsia="SimSun" w:cs="SimSun"/>
          <w:sz w:val="21"/>
          <w:szCs w:val="21"/>
        </w:rPr>
        <w:t>报告期末,</w:t>
      </w:r>
      <w:r>
        <w:rPr>
          <w:rFonts w:ascii="SimSun" w:hAnsi="SimSun" w:eastAsia="SimSun" w:cs="SimSun"/>
          <w:sz w:val="21"/>
          <w:szCs w:val="21"/>
          <w:spacing w:val="36"/>
        </w:rPr>
        <w:t xml:space="preserve"> </w:t>
      </w:r>
      <w:r>
        <w:rPr>
          <w:rFonts w:ascii="SimSun" w:hAnsi="SimSun" w:eastAsia="SimSun" w:cs="SimSun"/>
          <w:sz w:val="21"/>
          <w:szCs w:val="21"/>
        </w:rPr>
        <w:t>境内行信用卡在册卡量</w:t>
      </w:r>
      <w:r>
        <w:rPr>
          <w:rFonts w:ascii="SimSun" w:hAnsi="SimSun" w:eastAsia="SimSun" w:cs="SimSun"/>
          <w:sz w:val="21"/>
          <w:szCs w:val="21"/>
          <w:spacing w:val="-37"/>
        </w:rPr>
        <w:t xml:space="preserve"> </w:t>
      </w:r>
      <w:r>
        <w:rPr>
          <w:rFonts w:ascii="Times New Roman" w:hAnsi="Times New Roman" w:eastAsia="Times New Roman" w:cs="Times New Roman"/>
          <w:sz w:val="21"/>
          <w:szCs w:val="21"/>
        </w:rPr>
        <w:t>7,450.83</w:t>
      </w:r>
      <w:r>
        <w:rPr>
          <w:rFonts w:ascii="Times New Roman" w:hAnsi="Times New Roman" w:eastAsia="Times New Roman" w:cs="Times New Roman"/>
          <w:sz w:val="21"/>
          <w:szCs w:val="21"/>
          <w:spacing w:val="21"/>
        </w:rPr>
        <w:t xml:space="preserve"> </w:t>
      </w:r>
      <w:r>
        <w:rPr>
          <w:rFonts w:ascii="SimSun" w:hAnsi="SimSun" w:eastAsia="SimSun" w:cs="SimSun"/>
          <w:sz w:val="21"/>
          <w:szCs w:val="21"/>
        </w:rPr>
        <w:t>万张,</w:t>
      </w:r>
      <w:r>
        <w:rPr>
          <w:rFonts w:ascii="SimSun" w:hAnsi="SimSun" w:eastAsia="SimSun" w:cs="SimSun"/>
          <w:sz w:val="21"/>
          <w:szCs w:val="21"/>
          <w:spacing w:val="29"/>
        </w:rPr>
        <w:t xml:space="preserve"> </w:t>
      </w:r>
      <w:r>
        <w:rPr>
          <w:rFonts w:ascii="SimSun" w:hAnsi="SimSun" w:eastAsia="SimSun" w:cs="SimSun"/>
          <w:sz w:val="21"/>
          <w:szCs w:val="21"/>
        </w:rPr>
        <w:t>较上年末增加</w:t>
      </w:r>
      <w:r>
        <w:rPr>
          <w:rFonts w:ascii="SimSun" w:hAnsi="SimSun" w:eastAsia="SimSun" w:cs="SimSun"/>
          <w:sz w:val="21"/>
          <w:szCs w:val="21"/>
          <w:spacing w:val="-41"/>
        </w:rPr>
        <w:t xml:space="preserve"> </w:t>
      </w:r>
      <w:r>
        <w:rPr>
          <w:rFonts w:ascii="Times New Roman" w:hAnsi="Times New Roman" w:eastAsia="Times New Roman" w:cs="Times New Roman"/>
          <w:sz w:val="21"/>
          <w:szCs w:val="21"/>
        </w:rPr>
        <w:t>23.95</w:t>
      </w:r>
      <w:r>
        <w:rPr>
          <w:rFonts w:ascii="Times New Roman" w:hAnsi="Times New Roman" w:eastAsia="Times New Roman" w:cs="Times New Roman"/>
          <w:sz w:val="21"/>
          <w:szCs w:val="21"/>
          <w:spacing w:val="21"/>
          <w:w w:val="101"/>
        </w:rPr>
        <w:t xml:space="preserve"> </w:t>
      </w:r>
      <w:r>
        <w:rPr>
          <w:rFonts w:ascii="SimSun" w:hAnsi="SimSun" w:eastAsia="SimSun" w:cs="SimSun"/>
          <w:sz w:val="21"/>
          <w:szCs w:val="21"/>
        </w:rPr>
        <w:t>万张。报告期内,信用卡累计 </w:t>
      </w:r>
      <w:r>
        <w:rPr>
          <w:rFonts w:ascii="SimSun" w:hAnsi="SimSun" w:eastAsia="SimSun" w:cs="SimSun"/>
          <w:sz w:val="21"/>
          <w:szCs w:val="21"/>
          <w:spacing w:val="1"/>
        </w:rPr>
        <w:t>消费额</w:t>
      </w:r>
      <w:r>
        <w:rPr>
          <w:rFonts w:ascii="SimSun" w:hAnsi="SimSun" w:eastAsia="SimSun" w:cs="SimSun"/>
          <w:sz w:val="21"/>
          <w:szCs w:val="21"/>
          <w:spacing w:val="-32"/>
        </w:rPr>
        <w:t xml:space="preserve"> </w:t>
      </w:r>
      <w:r>
        <w:rPr>
          <w:rFonts w:ascii="Times New Roman" w:hAnsi="Times New Roman" w:eastAsia="Times New Roman" w:cs="Times New Roman"/>
          <w:sz w:val="21"/>
          <w:szCs w:val="21"/>
          <w:spacing w:val="1"/>
        </w:rPr>
        <w:t>30,589.93</w:t>
      </w:r>
      <w:r>
        <w:rPr>
          <w:rFonts w:ascii="Times New Roman" w:hAnsi="Times New Roman" w:eastAsia="Times New Roman" w:cs="Times New Roman"/>
          <w:sz w:val="21"/>
          <w:szCs w:val="21"/>
          <w:spacing w:val="22"/>
        </w:rPr>
        <w:t xml:space="preserve"> </w:t>
      </w:r>
      <w:r>
        <w:rPr>
          <w:rFonts w:ascii="SimSun" w:hAnsi="SimSun" w:eastAsia="SimSun" w:cs="SimSun"/>
          <w:sz w:val="21"/>
          <w:szCs w:val="21"/>
          <w:spacing w:val="1"/>
        </w:rPr>
        <w:t>亿元,</w:t>
      </w:r>
      <w:r>
        <w:rPr>
          <w:rFonts w:ascii="SimSun" w:hAnsi="SimSun" w:eastAsia="SimSun" w:cs="SimSun"/>
          <w:sz w:val="21"/>
          <w:szCs w:val="21"/>
          <w:spacing w:val="49"/>
        </w:rPr>
        <w:t xml:space="preserve"> </w:t>
      </w:r>
      <w:r>
        <w:rPr>
          <w:rFonts w:ascii="SimSun" w:hAnsi="SimSun" w:eastAsia="SimSun" w:cs="SimSun"/>
          <w:sz w:val="21"/>
          <w:szCs w:val="21"/>
          <w:spacing w:val="1"/>
        </w:rPr>
        <w:t>同比增长 </w:t>
      </w:r>
      <w:r>
        <w:rPr>
          <w:rFonts w:ascii="Times New Roman" w:hAnsi="Times New Roman" w:eastAsia="Times New Roman" w:cs="Times New Roman"/>
          <w:sz w:val="21"/>
          <w:szCs w:val="21"/>
          <w:spacing w:val="1"/>
        </w:rPr>
        <w:t>1.4</w:t>
      </w:r>
      <w:r>
        <w:rPr>
          <w:rFonts w:ascii="Times New Roman" w:hAnsi="Times New Roman" w:eastAsia="Times New Roman" w:cs="Times New Roman"/>
          <w:sz w:val="21"/>
          <w:szCs w:val="21"/>
        </w:rPr>
        <w:t>4%</w:t>
      </w:r>
      <w:r>
        <w:rPr>
          <w:rFonts w:ascii="SimSun" w:hAnsi="SimSun" w:eastAsia="SimSun" w:cs="SimSun"/>
          <w:sz w:val="21"/>
          <w:szCs w:val="21"/>
        </w:rPr>
        <w:t>,</w:t>
      </w:r>
      <w:r>
        <w:rPr>
          <w:rFonts w:ascii="SimSun" w:hAnsi="SimSun" w:eastAsia="SimSun" w:cs="SimSun"/>
          <w:sz w:val="21"/>
          <w:szCs w:val="21"/>
          <w:spacing w:val="30"/>
        </w:rPr>
        <w:t xml:space="preserve"> </w:t>
      </w:r>
      <w:r>
        <w:rPr>
          <w:rFonts w:ascii="SimSun" w:hAnsi="SimSun" w:eastAsia="SimSun" w:cs="SimSun"/>
          <w:sz w:val="21"/>
          <w:szCs w:val="21"/>
        </w:rPr>
        <w:t>其中,移动支付交易额同比增长 </w:t>
      </w:r>
      <w:r>
        <w:rPr>
          <w:rFonts w:ascii="Times New Roman" w:hAnsi="Times New Roman" w:eastAsia="Times New Roman" w:cs="Times New Roman"/>
          <w:sz w:val="21"/>
          <w:szCs w:val="21"/>
        </w:rPr>
        <w:t>17.10%</w:t>
      </w:r>
      <w:r>
        <w:rPr>
          <w:rFonts w:ascii="SimSun" w:hAnsi="SimSun" w:eastAsia="SimSun" w:cs="SimSun"/>
          <w:sz w:val="21"/>
          <w:szCs w:val="21"/>
        </w:rPr>
        <w:t>。报告期末,境内行信 </w:t>
      </w:r>
      <w:r>
        <w:rPr>
          <w:rFonts w:ascii="SimSun" w:hAnsi="SimSun" w:eastAsia="SimSun" w:cs="SimSun"/>
          <w:sz w:val="21"/>
          <w:szCs w:val="21"/>
          <w:spacing w:val="-1"/>
        </w:rPr>
        <w:t>用卡透支余额</w:t>
      </w:r>
      <w:r>
        <w:rPr>
          <w:rFonts w:ascii="SimSun" w:hAnsi="SimSun" w:eastAsia="SimSun" w:cs="SimSun"/>
          <w:sz w:val="21"/>
          <w:szCs w:val="21"/>
          <w:spacing w:val="-38"/>
        </w:rPr>
        <w:t xml:space="preserve"> </w:t>
      </w:r>
      <w:r>
        <w:rPr>
          <w:rFonts w:ascii="Times New Roman" w:hAnsi="Times New Roman" w:eastAsia="Times New Roman" w:cs="Times New Roman"/>
          <w:sz w:val="21"/>
          <w:szCs w:val="21"/>
          <w:spacing w:val="-1"/>
        </w:rPr>
        <w:t>4,776.42 </w:t>
      </w:r>
      <w:r>
        <w:rPr>
          <w:rFonts w:ascii="SimSun" w:hAnsi="SimSun" w:eastAsia="SimSun" w:cs="SimSun"/>
          <w:sz w:val="21"/>
          <w:szCs w:val="21"/>
          <w:spacing w:val="-1"/>
        </w:rPr>
        <w:t>亿元</w:t>
      </w:r>
      <w:r>
        <w:rPr>
          <w:rFonts w:ascii="Times New Roman" w:hAnsi="Times New Roman" w:eastAsia="Times New Roman" w:cs="Times New Roman"/>
          <w:sz w:val="13"/>
          <w:szCs w:val="13"/>
          <w:spacing w:val="-1"/>
          <w:position w:val="9"/>
        </w:rPr>
        <w:t>5</w:t>
      </w:r>
      <w:r>
        <w:rPr>
          <w:rFonts w:ascii="SimSun" w:hAnsi="SimSun" w:eastAsia="SimSun" w:cs="SimSun"/>
          <w:sz w:val="21"/>
          <w:szCs w:val="21"/>
          <w:spacing w:val="-1"/>
        </w:rPr>
        <w:t>。</w:t>
      </w:r>
    </w:p>
    <w:p>
      <w:pPr>
        <w:pStyle w:val="BodyText"/>
        <w:spacing w:line="249" w:lineRule="auto"/>
        <w:rPr/>
      </w:pPr>
      <w:r/>
    </w:p>
    <w:p>
      <w:pPr>
        <w:ind w:left="422"/>
        <w:spacing w:before="68"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3"/>
        </w:rPr>
        <w:t>7.</w:t>
      </w:r>
      <w:r>
        <w:rPr>
          <w:rFonts w:ascii="SimSun" w:hAnsi="SimSun" w:eastAsia="SimSun" w:cs="SimSun"/>
          <w:sz w:val="21"/>
          <w:szCs w:val="21"/>
          <w:b/>
          <w:bCs/>
          <w:spacing w:val="-3"/>
        </w:rPr>
        <w:t>养老金融</w:t>
      </w:r>
    </w:p>
    <w:p>
      <w:pPr>
        <w:ind w:right="5" w:firstLine="422"/>
        <w:spacing w:before="309" w:line="300" w:lineRule="auto"/>
        <w:jc w:val="both"/>
        <w:rPr>
          <w:rFonts w:ascii="SimSun" w:hAnsi="SimSun" w:eastAsia="SimSun" w:cs="SimSun"/>
          <w:sz w:val="21"/>
          <w:szCs w:val="21"/>
        </w:rPr>
      </w:pPr>
      <w:r>
        <w:rPr>
          <w:rFonts w:ascii="SimSun" w:hAnsi="SimSun" w:eastAsia="SimSun" w:cs="SimSun"/>
          <w:sz w:val="21"/>
          <w:szCs w:val="21"/>
          <w:spacing w:val="3"/>
        </w:rPr>
        <w:t>主动服务积极应对人口老龄化国家战略,推动养老金金融、养老产业金融、为老金融服务整体布局。</w:t>
      </w:r>
      <w:r>
        <w:rPr>
          <w:rFonts w:ascii="SimSun" w:hAnsi="SimSun" w:eastAsia="SimSun" w:cs="SimSun"/>
          <w:sz w:val="21"/>
          <w:szCs w:val="21"/>
          <w:spacing w:val="11"/>
        </w:rPr>
        <w:t xml:space="preserve"> </w:t>
      </w:r>
      <w:r>
        <w:rPr>
          <w:rFonts w:ascii="SimSun" w:hAnsi="SimSun" w:eastAsia="SimSun" w:cs="SimSun"/>
          <w:sz w:val="21"/>
          <w:szCs w:val="21"/>
        </w:rPr>
        <w:t>积极参与第三支柱养老保险体系建设, 首批获得个人</w:t>
      </w:r>
      <w:r>
        <w:rPr>
          <w:rFonts w:ascii="SimSun" w:hAnsi="SimSun" w:eastAsia="SimSun" w:cs="SimSun"/>
          <w:sz w:val="21"/>
          <w:szCs w:val="21"/>
          <w:spacing w:val="-1"/>
        </w:rPr>
        <w:t>养老金业务资格, 获批养老理财试点资格, 养老目标</w:t>
      </w:r>
      <w:r>
        <w:rPr>
          <w:rFonts w:ascii="SimSun" w:hAnsi="SimSun" w:eastAsia="SimSun" w:cs="SimSun"/>
          <w:sz w:val="21"/>
          <w:szCs w:val="21"/>
        </w:rPr>
        <w:t xml:space="preserve"> </w:t>
      </w:r>
      <w:r>
        <w:rPr>
          <w:rFonts w:ascii="SimSun" w:hAnsi="SimSun" w:eastAsia="SimSun" w:cs="SimSun"/>
          <w:sz w:val="21"/>
          <w:szCs w:val="21"/>
          <w:spacing w:val="2"/>
        </w:rPr>
        <w:t>基金管理规模居行业首位。持续强化全国社保基金、基本养老保险基金、企</w:t>
      </w:r>
      <w:r>
        <w:rPr>
          <w:rFonts w:ascii="SimSun" w:hAnsi="SimSun" w:eastAsia="SimSun" w:cs="SimSun"/>
          <w:sz w:val="21"/>
          <w:szCs w:val="21"/>
          <w:spacing w:val="1"/>
        </w:rPr>
        <w:t>业(职业) 年金的账户管理和</w:t>
      </w:r>
      <w:r>
        <w:rPr>
          <w:rFonts w:ascii="SimSun" w:hAnsi="SimSun" w:eastAsia="SimSun" w:cs="SimSun"/>
          <w:sz w:val="21"/>
          <w:szCs w:val="21"/>
        </w:rPr>
        <w:t xml:space="preserve"> </w:t>
      </w:r>
      <w:r>
        <w:rPr>
          <w:rFonts w:ascii="SimSun" w:hAnsi="SimSun" w:eastAsia="SimSun" w:cs="SimSun"/>
          <w:sz w:val="21"/>
          <w:szCs w:val="21"/>
          <w:spacing w:val="-2"/>
        </w:rPr>
        <w:t>托管服务, 业务规模稳步增长。研发特色信贷产品,</w:t>
      </w:r>
      <w:r>
        <w:rPr>
          <w:rFonts w:ascii="SimSun" w:hAnsi="SimSun" w:eastAsia="SimSun" w:cs="SimSun"/>
          <w:sz w:val="21"/>
          <w:szCs w:val="21"/>
          <w:spacing w:val="41"/>
        </w:rPr>
        <w:t xml:space="preserve"> </w:t>
      </w:r>
      <w:r>
        <w:rPr>
          <w:rFonts w:ascii="SimSun" w:hAnsi="SimSun" w:eastAsia="SimSun" w:cs="SimSun"/>
          <w:sz w:val="21"/>
          <w:szCs w:val="21"/>
          <w:spacing w:val="-2"/>
        </w:rPr>
        <w:t>加强对养老服务机构的信贷支持。报告期末,</w:t>
      </w:r>
      <w:r>
        <w:rPr>
          <w:rFonts w:ascii="SimSun" w:hAnsi="SimSun" w:eastAsia="SimSun" w:cs="SimSun"/>
          <w:sz w:val="21"/>
          <w:szCs w:val="21"/>
          <w:spacing w:val="28"/>
        </w:rPr>
        <w:t xml:space="preserve"> </w:t>
      </w:r>
      <w:r>
        <w:rPr>
          <w:rFonts w:ascii="SimSun" w:hAnsi="SimSun" w:eastAsia="SimSun" w:cs="SimSun"/>
          <w:sz w:val="21"/>
          <w:szCs w:val="21"/>
          <w:spacing w:val="-2"/>
        </w:rPr>
        <w:t>养老服</w:t>
      </w:r>
      <w:r>
        <w:rPr>
          <w:rFonts w:ascii="SimSun" w:hAnsi="SimSun" w:eastAsia="SimSun" w:cs="SimSun"/>
          <w:sz w:val="21"/>
          <w:szCs w:val="21"/>
        </w:rPr>
        <w:t xml:space="preserve"> </w:t>
      </w:r>
      <w:r>
        <w:rPr>
          <w:rFonts w:ascii="SimSun" w:hAnsi="SimSun" w:eastAsia="SimSun" w:cs="SimSun"/>
          <w:sz w:val="21"/>
          <w:szCs w:val="21"/>
          <w:spacing w:val="2"/>
        </w:rPr>
        <w:t>务业授信客户数量较上年末增长 </w:t>
      </w:r>
      <w:r>
        <w:rPr>
          <w:rFonts w:ascii="Times New Roman" w:hAnsi="Times New Roman" w:eastAsia="Times New Roman" w:cs="Times New Roman"/>
          <w:sz w:val="21"/>
          <w:szCs w:val="21"/>
          <w:spacing w:val="2"/>
        </w:rPr>
        <w:t>176%</w:t>
      </w:r>
      <w:r>
        <w:rPr>
          <w:rFonts w:ascii="SimSun" w:hAnsi="SimSun" w:eastAsia="SimSun" w:cs="SimSun"/>
          <w:sz w:val="21"/>
          <w:szCs w:val="21"/>
          <w:spacing w:val="2"/>
        </w:rPr>
        <w:t>,积极推动普惠</w:t>
      </w:r>
      <w:r>
        <w:rPr>
          <w:rFonts w:ascii="SimSun" w:hAnsi="SimSun" w:eastAsia="SimSun" w:cs="SimSun"/>
          <w:sz w:val="21"/>
          <w:szCs w:val="21"/>
          <w:spacing w:val="1"/>
        </w:rPr>
        <w:t>养老专项再贷款业务发展。手机银行和买单吧</w:t>
      </w:r>
      <w:r>
        <w:rPr>
          <w:rFonts w:ascii="SimSun" w:hAnsi="SimSun" w:eastAsia="SimSun" w:cs="SimSun"/>
          <w:sz w:val="21"/>
          <w:szCs w:val="21"/>
          <w:spacing w:val="-29"/>
        </w:rPr>
        <w:t xml:space="preserve"> </w:t>
      </w:r>
      <w:r>
        <w:rPr>
          <w:rFonts w:ascii="Times New Roman" w:hAnsi="Times New Roman" w:eastAsia="Times New Roman" w:cs="Times New Roman"/>
          <w:sz w:val="21"/>
          <w:szCs w:val="21"/>
        </w:rPr>
        <w:t>APP  </w:t>
      </w:r>
      <w:r>
        <w:rPr>
          <w:rFonts w:ascii="SimSun" w:hAnsi="SimSun" w:eastAsia="SimSun" w:cs="SimSun"/>
          <w:sz w:val="21"/>
          <w:szCs w:val="21"/>
          <w:spacing w:val="-3"/>
        </w:rPr>
        <w:t>完成适老化改造,</w:t>
      </w:r>
      <w:r>
        <w:rPr>
          <w:rFonts w:ascii="SimSun" w:hAnsi="SimSun" w:eastAsia="SimSun" w:cs="SimSun"/>
          <w:sz w:val="21"/>
          <w:szCs w:val="21"/>
          <w:spacing w:val="38"/>
        </w:rPr>
        <w:t xml:space="preserve"> </w:t>
      </w:r>
      <w:r>
        <w:rPr>
          <w:rFonts w:ascii="Times New Roman" w:hAnsi="Times New Roman" w:eastAsia="Times New Roman" w:cs="Times New Roman"/>
          <w:sz w:val="21"/>
          <w:szCs w:val="21"/>
          <w:spacing w:val="-3"/>
        </w:rPr>
        <w:t>2022 </w:t>
      </w:r>
      <w:r>
        <w:rPr>
          <w:rFonts w:ascii="SimSun" w:hAnsi="SimSun" w:eastAsia="SimSun" w:cs="SimSun"/>
          <w:sz w:val="21"/>
          <w:szCs w:val="21"/>
          <w:spacing w:val="-3"/>
        </w:rPr>
        <w:t>年累计服务老年客户</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3"/>
        </w:rPr>
        <w:t>91</w:t>
      </w:r>
      <w:r>
        <w:rPr>
          <w:rFonts w:ascii="Times New Roman" w:hAnsi="Times New Roman" w:eastAsia="Times New Roman" w:cs="Times New Roman"/>
          <w:sz w:val="21"/>
          <w:szCs w:val="21"/>
          <w:spacing w:val="14"/>
        </w:rPr>
        <w:t xml:space="preserve"> </w:t>
      </w:r>
      <w:r>
        <w:rPr>
          <w:rFonts w:ascii="SimSun" w:hAnsi="SimSun" w:eastAsia="SimSun" w:cs="SimSun"/>
          <w:sz w:val="21"/>
          <w:szCs w:val="21"/>
          <w:spacing w:val="-3"/>
        </w:rPr>
        <w:t>万余人。</w:t>
      </w:r>
    </w:p>
    <w:p>
      <w:pPr>
        <w:pStyle w:val="BodyText"/>
        <w:spacing w:line="241" w:lineRule="auto"/>
        <w:rPr/>
      </w:pPr>
      <w:r/>
    </w:p>
    <w:p>
      <w:pPr>
        <w:ind w:left="535"/>
        <w:spacing w:before="69" w:line="221" w:lineRule="auto"/>
        <w:rPr>
          <w:rFonts w:ascii="SimSun" w:hAnsi="SimSun" w:eastAsia="SimSun" w:cs="SimSun"/>
          <w:sz w:val="21"/>
          <w:szCs w:val="21"/>
        </w:rPr>
      </w:pPr>
      <w:r>
        <w:rPr>
          <w:rFonts w:ascii="SimSun" w:hAnsi="SimSun" w:eastAsia="SimSun" w:cs="SimSun"/>
          <w:sz w:val="21"/>
          <w:szCs w:val="21"/>
          <w:b/>
          <w:bCs/>
          <w:spacing w:val="6"/>
        </w:rPr>
        <w:t>(四)同业与金融市场业务</w:t>
      </w:r>
    </w:p>
    <w:p>
      <w:pPr>
        <w:ind w:right="70" w:firstLine="434"/>
        <w:spacing w:before="309" w:line="284" w:lineRule="auto"/>
        <w:jc w:val="both"/>
        <w:rPr>
          <w:rFonts w:ascii="SimSun" w:hAnsi="SimSun" w:eastAsia="SimSun" w:cs="SimSun"/>
          <w:sz w:val="21"/>
          <w:szCs w:val="21"/>
        </w:rPr>
      </w:pPr>
      <w:r>
        <w:rPr>
          <w:rFonts w:ascii="SimSun" w:hAnsi="SimSun" w:eastAsia="SimSun" w:cs="SimSun"/>
          <w:sz w:val="21"/>
          <w:szCs w:val="21"/>
          <w:spacing w:val="-2"/>
        </w:rPr>
        <w:t>◆积极服务上海国际金融中心建设,</w:t>
      </w:r>
      <w:r>
        <w:rPr>
          <w:rFonts w:ascii="SimSun" w:hAnsi="SimSun" w:eastAsia="SimSun" w:cs="SimSun"/>
          <w:sz w:val="21"/>
          <w:szCs w:val="21"/>
          <w:spacing w:val="26"/>
        </w:rPr>
        <w:t xml:space="preserve"> </w:t>
      </w:r>
      <w:r>
        <w:rPr>
          <w:rFonts w:ascii="SimSun" w:hAnsi="SimSun" w:eastAsia="SimSun" w:cs="SimSun"/>
          <w:sz w:val="21"/>
          <w:szCs w:val="21"/>
          <w:spacing w:val="-2"/>
        </w:rPr>
        <w:t>深入参与我国债券、货币、外汇等金融市场发展</w:t>
      </w:r>
      <w:r>
        <w:rPr>
          <w:rFonts w:ascii="SimSun" w:hAnsi="SimSun" w:eastAsia="SimSun" w:cs="SimSun"/>
          <w:sz w:val="21"/>
          <w:szCs w:val="21"/>
          <w:spacing w:val="-3"/>
        </w:rPr>
        <w:t>,</w:t>
      </w:r>
      <w:r>
        <w:rPr>
          <w:rFonts w:ascii="SimSun" w:hAnsi="SimSun" w:eastAsia="SimSun" w:cs="SimSun"/>
          <w:sz w:val="21"/>
          <w:szCs w:val="21"/>
          <w:spacing w:val="28"/>
        </w:rPr>
        <w:t xml:space="preserve"> </w:t>
      </w:r>
      <w:r>
        <w:rPr>
          <w:rFonts w:ascii="SimSun" w:hAnsi="SimSun" w:eastAsia="SimSun" w:cs="SimSun"/>
          <w:sz w:val="21"/>
          <w:szCs w:val="21"/>
          <w:spacing w:val="-3"/>
        </w:rPr>
        <w:t>提升做市报价</w:t>
      </w:r>
      <w:r>
        <w:rPr>
          <w:rFonts w:ascii="SimSun" w:hAnsi="SimSun" w:eastAsia="SimSun" w:cs="SimSun"/>
          <w:sz w:val="21"/>
          <w:szCs w:val="21"/>
        </w:rPr>
        <w:t xml:space="preserve"> </w:t>
      </w:r>
      <w:r>
        <w:rPr>
          <w:rFonts w:ascii="SimSun" w:hAnsi="SimSun" w:eastAsia="SimSun" w:cs="SimSun"/>
          <w:sz w:val="21"/>
          <w:szCs w:val="21"/>
        </w:rPr>
        <w:t>能力, 深化金融要素市场业务合作, 做优托管专业</w:t>
      </w:r>
      <w:r>
        <w:rPr>
          <w:rFonts w:ascii="SimSun" w:hAnsi="SimSun" w:eastAsia="SimSun" w:cs="SimSun"/>
          <w:sz w:val="21"/>
          <w:szCs w:val="21"/>
          <w:spacing w:val="-1"/>
        </w:rPr>
        <w:t>服务, 将金融市场产品转化为满足各类客户需求的优质</w:t>
      </w:r>
      <w:r>
        <w:rPr>
          <w:rFonts w:ascii="SimSun" w:hAnsi="SimSun" w:eastAsia="SimSun" w:cs="SimSun"/>
          <w:sz w:val="21"/>
          <w:szCs w:val="21"/>
        </w:rPr>
        <w:t xml:space="preserve"> </w:t>
      </w:r>
      <w:r>
        <w:rPr>
          <w:rFonts w:ascii="SimSun" w:hAnsi="SimSun" w:eastAsia="SimSun" w:cs="SimSun"/>
          <w:sz w:val="21"/>
          <w:szCs w:val="21"/>
          <w:spacing w:val="-3"/>
        </w:rPr>
        <w:t>服务,</w:t>
      </w:r>
      <w:r>
        <w:rPr>
          <w:rFonts w:ascii="SimSun" w:hAnsi="SimSun" w:eastAsia="SimSun" w:cs="SimSun"/>
          <w:sz w:val="21"/>
          <w:szCs w:val="21"/>
          <w:spacing w:val="47"/>
        </w:rPr>
        <w:t xml:space="preserve"> </w:t>
      </w:r>
      <w:r>
        <w:rPr>
          <w:rFonts w:ascii="SimSun" w:hAnsi="SimSun" w:eastAsia="SimSun" w:cs="SimSun"/>
          <w:sz w:val="21"/>
          <w:szCs w:val="21"/>
          <w:spacing w:val="-3"/>
        </w:rPr>
        <w:t>不断增强服务实体经济的能力。</w:t>
      </w:r>
    </w:p>
    <w:p>
      <w:pPr>
        <w:pStyle w:val="BodyText"/>
        <w:spacing w:line="241" w:lineRule="auto"/>
        <w:rPr/>
      </w:pPr>
      <w:r/>
    </w:p>
    <w:p>
      <w:pPr>
        <w:ind w:left="429"/>
        <w:spacing w:before="69"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4"/>
        </w:rPr>
        <w:t>1.</w:t>
      </w:r>
      <w:r>
        <w:rPr>
          <w:rFonts w:ascii="SimSun" w:hAnsi="SimSun" w:eastAsia="SimSun" w:cs="SimSun"/>
          <w:sz w:val="21"/>
          <w:szCs w:val="21"/>
          <w:b/>
          <w:bCs/>
          <w:spacing w:val="-4"/>
        </w:rPr>
        <w:t>同业业务</w:t>
      </w:r>
    </w:p>
    <w:p>
      <w:pPr>
        <w:pStyle w:val="BodyText"/>
        <w:spacing w:line="282" w:lineRule="auto"/>
        <w:rPr/>
      </w:pPr>
      <w:r/>
    </w:p>
    <w:p>
      <w:pPr>
        <w:ind w:left="639"/>
        <w:spacing w:before="59" w:line="224" w:lineRule="auto"/>
        <w:rPr>
          <w:rFonts w:ascii="SimSun" w:hAnsi="SimSun" w:eastAsia="SimSun" w:cs="SimSun"/>
          <w:sz w:val="18"/>
          <w:szCs w:val="18"/>
        </w:rPr>
      </w:pPr>
      <w:r>
        <w:rPr>
          <w:rFonts w:ascii="Times New Roman" w:hAnsi="Times New Roman" w:eastAsia="Times New Roman" w:cs="Times New Roman"/>
          <w:sz w:val="12"/>
          <w:szCs w:val="12"/>
          <w:spacing w:val="-1"/>
          <w:position w:val="7"/>
        </w:rPr>
        <w:t>5   </w:t>
      </w:r>
      <w:r>
        <w:rPr>
          <w:rFonts w:ascii="SimSun" w:hAnsi="SimSun" w:eastAsia="SimSun" w:cs="SimSun"/>
          <w:sz w:val="18"/>
          <w:szCs w:val="18"/>
          <w:spacing w:val="-1"/>
        </w:rPr>
        <w:t>境内行信用卡透支余额包含个人信用卡贷款余额和单位公务卡贷款余额。</w:t>
      </w:r>
    </w:p>
    <w:p>
      <w:pPr>
        <w:spacing w:line="224" w:lineRule="auto"/>
        <w:sectPr>
          <w:footerReference w:type="default" r:id="rId39"/>
          <w:pgSz w:w="11907" w:h="16839"/>
          <w:pgMar w:top="1196" w:right="1057" w:bottom="1375" w:left="1140" w:header="0" w:footer="1211" w:gutter="0"/>
        </w:sectPr>
        <w:rPr>
          <w:rFonts w:ascii="SimSun" w:hAnsi="SimSun" w:eastAsia="SimSun" w:cs="SimSun"/>
          <w:sz w:val="18"/>
          <w:szCs w:val="18"/>
        </w:rPr>
      </w:pPr>
    </w:p>
    <w:p>
      <w:pPr>
        <w:ind w:firstLine="421"/>
        <w:spacing w:before="42" w:line="297" w:lineRule="auto"/>
        <w:jc w:val="both"/>
        <w:rPr>
          <w:rFonts w:ascii="SimSun" w:hAnsi="SimSun" w:eastAsia="SimSun" w:cs="SimSun"/>
          <w:sz w:val="21"/>
          <w:szCs w:val="21"/>
        </w:rPr>
      </w:pPr>
      <w:r>
        <w:rPr>
          <w:rFonts w:ascii="SimSun" w:hAnsi="SimSun" w:eastAsia="SimSun" w:cs="SimSun"/>
          <w:sz w:val="21"/>
          <w:szCs w:val="21"/>
        </w:rPr>
        <w:t>做优金融要素市场结算业务, 服务金融市场平</w:t>
      </w:r>
      <w:r>
        <w:rPr>
          <w:rFonts w:ascii="SimSun" w:hAnsi="SimSun" w:eastAsia="SimSun" w:cs="SimSun"/>
          <w:sz w:val="21"/>
          <w:szCs w:val="21"/>
          <w:spacing w:val="-1"/>
        </w:rPr>
        <w:t>稳运行。报告期内, 上海清算所代理清算业务量以及证</w:t>
      </w:r>
      <w:r>
        <w:rPr>
          <w:rFonts w:ascii="SimSun" w:hAnsi="SimSun" w:eastAsia="SimSun" w:cs="SimSun"/>
          <w:sz w:val="21"/>
          <w:szCs w:val="21"/>
        </w:rPr>
        <w:t xml:space="preserve"> </w:t>
      </w:r>
      <w:r>
        <w:rPr>
          <w:rFonts w:ascii="SimSun" w:hAnsi="SimSun" w:eastAsia="SimSun" w:cs="SimSun"/>
          <w:sz w:val="21"/>
          <w:szCs w:val="21"/>
          <w:spacing w:val="3"/>
        </w:rPr>
        <w:t>券、期货要素市场结算业务量市场排名前列。积极参与金融要素市场创新,助力基础设施互联互通建设,</w:t>
      </w:r>
      <w:r>
        <w:rPr>
          <w:rFonts w:ascii="SimSun" w:hAnsi="SimSun" w:eastAsia="SimSun" w:cs="SimSun"/>
          <w:sz w:val="21"/>
          <w:szCs w:val="21"/>
          <w:spacing w:val="18"/>
        </w:rPr>
        <w:t xml:space="preserve"> </w:t>
      </w:r>
      <w:r>
        <w:rPr>
          <w:rFonts w:ascii="SimSun" w:hAnsi="SimSun" w:eastAsia="SimSun" w:cs="SimSun"/>
          <w:sz w:val="21"/>
          <w:szCs w:val="21"/>
        </w:rPr>
        <w:t>首批获得银行间与交易所债券市场互联互通结算银行资</w:t>
      </w:r>
      <w:r>
        <w:rPr>
          <w:rFonts w:ascii="SimSun" w:hAnsi="SimSun" w:eastAsia="SimSun" w:cs="SimSun"/>
          <w:sz w:val="21"/>
          <w:szCs w:val="21"/>
          <w:spacing w:val="-1"/>
        </w:rPr>
        <w:t>格; 助力期货市场服务绿色低碳发展, 首批获得广</w:t>
      </w:r>
      <w:r>
        <w:rPr>
          <w:rFonts w:ascii="SimSun" w:hAnsi="SimSun" w:eastAsia="SimSun" w:cs="SimSun"/>
          <w:sz w:val="21"/>
          <w:szCs w:val="21"/>
        </w:rPr>
        <w:t xml:space="preserve"> </w:t>
      </w:r>
      <w:r>
        <w:rPr>
          <w:rFonts w:ascii="SimSun" w:hAnsi="SimSun" w:eastAsia="SimSun" w:cs="SimSun"/>
          <w:sz w:val="21"/>
          <w:szCs w:val="21"/>
          <w:spacing w:val="-2"/>
        </w:rPr>
        <w:t>州期货交易所期货保证金指定存管银行资格。</w:t>
      </w:r>
      <w:r>
        <w:rPr>
          <w:rFonts w:ascii="SimSun" w:hAnsi="SimSun" w:eastAsia="SimSun" w:cs="SimSun"/>
          <w:sz w:val="21"/>
          <w:szCs w:val="21"/>
          <w:spacing w:val="-35"/>
        </w:rPr>
        <w:t xml:space="preserve"> </w:t>
      </w:r>
      <w:r>
        <w:rPr>
          <w:rFonts w:ascii="SimSun" w:hAnsi="SimSun" w:eastAsia="SimSun" w:cs="SimSun"/>
          <w:sz w:val="21"/>
          <w:szCs w:val="21"/>
          <w:spacing w:val="-2"/>
        </w:rPr>
        <w:t>提升资本市场结算服务效率, 上线交行新一代沪市证券资金</w:t>
      </w:r>
      <w:r>
        <w:rPr>
          <w:rFonts w:ascii="SimSun" w:hAnsi="SimSun" w:eastAsia="SimSun" w:cs="SimSun"/>
          <w:sz w:val="21"/>
          <w:szCs w:val="21"/>
        </w:rPr>
        <w:t xml:space="preserve"> </w:t>
      </w:r>
      <w:r>
        <w:rPr>
          <w:rFonts w:ascii="SimSun" w:hAnsi="SimSun" w:eastAsia="SimSun" w:cs="SimSun"/>
          <w:sz w:val="21"/>
          <w:szCs w:val="21"/>
          <w:spacing w:val="-1"/>
        </w:rPr>
        <w:t>结算系统,</w:t>
      </w:r>
      <w:r>
        <w:rPr>
          <w:rFonts w:ascii="SimSun" w:hAnsi="SimSun" w:eastAsia="SimSun" w:cs="SimSun"/>
          <w:sz w:val="21"/>
          <w:szCs w:val="21"/>
          <w:spacing w:val="31"/>
        </w:rPr>
        <w:t xml:space="preserve"> </w:t>
      </w:r>
      <w:r>
        <w:rPr>
          <w:rFonts w:ascii="SimSun" w:hAnsi="SimSun" w:eastAsia="SimSun" w:cs="SimSun"/>
          <w:sz w:val="21"/>
          <w:szCs w:val="21"/>
          <w:spacing w:val="-1"/>
        </w:rPr>
        <w:t>率先与中国证券登记结算上海分公司新</w:t>
      </w:r>
      <w:r>
        <w:rPr>
          <w:rFonts w:ascii="SimSun" w:hAnsi="SimSun" w:eastAsia="SimSun" w:cs="SimSun"/>
          <w:sz w:val="21"/>
          <w:szCs w:val="21"/>
          <w:spacing w:val="-2"/>
        </w:rPr>
        <w:t>一代电子联行系统实现直联。</w:t>
      </w:r>
    </w:p>
    <w:p>
      <w:pPr>
        <w:pStyle w:val="BodyText"/>
        <w:spacing w:line="241" w:lineRule="auto"/>
        <w:rPr/>
      </w:pPr>
      <w:r/>
    </w:p>
    <w:p>
      <w:pPr>
        <w:ind w:firstLine="421"/>
        <w:spacing w:before="68" w:line="301" w:lineRule="auto"/>
        <w:rPr>
          <w:rFonts w:ascii="SimSun" w:hAnsi="SimSun" w:eastAsia="SimSun" w:cs="SimSun"/>
          <w:sz w:val="21"/>
          <w:szCs w:val="21"/>
        </w:rPr>
      </w:pPr>
      <w:r>
        <w:rPr>
          <w:rFonts w:ascii="SimSun" w:hAnsi="SimSun" w:eastAsia="SimSun" w:cs="SimSun"/>
          <w:sz w:val="21"/>
          <w:szCs w:val="21"/>
          <w:spacing w:val="-2"/>
        </w:rPr>
        <w:t>丰富同业合作场景, 更好满足各类客户的金融服务需求。服务资本市场建设,</w:t>
      </w:r>
      <w:r>
        <w:rPr>
          <w:rFonts w:ascii="SimSun" w:hAnsi="SimSun" w:eastAsia="SimSun" w:cs="SimSun"/>
          <w:sz w:val="21"/>
          <w:szCs w:val="21"/>
          <w:spacing w:val="43"/>
        </w:rPr>
        <w:t xml:space="preserve"> </w:t>
      </w:r>
      <w:r>
        <w:rPr>
          <w:rFonts w:ascii="SimSun" w:hAnsi="SimSun" w:eastAsia="SimSun" w:cs="SimSun"/>
          <w:sz w:val="21"/>
          <w:szCs w:val="21"/>
          <w:spacing w:val="-2"/>
        </w:rPr>
        <w:t>与</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2"/>
        </w:rPr>
        <w:t>105 </w:t>
      </w:r>
      <w:r>
        <w:rPr>
          <w:rFonts w:ascii="SimSun" w:hAnsi="SimSun" w:eastAsia="SimSun" w:cs="SimSun"/>
          <w:sz w:val="21"/>
          <w:szCs w:val="21"/>
          <w:spacing w:val="-2"/>
        </w:rPr>
        <w:t>家证券公司开展</w:t>
      </w:r>
      <w:r>
        <w:rPr>
          <w:rFonts w:ascii="SimSun" w:hAnsi="SimSun" w:eastAsia="SimSun" w:cs="SimSun"/>
          <w:sz w:val="21"/>
          <w:szCs w:val="21"/>
        </w:rPr>
        <w:t xml:space="preserve"> </w:t>
      </w:r>
      <w:r>
        <w:rPr>
          <w:rFonts w:ascii="SimSun" w:hAnsi="SimSun" w:eastAsia="SimSun" w:cs="SimSun"/>
          <w:sz w:val="21"/>
          <w:szCs w:val="21"/>
        </w:rPr>
        <w:t>第三方存管业务合作,与</w:t>
      </w:r>
      <w:r>
        <w:rPr>
          <w:rFonts w:ascii="SimSun" w:hAnsi="SimSun" w:eastAsia="SimSun" w:cs="SimSun"/>
          <w:sz w:val="21"/>
          <w:szCs w:val="21"/>
          <w:spacing w:val="-17"/>
        </w:rPr>
        <w:t xml:space="preserve"> </w:t>
      </w:r>
      <w:r>
        <w:rPr>
          <w:rFonts w:ascii="Times New Roman" w:hAnsi="Times New Roman" w:eastAsia="Times New Roman" w:cs="Times New Roman"/>
          <w:sz w:val="21"/>
          <w:szCs w:val="21"/>
        </w:rPr>
        <w:t>92</w:t>
      </w:r>
      <w:r>
        <w:rPr>
          <w:rFonts w:ascii="Times New Roman" w:hAnsi="Times New Roman" w:eastAsia="Times New Roman" w:cs="Times New Roman"/>
          <w:sz w:val="21"/>
          <w:szCs w:val="21"/>
          <w:spacing w:val="32"/>
          <w:w w:val="101"/>
        </w:rPr>
        <w:t xml:space="preserve"> </w:t>
      </w:r>
      <w:r>
        <w:rPr>
          <w:rFonts w:ascii="SimSun" w:hAnsi="SimSun" w:eastAsia="SimSun" w:cs="SimSun"/>
          <w:sz w:val="21"/>
          <w:szCs w:val="21"/>
        </w:rPr>
        <w:t>家证券公司开展融资融券存管业务合作,</w:t>
      </w:r>
      <w:r>
        <w:rPr>
          <w:rFonts w:ascii="SimSun" w:hAnsi="SimSun" w:eastAsia="SimSun" w:cs="SimSun"/>
          <w:sz w:val="21"/>
          <w:szCs w:val="21"/>
          <w:spacing w:val="33"/>
        </w:rPr>
        <w:t xml:space="preserve"> </w:t>
      </w:r>
      <w:r>
        <w:rPr>
          <w:rFonts w:ascii="SimSun" w:hAnsi="SimSun" w:eastAsia="SimSun" w:cs="SimSun"/>
          <w:sz w:val="21"/>
          <w:szCs w:val="21"/>
        </w:rPr>
        <w:t>与 </w:t>
      </w:r>
      <w:r>
        <w:rPr>
          <w:rFonts w:ascii="Times New Roman" w:hAnsi="Times New Roman" w:eastAsia="Times New Roman" w:cs="Times New Roman"/>
          <w:sz w:val="21"/>
          <w:szCs w:val="21"/>
        </w:rPr>
        <w:t>148</w:t>
      </w:r>
      <w:r>
        <w:rPr>
          <w:rFonts w:ascii="Times New Roman" w:hAnsi="Times New Roman" w:eastAsia="Times New Roman" w:cs="Times New Roman"/>
          <w:sz w:val="21"/>
          <w:szCs w:val="21"/>
          <w:spacing w:val="29"/>
          <w:w w:val="101"/>
        </w:rPr>
        <w:t xml:space="preserve"> </w:t>
      </w:r>
      <w:r>
        <w:rPr>
          <w:rFonts w:ascii="SimSun" w:hAnsi="SimSun" w:eastAsia="SimSun" w:cs="SimSun"/>
          <w:sz w:val="21"/>
          <w:szCs w:val="21"/>
        </w:rPr>
        <w:t>家期货公司开展银期转账业 </w:t>
      </w:r>
      <w:r>
        <w:rPr>
          <w:rFonts w:ascii="SimSun" w:hAnsi="SimSun" w:eastAsia="SimSun" w:cs="SimSun"/>
          <w:sz w:val="21"/>
          <w:szCs w:val="21"/>
          <w:spacing w:val="-4"/>
        </w:rPr>
        <w:t>务合作,</w:t>
      </w:r>
      <w:r>
        <w:rPr>
          <w:rFonts w:ascii="SimSun" w:hAnsi="SimSun" w:eastAsia="SimSun" w:cs="SimSun"/>
          <w:sz w:val="21"/>
          <w:szCs w:val="21"/>
          <w:spacing w:val="-46"/>
        </w:rPr>
        <w:t xml:space="preserve"> </w:t>
      </w:r>
      <w:r>
        <w:rPr>
          <w:rFonts w:ascii="SimSun" w:hAnsi="SimSun" w:eastAsia="SimSun" w:cs="SimSun"/>
          <w:sz w:val="21"/>
          <w:szCs w:val="21"/>
          <w:spacing w:val="-4"/>
        </w:rPr>
        <w:t>为企业、个人客户参与资本市场投资交</w:t>
      </w:r>
      <w:r>
        <w:rPr>
          <w:rFonts w:ascii="SimSun" w:hAnsi="SimSun" w:eastAsia="SimSun" w:cs="SimSun"/>
          <w:sz w:val="21"/>
          <w:szCs w:val="21"/>
          <w:spacing w:val="-5"/>
        </w:rPr>
        <w:t>易提供结算等服务。加强与跨境银行间支付清算公司合作,</w:t>
      </w:r>
      <w:r>
        <w:rPr>
          <w:rFonts w:ascii="SimSun" w:hAnsi="SimSun" w:eastAsia="SimSun" w:cs="SimSun"/>
          <w:sz w:val="21"/>
          <w:szCs w:val="21"/>
        </w:rPr>
        <w:t xml:space="preserve">  </w:t>
      </w:r>
      <w:r>
        <w:rPr>
          <w:rFonts w:ascii="SimSun" w:hAnsi="SimSun" w:eastAsia="SimSun" w:cs="SimSun"/>
          <w:sz w:val="21"/>
          <w:szCs w:val="21"/>
        </w:rPr>
        <w:t>大力拓展境内外间参银行, 助力扩大人民币跨境支付</w:t>
      </w:r>
      <w:r>
        <w:rPr>
          <w:rFonts w:ascii="SimSun" w:hAnsi="SimSun" w:eastAsia="SimSun" w:cs="SimSun"/>
          <w:sz w:val="21"/>
          <w:szCs w:val="21"/>
          <w:spacing w:val="-1"/>
        </w:rPr>
        <w:t>系统网络覆盖范围; 积极推广人民币跨境业务处理与</w:t>
      </w:r>
      <w:r>
        <w:rPr>
          <w:rFonts w:ascii="SimSun" w:hAnsi="SimSun" w:eastAsia="SimSun" w:cs="SimSun"/>
          <w:sz w:val="21"/>
          <w:szCs w:val="21"/>
        </w:rPr>
        <w:t xml:space="preserve"> </w:t>
      </w:r>
      <w:r>
        <w:rPr>
          <w:rFonts w:ascii="SimSun" w:hAnsi="SimSun" w:eastAsia="SimSun" w:cs="SimSun"/>
          <w:sz w:val="21"/>
          <w:szCs w:val="21"/>
        </w:rPr>
        <w:t>信息交互产品,</w:t>
      </w:r>
      <w:r>
        <w:rPr>
          <w:rFonts w:ascii="SimSun" w:hAnsi="SimSun" w:eastAsia="SimSun" w:cs="SimSun"/>
          <w:sz w:val="21"/>
          <w:szCs w:val="21"/>
          <w:spacing w:val="29"/>
        </w:rPr>
        <w:t xml:space="preserve"> </w:t>
      </w:r>
      <w:r>
        <w:rPr>
          <w:rFonts w:ascii="SimSun" w:hAnsi="SimSun" w:eastAsia="SimSun" w:cs="SimSun"/>
          <w:sz w:val="21"/>
          <w:szCs w:val="21"/>
        </w:rPr>
        <w:t>为企业"走出去"</w:t>
      </w:r>
      <w:r>
        <w:rPr>
          <w:rFonts w:ascii="SimSun" w:hAnsi="SimSun" w:eastAsia="SimSun" w:cs="SimSun"/>
          <w:sz w:val="21"/>
          <w:szCs w:val="21"/>
          <w:spacing w:val="-28"/>
        </w:rPr>
        <w:t xml:space="preserve"> </w:t>
      </w:r>
      <w:r>
        <w:rPr>
          <w:rFonts w:ascii="SimSun" w:hAnsi="SimSun" w:eastAsia="SimSun" w:cs="SimSun"/>
          <w:sz w:val="21"/>
          <w:szCs w:val="21"/>
        </w:rPr>
        <w:t>提供安全、高效的人民币跨境支付</w:t>
      </w:r>
      <w:r>
        <w:rPr>
          <w:rFonts w:ascii="SimSun" w:hAnsi="SimSun" w:eastAsia="SimSun" w:cs="SimSun"/>
          <w:sz w:val="21"/>
          <w:szCs w:val="21"/>
          <w:spacing w:val="-1"/>
        </w:rPr>
        <w:t>服务。</w:t>
      </w:r>
      <w:r>
        <w:rPr>
          <w:rFonts w:ascii="SimSun" w:hAnsi="SimSun" w:eastAsia="SimSun" w:cs="SimSun"/>
          <w:sz w:val="21"/>
          <w:szCs w:val="21"/>
          <w:spacing w:val="-37"/>
        </w:rPr>
        <w:t xml:space="preserve"> </w:t>
      </w:r>
      <w:r>
        <w:rPr>
          <w:rFonts w:ascii="SimSun" w:hAnsi="SimSun" w:eastAsia="SimSun" w:cs="SimSun"/>
          <w:sz w:val="21"/>
          <w:szCs w:val="21"/>
          <w:spacing w:val="-1"/>
        </w:rPr>
        <w:t>报告期末,</w:t>
      </w:r>
      <w:r>
        <w:rPr>
          <w:rFonts w:ascii="SimSun" w:hAnsi="SimSun" w:eastAsia="SimSun" w:cs="SimSun"/>
          <w:sz w:val="21"/>
          <w:szCs w:val="21"/>
          <w:spacing w:val="27"/>
        </w:rPr>
        <w:t xml:space="preserve"> </w:t>
      </w:r>
      <w:r>
        <w:rPr>
          <w:rFonts w:ascii="SimSun" w:hAnsi="SimSun" w:eastAsia="SimSun" w:cs="SimSun"/>
          <w:sz w:val="21"/>
          <w:szCs w:val="21"/>
          <w:spacing w:val="-1"/>
        </w:rPr>
        <w:t>本行上线人民币跨</w:t>
      </w:r>
      <w:r>
        <w:rPr>
          <w:rFonts w:ascii="SimSun" w:hAnsi="SimSun" w:eastAsia="SimSun" w:cs="SimSun"/>
          <w:sz w:val="21"/>
          <w:szCs w:val="21"/>
        </w:rPr>
        <w:t xml:space="preserve"> </w:t>
      </w:r>
      <w:r>
        <w:rPr>
          <w:rFonts w:ascii="SimSun" w:hAnsi="SimSun" w:eastAsia="SimSun" w:cs="SimSun"/>
          <w:sz w:val="21"/>
          <w:szCs w:val="21"/>
          <w:spacing w:val="-1"/>
        </w:rPr>
        <w:t>境支付系统标准收发器同业客户数市场排名前列。</w:t>
      </w:r>
    </w:p>
    <w:p>
      <w:pPr>
        <w:ind w:left="420"/>
        <w:spacing w:before="307"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2.</w:t>
      </w:r>
      <w:r>
        <w:rPr>
          <w:rFonts w:ascii="SimSun" w:hAnsi="SimSun" w:eastAsia="SimSun" w:cs="SimSun"/>
          <w:sz w:val="21"/>
          <w:szCs w:val="21"/>
          <w:b/>
          <w:bCs/>
          <w:spacing w:val="-2"/>
        </w:rPr>
        <w:t>金融市场业务</w:t>
      </w:r>
    </w:p>
    <w:p>
      <w:pPr>
        <w:ind w:left="1" w:right="2" w:firstLine="438"/>
        <w:spacing w:before="308" w:line="267" w:lineRule="auto"/>
        <w:rPr>
          <w:rFonts w:ascii="SimSun" w:hAnsi="SimSun" w:eastAsia="SimSun" w:cs="SimSun"/>
          <w:sz w:val="21"/>
          <w:szCs w:val="21"/>
        </w:rPr>
      </w:pPr>
      <w:r>
        <w:rPr>
          <w:rFonts w:ascii="SimSun" w:hAnsi="SimSun" w:eastAsia="SimSun" w:cs="SimSun"/>
          <w:sz w:val="21"/>
          <w:szCs w:val="21"/>
          <w:spacing w:val="-2"/>
        </w:rPr>
        <w:t>围绕国家战略和实体经济需求,</w:t>
      </w:r>
      <w:r>
        <w:rPr>
          <w:rFonts w:ascii="SimSun" w:hAnsi="SimSun" w:eastAsia="SimSun" w:cs="SimSun"/>
          <w:sz w:val="21"/>
          <w:szCs w:val="21"/>
          <w:spacing w:val="29"/>
        </w:rPr>
        <w:t xml:space="preserve"> </w:t>
      </w:r>
      <w:r>
        <w:rPr>
          <w:rFonts w:ascii="SimSun" w:hAnsi="SimSun" w:eastAsia="SimSun" w:cs="SimSun"/>
          <w:sz w:val="21"/>
          <w:szCs w:val="21"/>
          <w:spacing w:val="-2"/>
        </w:rPr>
        <w:t>综合运用投资及交易等手段,</w:t>
      </w:r>
      <w:r>
        <w:rPr>
          <w:rFonts w:ascii="SimSun" w:hAnsi="SimSun" w:eastAsia="SimSun" w:cs="SimSun"/>
          <w:sz w:val="21"/>
          <w:szCs w:val="21"/>
          <w:spacing w:val="26"/>
        </w:rPr>
        <w:t xml:space="preserve"> </w:t>
      </w:r>
      <w:r>
        <w:rPr>
          <w:rFonts w:ascii="SimSun" w:hAnsi="SimSun" w:eastAsia="SimSun" w:cs="SimSun"/>
          <w:sz w:val="21"/>
          <w:szCs w:val="21"/>
          <w:spacing w:val="-2"/>
        </w:rPr>
        <w:t>对长三角</w:t>
      </w:r>
      <w:r>
        <w:rPr>
          <w:rFonts w:ascii="SimSun" w:hAnsi="SimSun" w:eastAsia="SimSun" w:cs="SimSun"/>
          <w:sz w:val="21"/>
          <w:szCs w:val="21"/>
          <w:spacing w:val="-3"/>
        </w:rPr>
        <w:t>、京津冀、大湾区等重点区域</w:t>
      </w:r>
      <w:r>
        <w:rPr>
          <w:rFonts w:ascii="SimSun" w:hAnsi="SimSun" w:eastAsia="SimSun" w:cs="SimSun"/>
          <w:sz w:val="21"/>
          <w:szCs w:val="21"/>
        </w:rPr>
        <w:t xml:space="preserve"> </w:t>
      </w:r>
      <w:r>
        <w:rPr>
          <w:rFonts w:ascii="SimSun" w:hAnsi="SimSun" w:eastAsia="SimSun" w:cs="SimSun"/>
          <w:sz w:val="21"/>
          <w:szCs w:val="21"/>
          <w:spacing w:val="3"/>
        </w:rPr>
        <w:t>和惠民生、补短板、新基建等重点项目给予重点支持,服务经济高质量发展。</w:t>
      </w:r>
    </w:p>
    <w:p>
      <w:pPr>
        <w:pStyle w:val="BodyText"/>
        <w:spacing w:line="243" w:lineRule="auto"/>
        <w:rPr/>
      </w:pPr>
      <w:r/>
    </w:p>
    <w:p>
      <w:pPr>
        <w:ind w:firstLine="423"/>
        <w:spacing w:before="68" w:line="293" w:lineRule="auto"/>
        <w:jc w:val="both"/>
        <w:rPr>
          <w:rFonts w:ascii="SimSun" w:hAnsi="SimSun" w:eastAsia="SimSun" w:cs="SimSun"/>
          <w:sz w:val="21"/>
          <w:szCs w:val="21"/>
        </w:rPr>
      </w:pPr>
      <w:r>
        <w:rPr>
          <w:rFonts w:ascii="SimSun" w:hAnsi="SimSun" w:eastAsia="SimSun" w:cs="SimSun"/>
          <w:sz w:val="21"/>
          <w:szCs w:val="21"/>
          <w:spacing w:val="5"/>
        </w:rPr>
        <w:t>充分发挥银行间市场做市商"维稳器"</w:t>
      </w:r>
      <w:r>
        <w:rPr>
          <w:rFonts w:ascii="SimSun" w:hAnsi="SimSun" w:eastAsia="SimSun" w:cs="SimSun"/>
          <w:sz w:val="21"/>
          <w:szCs w:val="21"/>
          <w:spacing w:val="-24"/>
        </w:rPr>
        <w:t xml:space="preserve"> </w:t>
      </w:r>
      <w:r>
        <w:rPr>
          <w:rFonts w:ascii="SimSun" w:hAnsi="SimSun" w:eastAsia="SimSun" w:cs="SimSun"/>
          <w:sz w:val="21"/>
          <w:szCs w:val="21"/>
          <w:spacing w:val="5"/>
        </w:rPr>
        <w:t>作用, 开展做市、报价、交易, 助力"上海价格"</w:t>
      </w:r>
      <w:r>
        <w:rPr>
          <w:rFonts w:ascii="SimSun" w:hAnsi="SimSun" w:eastAsia="SimSun" w:cs="SimSun"/>
          <w:sz w:val="21"/>
          <w:szCs w:val="21"/>
          <w:spacing w:val="-24"/>
        </w:rPr>
        <w:t xml:space="preserve"> </w:t>
      </w:r>
      <w:r>
        <w:rPr>
          <w:rFonts w:ascii="SimSun" w:hAnsi="SimSun" w:eastAsia="SimSun" w:cs="SimSun"/>
          <w:sz w:val="21"/>
          <w:szCs w:val="21"/>
          <w:spacing w:val="5"/>
        </w:rPr>
        <w:t>形成。报告</w:t>
      </w:r>
      <w:r>
        <w:rPr>
          <w:rFonts w:ascii="SimSun" w:hAnsi="SimSun" w:eastAsia="SimSun" w:cs="SimSun"/>
          <w:sz w:val="21"/>
          <w:szCs w:val="21"/>
        </w:rPr>
        <w:t xml:space="preserve"> </w:t>
      </w:r>
      <w:r>
        <w:rPr>
          <w:rFonts w:ascii="SimSun" w:hAnsi="SimSun" w:eastAsia="SimSun" w:cs="SimSun"/>
          <w:sz w:val="21"/>
          <w:szCs w:val="21"/>
          <w:spacing w:val="-3"/>
        </w:rPr>
        <w:t>期内,</w:t>
      </w:r>
      <w:r>
        <w:rPr>
          <w:rFonts w:ascii="SimSun" w:hAnsi="SimSun" w:eastAsia="SimSun" w:cs="SimSun"/>
          <w:sz w:val="21"/>
          <w:szCs w:val="21"/>
          <w:spacing w:val="25"/>
        </w:rPr>
        <w:t xml:space="preserve"> </w:t>
      </w:r>
      <w:r>
        <w:rPr>
          <w:rFonts w:ascii="SimSun" w:hAnsi="SimSun" w:eastAsia="SimSun" w:cs="SimSun"/>
          <w:sz w:val="21"/>
          <w:szCs w:val="21"/>
          <w:spacing w:val="-3"/>
        </w:rPr>
        <w:t>境内行人民币货币市场交易量</w:t>
      </w:r>
      <w:r>
        <w:rPr>
          <w:rFonts w:ascii="SimSun" w:hAnsi="SimSun" w:eastAsia="SimSun" w:cs="SimSun"/>
          <w:sz w:val="21"/>
          <w:szCs w:val="21"/>
          <w:spacing w:val="-39"/>
        </w:rPr>
        <w:t xml:space="preserve"> </w:t>
      </w:r>
      <w:r>
        <w:rPr>
          <w:rFonts w:ascii="Times New Roman" w:hAnsi="Times New Roman" w:eastAsia="Times New Roman" w:cs="Times New Roman"/>
          <w:sz w:val="21"/>
          <w:szCs w:val="21"/>
          <w:spacing w:val="-3"/>
        </w:rPr>
        <w:t>81.99</w:t>
      </w:r>
      <w:r>
        <w:rPr>
          <w:rFonts w:ascii="Times New Roman" w:hAnsi="Times New Roman" w:eastAsia="Times New Roman" w:cs="Times New Roman"/>
          <w:sz w:val="21"/>
          <w:szCs w:val="21"/>
          <w:spacing w:val="13"/>
          <w:w w:val="101"/>
        </w:rPr>
        <w:t xml:space="preserve"> </w:t>
      </w:r>
      <w:r>
        <w:rPr>
          <w:rFonts w:ascii="SimSun" w:hAnsi="SimSun" w:eastAsia="SimSun" w:cs="SimSun"/>
          <w:sz w:val="21"/>
          <w:szCs w:val="21"/>
          <w:spacing w:val="-3"/>
        </w:rPr>
        <w:t>万亿元,</w:t>
      </w:r>
      <w:r>
        <w:rPr>
          <w:rFonts w:ascii="SimSun" w:hAnsi="SimSun" w:eastAsia="SimSun" w:cs="SimSun"/>
          <w:sz w:val="21"/>
          <w:szCs w:val="21"/>
          <w:spacing w:val="28"/>
        </w:rPr>
        <w:t xml:space="preserve"> </w:t>
      </w:r>
      <w:r>
        <w:rPr>
          <w:rFonts w:ascii="SimSun" w:hAnsi="SimSun" w:eastAsia="SimSun" w:cs="SimSun"/>
          <w:sz w:val="21"/>
          <w:szCs w:val="21"/>
          <w:spacing w:val="-3"/>
        </w:rPr>
        <w:t>外币货币市场</w:t>
      </w:r>
      <w:r>
        <w:rPr>
          <w:rFonts w:ascii="SimSun" w:hAnsi="SimSun" w:eastAsia="SimSun" w:cs="SimSun"/>
          <w:sz w:val="21"/>
          <w:szCs w:val="21"/>
          <w:spacing w:val="-4"/>
        </w:rPr>
        <w:t>交易量</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4"/>
        </w:rPr>
        <w:t>1.81</w:t>
      </w:r>
      <w:r>
        <w:rPr>
          <w:rFonts w:ascii="Times New Roman" w:hAnsi="Times New Roman" w:eastAsia="Times New Roman" w:cs="Times New Roman"/>
          <w:sz w:val="21"/>
          <w:szCs w:val="21"/>
          <w:spacing w:val="13"/>
        </w:rPr>
        <w:t xml:space="preserve"> </w:t>
      </w:r>
      <w:r>
        <w:rPr>
          <w:rFonts w:ascii="SimSun" w:hAnsi="SimSun" w:eastAsia="SimSun" w:cs="SimSun"/>
          <w:sz w:val="21"/>
          <w:szCs w:val="21"/>
          <w:spacing w:val="-4"/>
        </w:rPr>
        <w:t>万亿美元,</w:t>
      </w:r>
      <w:r>
        <w:rPr>
          <w:rFonts w:ascii="SimSun" w:hAnsi="SimSun" w:eastAsia="SimSun" w:cs="SimSun"/>
          <w:sz w:val="21"/>
          <w:szCs w:val="21"/>
          <w:spacing w:val="26"/>
        </w:rPr>
        <w:t xml:space="preserve"> </w:t>
      </w:r>
      <w:r>
        <w:rPr>
          <w:rFonts w:ascii="SimSun" w:hAnsi="SimSun" w:eastAsia="SimSun" w:cs="SimSun"/>
          <w:sz w:val="21"/>
          <w:szCs w:val="21"/>
          <w:spacing w:val="-4"/>
        </w:rPr>
        <w:t>人民币债券交易</w:t>
      </w:r>
      <w:r>
        <w:rPr>
          <w:rFonts w:ascii="SimSun" w:hAnsi="SimSun" w:eastAsia="SimSun" w:cs="SimSun"/>
          <w:sz w:val="21"/>
          <w:szCs w:val="21"/>
        </w:rPr>
        <w:t xml:space="preserve"> </w:t>
      </w:r>
      <w:r>
        <w:rPr>
          <w:rFonts w:ascii="SimSun" w:hAnsi="SimSun" w:eastAsia="SimSun" w:cs="SimSun"/>
          <w:sz w:val="21"/>
          <w:szCs w:val="21"/>
          <w:spacing w:val="-2"/>
        </w:rPr>
        <w:t>量</w:t>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2"/>
        </w:rPr>
        <w:t>5.56</w:t>
      </w:r>
      <w:r>
        <w:rPr>
          <w:rFonts w:ascii="Times New Roman" w:hAnsi="Times New Roman" w:eastAsia="Times New Roman" w:cs="Times New Roman"/>
          <w:sz w:val="21"/>
          <w:szCs w:val="21"/>
          <w:spacing w:val="13"/>
          <w:w w:val="101"/>
        </w:rPr>
        <w:t xml:space="preserve"> </w:t>
      </w:r>
      <w:r>
        <w:rPr>
          <w:rFonts w:ascii="SimSun" w:hAnsi="SimSun" w:eastAsia="SimSun" w:cs="SimSun"/>
          <w:sz w:val="21"/>
          <w:szCs w:val="21"/>
          <w:spacing w:val="-2"/>
        </w:rPr>
        <w:t>万亿元, 银行间外汇市场外汇交易量</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2"/>
        </w:rPr>
        <w:t>3.65 </w:t>
      </w:r>
      <w:r>
        <w:rPr>
          <w:rFonts w:ascii="SimSun" w:hAnsi="SimSun" w:eastAsia="SimSun" w:cs="SimSun"/>
          <w:sz w:val="21"/>
          <w:szCs w:val="21"/>
          <w:spacing w:val="-2"/>
        </w:rPr>
        <w:t>万亿美</w:t>
      </w:r>
      <w:r>
        <w:rPr>
          <w:rFonts w:ascii="SimSun" w:hAnsi="SimSun" w:eastAsia="SimSun" w:cs="SimSun"/>
          <w:sz w:val="21"/>
          <w:szCs w:val="21"/>
          <w:spacing w:val="-3"/>
        </w:rPr>
        <w:t>元, 黄金自营交易量</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4,967</w:t>
      </w:r>
      <w:r>
        <w:rPr>
          <w:rFonts w:ascii="Times New Roman" w:hAnsi="Times New Roman" w:eastAsia="Times New Roman" w:cs="Times New Roman"/>
          <w:sz w:val="21"/>
          <w:szCs w:val="21"/>
          <w:spacing w:val="18"/>
        </w:rPr>
        <w:t xml:space="preserve"> </w:t>
      </w:r>
      <w:r>
        <w:rPr>
          <w:rFonts w:ascii="SimSun" w:hAnsi="SimSun" w:eastAsia="SimSun" w:cs="SimSun"/>
          <w:sz w:val="21"/>
          <w:szCs w:val="21"/>
          <w:spacing w:val="-3"/>
        </w:rPr>
        <w:t>吨, 继续保持市场活跃</w:t>
      </w:r>
      <w:r>
        <w:rPr>
          <w:rFonts w:ascii="SimSun" w:hAnsi="SimSun" w:eastAsia="SimSun" w:cs="SimSun"/>
          <w:sz w:val="21"/>
          <w:szCs w:val="21"/>
        </w:rPr>
        <w:t xml:space="preserve"> </w:t>
      </w:r>
      <w:r>
        <w:rPr>
          <w:rFonts w:ascii="SimSun" w:hAnsi="SimSun" w:eastAsia="SimSun" w:cs="SimSun"/>
          <w:sz w:val="21"/>
          <w:szCs w:val="21"/>
          <w:spacing w:val="-3"/>
        </w:rPr>
        <w:t>交易银行地位。</w:t>
      </w:r>
    </w:p>
    <w:p>
      <w:pPr>
        <w:ind w:left="1" w:firstLine="419"/>
        <w:spacing w:before="307" w:line="292" w:lineRule="auto"/>
        <w:jc w:val="both"/>
        <w:rPr>
          <w:rFonts w:ascii="SimSun" w:hAnsi="SimSun" w:eastAsia="SimSun" w:cs="SimSun"/>
          <w:sz w:val="21"/>
          <w:szCs w:val="21"/>
        </w:rPr>
      </w:pPr>
      <w:r>
        <w:rPr>
          <w:rFonts w:ascii="SimSun" w:hAnsi="SimSun" w:eastAsia="SimSun" w:cs="SimSun"/>
          <w:sz w:val="21"/>
          <w:szCs w:val="21"/>
          <w:spacing w:val="-1"/>
        </w:rPr>
        <w:t>服务上海国际金融中心建设, 抢抓金融市场改革开放发展的重要机遇, 积极推进产品创</w:t>
      </w:r>
      <w:r>
        <w:rPr>
          <w:rFonts w:ascii="SimSun" w:hAnsi="SimSun" w:eastAsia="SimSun" w:cs="SimSun"/>
          <w:sz w:val="21"/>
          <w:szCs w:val="21"/>
          <w:spacing w:val="-2"/>
        </w:rPr>
        <w:t>新,</w:t>
      </w:r>
      <w:r>
        <w:rPr>
          <w:rFonts w:ascii="SimSun" w:hAnsi="SimSun" w:eastAsia="SimSun" w:cs="SimSun"/>
          <w:sz w:val="21"/>
          <w:szCs w:val="21"/>
          <w:spacing w:val="27"/>
        </w:rPr>
        <w:t xml:space="preserve"> </w:t>
      </w:r>
      <w:r>
        <w:rPr>
          <w:rFonts w:ascii="SimSun" w:hAnsi="SimSun" w:eastAsia="SimSun" w:cs="SimSun"/>
          <w:sz w:val="21"/>
          <w:szCs w:val="21"/>
          <w:spacing w:val="-2"/>
        </w:rPr>
        <w:t>获得首批</w:t>
      </w:r>
      <w:r>
        <w:rPr>
          <w:rFonts w:ascii="SimSun" w:hAnsi="SimSun" w:eastAsia="SimSun" w:cs="SimSun"/>
          <w:sz w:val="21"/>
          <w:szCs w:val="21"/>
        </w:rPr>
        <w:t xml:space="preserve"> </w:t>
      </w:r>
      <w:r>
        <w:rPr>
          <w:rFonts w:ascii="SimSun" w:hAnsi="SimSun" w:eastAsia="SimSun" w:cs="SimSun"/>
          <w:sz w:val="21"/>
          <w:szCs w:val="21"/>
          <w:spacing w:val="-1"/>
        </w:rPr>
        <w:t>上海黄金交易所国际板询价做市商资质, 首批达成</w:t>
      </w:r>
      <w:r>
        <w:rPr>
          <w:rFonts w:ascii="SimSun" w:hAnsi="SimSun" w:eastAsia="SimSun" w:cs="SimSun"/>
          <w:sz w:val="21"/>
          <w:szCs w:val="21"/>
          <w:spacing w:val="-46"/>
        </w:rPr>
        <w:t xml:space="preserve"> </w:t>
      </w:r>
      <w:r>
        <w:rPr>
          <w:rFonts w:ascii="Times New Roman" w:hAnsi="Times New Roman" w:eastAsia="Times New Roman" w:cs="Times New Roman"/>
          <w:sz w:val="21"/>
          <w:szCs w:val="21"/>
          <w:spacing w:val="-1"/>
        </w:rPr>
        <w:t>X-LENDING</w:t>
      </w:r>
      <w:r>
        <w:rPr>
          <w:rFonts w:ascii="Times New Roman" w:hAnsi="Times New Roman" w:eastAsia="Times New Roman" w:cs="Times New Roman"/>
          <w:sz w:val="21"/>
          <w:szCs w:val="21"/>
          <w:spacing w:val="18"/>
          <w:w w:val="101"/>
        </w:rPr>
        <w:t xml:space="preserve"> </w:t>
      </w:r>
      <w:r>
        <w:rPr>
          <w:rFonts w:ascii="SimSun" w:hAnsi="SimSun" w:eastAsia="SimSun" w:cs="SimSun"/>
          <w:sz w:val="21"/>
          <w:szCs w:val="21"/>
          <w:spacing w:val="-1"/>
        </w:rPr>
        <w:t>匿名点击成交债券借贷。提升代客产品的</w:t>
      </w:r>
      <w:r>
        <w:rPr>
          <w:rFonts w:ascii="SimSun" w:hAnsi="SimSun" w:eastAsia="SimSun" w:cs="SimSun"/>
          <w:sz w:val="21"/>
          <w:szCs w:val="21"/>
        </w:rPr>
        <w:t xml:space="preserve"> </w:t>
      </w:r>
      <w:r>
        <w:rPr>
          <w:rFonts w:ascii="SimSun" w:hAnsi="SimSun" w:eastAsia="SimSun" w:cs="SimSun"/>
          <w:sz w:val="21"/>
          <w:szCs w:val="21"/>
          <w:spacing w:val="-2"/>
        </w:rPr>
        <w:t>设计能力,</w:t>
      </w:r>
      <w:r>
        <w:rPr>
          <w:rFonts w:ascii="SimSun" w:hAnsi="SimSun" w:eastAsia="SimSun" w:cs="SimSun"/>
          <w:sz w:val="21"/>
          <w:szCs w:val="21"/>
          <w:spacing w:val="37"/>
        </w:rPr>
        <w:t xml:space="preserve"> </w:t>
      </w:r>
      <w:r>
        <w:rPr>
          <w:rFonts w:ascii="SimSun" w:hAnsi="SimSun" w:eastAsia="SimSun" w:cs="SimSun"/>
          <w:sz w:val="21"/>
          <w:szCs w:val="21"/>
          <w:spacing w:val="-2"/>
        </w:rPr>
        <w:t>把优质的投资交易产品引流到对客综合服务当中,</w:t>
      </w:r>
      <w:r>
        <w:rPr>
          <w:rFonts w:ascii="SimSun" w:hAnsi="SimSun" w:eastAsia="SimSun" w:cs="SimSun"/>
          <w:sz w:val="21"/>
          <w:szCs w:val="21"/>
          <w:spacing w:val="27"/>
        </w:rPr>
        <w:t xml:space="preserve"> </w:t>
      </w:r>
      <w:r>
        <w:rPr>
          <w:rFonts w:ascii="SimSun" w:hAnsi="SimSun" w:eastAsia="SimSun" w:cs="SimSun"/>
          <w:sz w:val="21"/>
          <w:szCs w:val="21"/>
          <w:spacing w:val="-2"/>
        </w:rPr>
        <w:t>推出黄金区间累计、美元日元区间累计、定</w:t>
      </w:r>
      <w:r>
        <w:rPr>
          <w:rFonts w:ascii="SimSun" w:hAnsi="SimSun" w:eastAsia="SimSun" w:cs="SimSun"/>
          <w:sz w:val="21"/>
          <w:szCs w:val="21"/>
        </w:rPr>
        <w:t xml:space="preserve"> </w:t>
      </w:r>
      <w:r>
        <w:rPr>
          <w:rFonts w:ascii="SimSun" w:hAnsi="SimSun" w:eastAsia="SimSun" w:cs="SimSun"/>
          <w:sz w:val="21"/>
          <w:szCs w:val="21"/>
          <w:spacing w:val="3"/>
        </w:rPr>
        <w:t>制股指鲨鱼鳍等结构性存款创新产品,满足客户避险、保值、增值需求。</w:t>
      </w:r>
    </w:p>
    <w:p>
      <w:pPr>
        <w:pStyle w:val="BodyText"/>
        <w:spacing w:line="242" w:lineRule="auto"/>
        <w:rPr/>
      </w:pPr>
      <w:r/>
    </w:p>
    <w:p>
      <w:pPr>
        <w:ind w:left="2" w:firstLine="418"/>
        <w:spacing w:before="68" w:line="267" w:lineRule="auto"/>
        <w:rPr>
          <w:rFonts w:ascii="SimSun" w:hAnsi="SimSun" w:eastAsia="SimSun" w:cs="SimSun"/>
          <w:sz w:val="21"/>
          <w:szCs w:val="21"/>
        </w:rPr>
      </w:pPr>
      <w:r>
        <w:rPr>
          <w:rFonts w:ascii="SimSun" w:hAnsi="SimSun" w:eastAsia="SimSun" w:cs="SimSun"/>
          <w:sz w:val="21"/>
          <w:szCs w:val="21"/>
        </w:rPr>
        <w:t>推进全球资金一体化运作, 提升自贸区、境</w:t>
      </w:r>
      <w:r>
        <w:rPr>
          <w:rFonts w:ascii="SimSun" w:hAnsi="SimSun" w:eastAsia="SimSun" w:cs="SimSun"/>
          <w:sz w:val="21"/>
          <w:szCs w:val="21"/>
          <w:spacing w:val="-1"/>
        </w:rPr>
        <w:t>外行资金运营管理质效。积极与境外行开展跨境人民币资</w:t>
      </w:r>
      <w:r>
        <w:rPr>
          <w:rFonts w:ascii="SimSun" w:hAnsi="SimSun" w:eastAsia="SimSun" w:cs="SimSun"/>
          <w:sz w:val="21"/>
          <w:szCs w:val="21"/>
        </w:rPr>
        <w:t xml:space="preserve"> </w:t>
      </w:r>
      <w:r>
        <w:rPr>
          <w:rFonts w:ascii="SimSun" w:hAnsi="SimSun" w:eastAsia="SimSun" w:cs="SimSun"/>
          <w:sz w:val="21"/>
          <w:szCs w:val="21"/>
          <w:spacing w:val="4"/>
        </w:rPr>
        <w:t>金联动,服务跨国经营企业、贸易企业等的真实融</w:t>
      </w:r>
      <w:r>
        <w:rPr>
          <w:rFonts w:ascii="SimSun" w:hAnsi="SimSun" w:eastAsia="SimSun" w:cs="SimSun"/>
          <w:sz w:val="21"/>
          <w:szCs w:val="21"/>
          <w:spacing w:val="3"/>
        </w:rPr>
        <w:t>资需求。</w:t>
      </w:r>
    </w:p>
    <w:p>
      <w:pPr>
        <w:pStyle w:val="BodyText"/>
        <w:spacing w:line="244" w:lineRule="auto"/>
        <w:rPr/>
      </w:pPr>
      <w:r/>
    </w:p>
    <w:p>
      <w:pPr>
        <w:ind w:left="418"/>
        <w:spacing w:before="68"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3.</w:t>
      </w:r>
      <w:r>
        <w:rPr>
          <w:rFonts w:ascii="SimSun" w:hAnsi="SimSun" w:eastAsia="SimSun" w:cs="SimSun"/>
          <w:sz w:val="21"/>
          <w:szCs w:val="21"/>
          <w:b/>
          <w:bCs/>
          <w:spacing w:val="-2"/>
        </w:rPr>
        <w:t>资产托管</w:t>
      </w:r>
    </w:p>
    <w:p>
      <w:pPr>
        <w:pStyle w:val="BodyText"/>
        <w:rPr/>
      </w:pPr>
      <w:r/>
    </w:p>
    <w:p>
      <w:pPr>
        <w:ind w:firstLine="421"/>
        <w:spacing w:before="69" w:line="297" w:lineRule="auto"/>
        <w:jc w:val="both"/>
        <w:rPr>
          <w:rFonts w:ascii="SimSun" w:hAnsi="SimSun" w:eastAsia="SimSun" w:cs="SimSun"/>
          <w:sz w:val="21"/>
          <w:szCs w:val="21"/>
        </w:rPr>
      </w:pPr>
      <w:r>
        <w:rPr>
          <w:rFonts w:ascii="SimSun" w:hAnsi="SimSun" w:eastAsia="SimSun" w:cs="SimSun"/>
          <w:sz w:val="21"/>
          <w:szCs w:val="21"/>
          <w:spacing w:val="-3"/>
        </w:rPr>
        <w:t>锚定托管本源业务,</w:t>
      </w:r>
      <w:r>
        <w:rPr>
          <w:rFonts w:ascii="SimSun" w:hAnsi="SimSun" w:eastAsia="SimSun" w:cs="SimSun"/>
          <w:sz w:val="21"/>
          <w:szCs w:val="21"/>
          <w:spacing w:val="29"/>
        </w:rPr>
        <w:t xml:space="preserve"> </w:t>
      </w:r>
      <w:r>
        <w:rPr>
          <w:rFonts w:ascii="SimSun" w:hAnsi="SimSun" w:eastAsia="SimSun" w:cs="SimSun"/>
          <w:sz w:val="21"/>
          <w:szCs w:val="21"/>
          <w:spacing w:val="-3"/>
        </w:rPr>
        <w:t>持续加强证券类托管业务能力建设,</w:t>
      </w:r>
      <w:r>
        <w:rPr>
          <w:rFonts w:ascii="SimSun" w:hAnsi="SimSun" w:eastAsia="SimSun" w:cs="SimSun"/>
          <w:sz w:val="21"/>
          <w:szCs w:val="21"/>
          <w:spacing w:val="26"/>
        </w:rPr>
        <w:t xml:space="preserve"> </w:t>
      </w:r>
      <w:r>
        <w:rPr>
          <w:rFonts w:ascii="SimSun" w:hAnsi="SimSun" w:eastAsia="SimSun" w:cs="SimSun"/>
          <w:sz w:val="21"/>
          <w:szCs w:val="21"/>
          <w:spacing w:val="-3"/>
        </w:rPr>
        <w:t>深化集团业务协同,</w:t>
      </w:r>
      <w:r>
        <w:rPr>
          <w:rFonts w:ascii="SimSun" w:hAnsi="SimSun" w:eastAsia="SimSun" w:cs="SimSun"/>
          <w:sz w:val="21"/>
          <w:szCs w:val="21"/>
          <w:spacing w:val="26"/>
        </w:rPr>
        <w:t xml:space="preserve"> </w:t>
      </w:r>
      <w:r>
        <w:rPr>
          <w:rFonts w:ascii="SimSun" w:hAnsi="SimSun" w:eastAsia="SimSun" w:cs="SimSun"/>
          <w:sz w:val="21"/>
          <w:szCs w:val="21"/>
          <w:spacing w:val="-3"/>
        </w:rPr>
        <w:t>做好创新产品</w:t>
      </w:r>
      <w:r>
        <w:rPr>
          <w:rFonts w:ascii="SimSun" w:hAnsi="SimSun" w:eastAsia="SimSun" w:cs="SimSun"/>
          <w:sz w:val="21"/>
          <w:szCs w:val="21"/>
          <w:spacing w:val="-4"/>
        </w:rPr>
        <w:t>布局,</w:t>
      </w:r>
      <w:r>
        <w:rPr>
          <w:rFonts w:ascii="SimSun" w:hAnsi="SimSun" w:eastAsia="SimSun" w:cs="SimSun"/>
          <w:sz w:val="21"/>
          <w:szCs w:val="21"/>
          <w:spacing w:val="28"/>
        </w:rPr>
        <w:t xml:space="preserve"> </w:t>
      </w:r>
      <w:r>
        <w:rPr>
          <w:rFonts w:ascii="SimSun" w:hAnsi="SimSun" w:eastAsia="SimSun" w:cs="SimSun"/>
          <w:sz w:val="21"/>
          <w:szCs w:val="21"/>
          <w:spacing w:val="-4"/>
        </w:rPr>
        <w:t>提</w:t>
      </w:r>
      <w:r>
        <w:rPr>
          <w:rFonts w:ascii="SimSun" w:hAnsi="SimSun" w:eastAsia="SimSun" w:cs="SimSun"/>
          <w:sz w:val="21"/>
          <w:szCs w:val="21"/>
        </w:rPr>
        <w:t xml:space="preserve"> </w:t>
      </w:r>
      <w:r>
        <w:rPr>
          <w:rFonts w:ascii="SimSun" w:hAnsi="SimSun" w:eastAsia="SimSun" w:cs="SimSun"/>
          <w:sz w:val="21"/>
          <w:szCs w:val="21"/>
        </w:rPr>
        <w:t>升公募基金托管业务市场竞争力。做优养老金托管服务</w:t>
      </w:r>
      <w:r>
        <w:rPr>
          <w:rFonts w:ascii="SimSun" w:hAnsi="SimSun" w:eastAsia="SimSun" w:cs="SimSun"/>
          <w:sz w:val="21"/>
          <w:szCs w:val="21"/>
          <w:spacing w:val="-1"/>
        </w:rPr>
        <w:t>, 积极发展个人养老金托管, 不断巩固养老金品牌</w:t>
      </w:r>
      <w:r>
        <w:rPr>
          <w:rFonts w:ascii="SimSun" w:hAnsi="SimSun" w:eastAsia="SimSun" w:cs="SimSun"/>
          <w:sz w:val="21"/>
          <w:szCs w:val="21"/>
        </w:rPr>
        <w:t xml:space="preserve"> </w:t>
      </w:r>
      <w:r>
        <w:rPr>
          <w:rFonts w:ascii="SimSun" w:hAnsi="SimSun" w:eastAsia="SimSun" w:cs="SimSun"/>
          <w:sz w:val="21"/>
          <w:szCs w:val="21"/>
        </w:rPr>
        <w:t>优势。做深与保险公司、证券公司、信托公司</w:t>
      </w:r>
      <w:r>
        <w:rPr>
          <w:rFonts w:ascii="SimSun" w:hAnsi="SimSun" w:eastAsia="SimSun" w:cs="SimSun"/>
          <w:sz w:val="21"/>
          <w:szCs w:val="21"/>
          <w:spacing w:val="-1"/>
        </w:rPr>
        <w:t>等各类金融机构的托管合作, 优化创新资管产品托管服务方</w:t>
      </w:r>
      <w:r>
        <w:rPr>
          <w:rFonts w:ascii="SimSun" w:hAnsi="SimSun" w:eastAsia="SimSun" w:cs="SimSun"/>
          <w:sz w:val="21"/>
          <w:szCs w:val="21"/>
        </w:rPr>
        <w:t xml:space="preserve"> </w:t>
      </w:r>
      <w:r>
        <w:rPr>
          <w:rFonts w:ascii="SimSun" w:hAnsi="SimSun" w:eastAsia="SimSun" w:cs="SimSun"/>
          <w:sz w:val="21"/>
          <w:szCs w:val="21"/>
          <w:spacing w:val="3"/>
        </w:rPr>
        <w:t>案。积极为各地产业基金提供托管服务,</w:t>
      </w:r>
      <w:r>
        <w:rPr>
          <w:rFonts w:ascii="SimSun" w:hAnsi="SimSun" w:eastAsia="SimSun" w:cs="SimSun"/>
          <w:sz w:val="21"/>
          <w:szCs w:val="21"/>
          <w:spacing w:val="29"/>
        </w:rPr>
        <w:t xml:space="preserve"> </w:t>
      </w:r>
      <w:r>
        <w:rPr>
          <w:rFonts w:ascii="SimSun" w:hAnsi="SimSun" w:eastAsia="SimSun" w:cs="SimSun"/>
          <w:sz w:val="21"/>
          <w:szCs w:val="21"/>
          <w:spacing w:val="3"/>
        </w:rPr>
        <w:t>助力实体经济发展。报告期末,资产</w:t>
      </w:r>
      <w:r>
        <w:rPr>
          <w:rFonts w:ascii="SimSun" w:hAnsi="SimSun" w:eastAsia="SimSun" w:cs="SimSun"/>
          <w:sz w:val="21"/>
          <w:szCs w:val="21"/>
          <w:spacing w:val="2"/>
        </w:rPr>
        <w:t>托管规模 </w:t>
      </w:r>
      <w:r>
        <w:rPr>
          <w:rFonts w:ascii="Times New Roman" w:hAnsi="Times New Roman" w:eastAsia="Times New Roman" w:cs="Times New Roman"/>
          <w:sz w:val="21"/>
          <w:szCs w:val="21"/>
          <w:spacing w:val="2"/>
        </w:rPr>
        <w:t>13.05</w:t>
      </w:r>
      <w:r>
        <w:rPr>
          <w:rFonts w:ascii="Times New Roman" w:hAnsi="Times New Roman" w:eastAsia="Times New Roman" w:cs="Times New Roman"/>
          <w:sz w:val="21"/>
          <w:szCs w:val="21"/>
          <w:spacing w:val="25"/>
          <w:w w:val="101"/>
        </w:rPr>
        <w:t xml:space="preserve"> </w:t>
      </w:r>
      <w:r>
        <w:rPr>
          <w:rFonts w:ascii="SimSun" w:hAnsi="SimSun" w:eastAsia="SimSun" w:cs="SimSun"/>
          <w:sz w:val="21"/>
          <w:szCs w:val="21"/>
          <w:spacing w:val="2"/>
        </w:rPr>
        <w:t>万亿元,较</w:t>
      </w:r>
      <w:r>
        <w:rPr>
          <w:rFonts w:ascii="SimSun" w:hAnsi="SimSun" w:eastAsia="SimSun" w:cs="SimSun"/>
          <w:sz w:val="21"/>
          <w:szCs w:val="21"/>
        </w:rPr>
        <w:t xml:space="preserve"> </w:t>
      </w:r>
      <w:r>
        <w:rPr>
          <w:rFonts w:ascii="SimSun" w:hAnsi="SimSun" w:eastAsia="SimSun" w:cs="SimSun"/>
          <w:sz w:val="21"/>
          <w:szCs w:val="21"/>
          <w:spacing w:val="-2"/>
        </w:rPr>
        <w:t>上年末增长</w:t>
      </w:r>
      <w:r>
        <w:rPr>
          <w:rFonts w:ascii="SimSun" w:hAnsi="SimSun" w:eastAsia="SimSun" w:cs="SimSun"/>
          <w:sz w:val="21"/>
          <w:szCs w:val="21"/>
          <w:spacing w:val="-37"/>
        </w:rPr>
        <w:t xml:space="preserve"> </w:t>
      </w:r>
      <w:r>
        <w:rPr>
          <w:rFonts w:ascii="Times New Roman" w:hAnsi="Times New Roman" w:eastAsia="Times New Roman" w:cs="Times New Roman"/>
          <w:sz w:val="21"/>
          <w:szCs w:val="21"/>
          <w:spacing w:val="-2"/>
        </w:rPr>
        <w:t>8.06%</w:t>
      </w:r>
      <w:r>
        <w:rPr>
          <w:rFonts w:ascii="SimSun" w:hAnsi="SimSun" w:eastAsia="SimSun" w:cs="SimSun"/>
          <w:sz w:val="21"/>
          <w:szCs w:val="21"/>
          <w:spacing w:val="-2"/>
        </w:rPr>
        <w:t>。</w:t>
      </w:r>
    </w:p>
    <w:p>
      <w:pPr>
        <w:ind w:left="420"/>
        <w:spacing w:before="308"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4.</w:t>
      </w:r>
      <w:r>
        <w:rPr>
          <w:rFonts w:ascii="SimSun" w:hAnsi="SimSun" w:eastAsia="SimSun" w:cs="SimSun"/>
          <w:sz w:val="21"/>
          <w:szCs w:val="21"/>
          <w:b/>
          <w:bCs/>
          <w:spacing w:val="-2"/>
        </w:rPr>
        <w:t>理财业务</w:t>
      </w:r>
    </w:p>
    <w:p>
      <w:pPr>
        <w:ind w:right="2" w:firstLine="423"/>
        <w:spacing w:before="309" w:line="285" w:lineRule="auto"/>
        <w:jc w:val="both"/>
        <w:rPr>
          <w:rFonts w:ascii="SimSun" w:hAnsi="SimSun" w:eastAsia="SimSun" w:cs="SimSun"/>
          <w:sz w:val="21"/>
          <w:szCs w:val="21"/>
        </w:rPr>
      </w:pPr>
      <w:r>
        <w:rPr>
          <w:rFonts w:ascii="SimSun" w:hAnsi="SimSun" w:eastAsia="SimSun" w:cs="SimSun"/>
          <w:sz w:val="21"/>
          <w:szCs w:val="21"/>
          <w:spacing w:val="-2"/>
        </w:rPr>
        <w:t>理财业务坚持稳健经营, 净值型理财产品占比继续提升。报告期末, 集团理财产品时点余额</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2"/>
        </w:rPr>
        <w:t>12,</w:t>
      </w:r>
      <w:r>
        <w:rPr>
          <w:rFonts w:ascii="Times New Roman" w:hAnsi="Times New Roman" w:eastAsia="Times New Roman" w:cs="Times New Roman"/>
          <w:sz w:val="21"/>
          <w:szCs w:val="21"/>
          <w:spacing w:val="-3"/>
        </w:rPr>
        <w:t>069.01</w:t>
      </w:r>
      <w:r>
        <w:rPr>
          <w:rFonts w:ascii="Times New Roman" w:hAnsi="Times New Roman" w:eastAsia="Times New Roman" w:cs="Times New Roman"/>
          <w:sz w:val="21"/>
          <w:szCs w:val="21"/>
        </w:rPr>
        <w:t xml:space="preserve"> </w:t>
      </w:r>
      <w:r>
        <w:rPr>
          <w:rFonts w:ascii="SimSun" w:hAnsi="SimSun" w:eastAsia="SimSun" w:cs="SimSun"/>
          <w:sz w:val="21"/>
          <w:szCs w:val="21"/>
          <w:spacing w:val="-2"/>
        </w:rPr>
        <w:t>亿元,较上年末下降</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2"/>
        </w:rPr>
        <w:t>12.81%</w:t>
      </w:r>
      <w:r>
        <w:rPr>
          <w:rFonts w:ascii="SimSun" w:hAnsi="SimSun" w:eastAsia="SimSun" w:cs="SimSun"/>
          <w:sz w:val="21"/>
          <w:szCs w:val="21"/>
          <w:spacing w:val="-2"/>
        </w:rPr>
        <w:t>,其中净值型理财产品时点余额</w:t>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2"/>
        </w:rPr>
        <w:t>10,854.38 </w:t>
      </w:r>
      <w:r>
        <w:rPr>
          <w:rFonts w:ascii="SimSun" w:hAnsi="SimSun" w:eastAsia="SimSun" w:cs="SimSun"/>
          <w:sz w:val="21"/>
          <w:szCs w:val="21"/>
          <w:spacing w:val="-2"/>
        </w:rPr>
        <w:t>亿元,在理财产品中的占比为</w:t>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3"/>
        </w:rPr>
        <w:t>89.94%</w:t>
      </w:r>
      <w:r>
        <w:rPr>
          <w:rFonts w:ascii="Times New Roman" w:hAnsi="Times New Roman" w:eastAsia="Times New Roman" w:cs="Times New Roman"/>
          <w:sz w:val="21"/>
          <w:szCs w:val="21"/>
          <w:spacing w:val="-30"/>
        </w:rPr>
        <w:t xml:space="preserve"> </w:t>
      </w:r>
      <w:r>
        <w:rPr>
          <w:rFonts w:ascii="SimSun" w:hAnsi="SimSun" w:eastAsia="SimSun" w:cs="SimSun"/>
          <w:sz w:val="21"/>
          <w:szCs w:val="21"/>
          <w:spacing w:val="-3"/>
        </w:rPr>
        <w:t>,</w:t>
      </w:r>
      <w:r>
        <w:rPr>
          <w:rFonts w:ascii="SimSun" w:hAnsi="SimSun" w:eastAsia="SimSun" w:cs="SimSun"/>
          <w:sz w:val="21"/>
          <w:szCs w:val="21"/>
        </w:rPr>
        <w:t xml:space="preserve"> </w:t>
      </w:r>
      <w:r>
        <w:rPr>
          <w:rFonts w:ascii="SimSun" w:hAnsi="SimSun" w:eastAsia="SimSun" w:cs="SimSun"/>
          <w:sz w:val="21"/>
          <w:szCs w:val="21"/>
          <w:spacing w:val="-3"/>
        </w:rPr>
        <w:t>较上年末提升</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3"/>
        </w:rPr>
        <w:t>1.47 </w:t>
      </w:r>
      <w:r>
        <w:rPr>
          <w:rFonts w:ascii="SimSun" w:hAnsi="SimSun" w:eastAsia="SimSun" w:cs="SimSun"/>
          <w:sz w:val="21"/>
          <w:szCs w:val="21"/>
          <w:spacing w:val="-3"/>
        </w:rPr>
        <w:t>个百分点。</w:t>
      </w:r>
    </w:p>
    <w:p>
      <w:pPr>
        <w:spacing w:line="285" w:lineRule="auto"/>
        <w:sectPr>
          <w:footerReference w:type="default" r:id="rId40"/>
          <w:pgSz w:w="11907" w:h="16839"/>
          <w:pgMar w:top="1196" w:right="1128" w:bottom="1375" w:left="1140" w:header="0" w:footer="1211" w:gutter="0"/>
        </w:sectPr>
        <w:rPr>
          <w:rFonts w:ascii="SimSun" w:hAnsi="SimSun" w:eastAsia="SimSun" w:cs="SimSun"/>
          <w:sz w:val="21"/>
          <w:szCs w:val="21"/>
        </w:rPr>
      </w:pPr>
    </w:p>
    <w:p>
      <w:pPr>
        <w:ind w:left="537"/>
        <w:spacing w:before="42" w:line="222" w:lineRule="auto"/>
        <w:rPr>
          <w:rFonts w:ascii="SimSun" w:hAnsi="SimSun" w:eastAsia="SimSun" w:cs="SimSun"/>
          <w:sz w:val="21"/>
          <w:szCs w:val="21"/>
        </w:rPr>
      </w:pPr>
      <w:r>
        <w:pict>
          <v:shape id="_x0000_s286" style="position:absolute;margin-left:88.704pt;margin-top:753.12pt;mso-position-vertical-relative:page;mso-position-horizontal-relative:page;width:144.05pt;height:0.75pt;z-index:251829248;" o:allowincell="f" fillcolor="#000000" filled="true" stroked="false" coordsize="2881,15" coordorigin="0,0" path="m0,14l2880,14l2880,0l0,0l0,14xe"/>
        </w:pict>
      </w:r>
      <w:r>
        <w:rPr>
          <w:rFonts w:ascii="SimSun" w:hAnsi="SimSun" w:eastAsia="SimSun" w:cs="SimSun"/>
          <w:sz w:val="21"/>
          <w:szCs w:val="21"/>
          <w:b/>
          <w:bCs/>
          <w:spacing w:val="10"/>
        </w:rPr>
        <w:t>(五)综合化经营</w:t>
      </w:r>
    </w:p>
    <w:p>
      <w:pPr>
        <w:pStyle w:val="BodyText"/>
        <w:rPr/>
      </w:pPr>
      <w:r/>
    </w:p>
    <w:p>
      <w:pPr>
        <w:ind w:left="2" w:firstLine="442"/>
        <w:spacing w:before="68" w:line="267" w:lineRule="auto"/>
        <w:rPr>
          <w:rFonts w:ascii="SimSun" w:hAnsi="SimSun" w:eastAsia="SimSun" w:cs="SimSun"/>
          <w:sz w:val="21"/>
          <w:szCs w:val="21"/>
        </w:rPr>
      </w:pPr>
      <w:r>
        <w:rPr>
          <w:rFonts w:ascii="SimSun" w:hAnsi="SimSun" w:eastAsia="SimSun" w:cs="SimSun"/>
          <w:sz w:val="21"/>
          <w:szCs w:val="21"/>
          <w:spacing w:val="-2"/>
        </w:rPr>
        <w:t>◆本集团形成了以商业银行业务为主体,</w:t>
      </w:r>
      <w:r>
        <w:rPr>
          <w:rFonts w:ascii="SimSun" w:hAnsi="SimSun" w:eastAsia="SimSun" w:cs="SimSun"/>
          <w:sz w:val="21"/>
          <w:szCs w:val="21"/>
          <w:spacing w:val="41"/>
        </w:rPr>
        <w:t xml:space="preserve"> </w:t>
      </w:r>
      <w:r>
        <w:rPr>
          <w:rFonts w:ascii="SimSun" w:hAnsi="SimSun" w:eastAsia="SimSun" w:cs="SimSun"/>
          <w:sz w:val="21"/>
          <w:szCs w:val="21"/>
          <w:spacing w:val="-2"/>
        </w:rPr>
        <w:t>金融租赁、基金、理财、信托、保险、境外证券、债转股等</w:t>
      </w:r>
      <w:r>
        <w:rPr>
          <w:rFonts w:ascii="SimSun" w:hAnsi="SimSun" w:eastAsia="SimSun" w:cs="SimSun"/>
          <w:sz w:val="21"/>
          <w:szCs w:val="21"/>
        </w:rPr>
        <w:t xml:space="preserve"> </w:t>
      </w:r>
      <w:r>
        <w:rPr>
          <w:rFonts w:ascii="SimSun" w:hAnsi="SimSun" w:eastAsia="SimSun" w:cs="SimSun"/>
          <w:sz w:val="21"/>
          <w:szCs w:val="21"/>
          <w:spacing w:val="3"/>
        </w:rPr>
        <w:t>业务协同联动的发展格局,为客户提供综合金融服务。</w:t>
      </w:r>
    </w:p>
    <w:p>
      <w:pPr>
        <w:ind w:left="4" w:right="153" w:firstLine="433"/>
        <w:spacing w:before="296" w:line="267" w:lineRule="auto"/>
        <w:rPr>
          <w:rFonts w:ascii="SimSun" w:hAnsi="SimSun" w:eastAsia="SimSun" w:cs="SimSun"/>
          <w:sz w:val="21"/>
          <w:szCs w:val="21"/>
        </w:rPr>
      </w:pPr>
      <w:r>
        <w:rPr>
          <w:rFonts w:ascii="SimSun" w:hAnsi="SimSun" w:eastAsia="SimSun" w:cs="SimSun"/>
          <w:sz w:val="21"/>
          <w:szCs w:val="21"/>
          <w:spacing w:val="-5"/>
        </w:rPr>
        <w:t>◆报告期内,</w:t>
      </w:r>
      <w:r>
        <w:rPr>
          <w:rFonts w:ascii="SimSun" w:hAnsi="SimSun" w:eastAsia="SimSun" w:cs="SimSun"/>
          <w:sz w:val="21"/>
          <w:szCs w:val="21"/>
          <w:spacing w:val="-35"/>
        </w:rPr>
        <w:t xml:space="preserve"> </w:t>
      </w:r>
      <w:r>
        <w:rPr>
          <w:rFonts w:ascii="SimSun" w:hAnsi="SimSun" w:eastAsia="SimSun" w:cs="SimSun"/>
          <w:sz w:val="21"/>
          <w:szCs w:val="21"/>
          <w:spacing w:val="-5"/>
        </w:rPr>
        <w:t>子公司</w:t>
      </w:r>
      <w:r>
        <w:rPr>
          <w:rFonts w:ascii="Times New Roman" w:hAnsi="Times New Roman" w:eastAsia="Times New Roman" w:cs="Times New Roman"/>
          <w:sz w:val="13"/>
          <w:szCs w:val="13"/>
          <w:spacing w:val="-5"/>
          <w:position w:val="10"/>
        </w:rPr>
        <w:t>6</w:t>
      </w:r>
      <w:r>
        <w:rPr>
          <w:rFonts w:ascii="SimSun" w:hAnsi="SimSun" w:eastAsia="SimSun" w:cs="SimSun"/>
          <w:sz w:val="21"/>
          <w:szCs w:val="21"/>
          <w:spacing w:val="-5"/>
        </w:rPr>
        <w:t>实现归属于母公司股东净利润</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5"/>
        </w:rPr>
        <w:t>57.69 </w:t>
      </w:r>
      <w:r>
        <w:rPr>
          <w:rFonts w:ascii="SimSun" w:hAnsi="SimSun" w:eastAsia="SimSun" w:cs="SimSun"/>
          <w:sz w:val="21"/>
          <w:szCs w:val="21"/>
          <w:spacing w:val="-5"/>
        </w:rPr>
        <w:t>亿元, 占集团净利润比例</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5"/>
        </w:rPr>
        <w:t>6.26%</w:t>
      </w:r>
      <w:r>
        <w:rPr>
          <w:rFonts w:ascii="SimSun" w:hAnsi="SimSun" w:eastAsia="SimSun" w:cs="SimSun"/>
          <w:sz w:val="21"/>
          <w:szCs w:val="21"/>
          <w:spacing w:val="-5"/>
        </w:rPr>
        <w:t>。报告期末,</w:t>
      </w:r>
      <w:r>
        <w:rPr>
          <w:rFonts w:ascii="SimSun" w:hAnsi="SimSun" w:eastAsia="SimSun" w:cs="SimSun"/>
          <w:sz w:val="21"/>
          <w:szCs w:val="21"/>
        </w:rPr>
        <w:t xml:space="preserve"> </w:t>
      </w:r>
      <w:r>
        <w:rPr>
          <w:rFonts w:ascii="SimSun" w:hAnsi="SimSun" w:eastAsia="SimSun" w:cs="SimSun"/>
          <w:sz w:val="21"/>
          <w:szCs w:val="21"/>
          <w:spacing w:val="-2"/>
        </w:rPr>
        <w:t>子公司资产总额</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2"/>
        </w:rPr>
        <w:t>6,031.97 </w:t>
      </w:r>
      <w:r>
        <w:rPr>
          <w:rFonts w:ascii="SimSun" w:hAnsi="SimSun" w:eastAsia="SimSun" w:cs="SimSun"/>
          <w:sz w:val="21"/>
          <w:szCs w:val="21"/>
          <w:spacing w:val="-2"/>
        </w:rPr>
        <w:t>亿元,</w:t>
      </w:r>
      <w:r>
        <w:rPr>
          <w:rFonts w:ascii="SimSun" w:hAnsi="SimSun" w:eastAsia="SimSun" w:cs="SimSun"/>
          <w:sz w:val="21"/>
          <w:szCs w:val="21"/>
          <w:spacing w:val="64"/>
        </w:rPr>
        <w:t xml:space="preserve"> </w:t>
      </w:r>
      <w:r>
        <w:rPr>
          <w:rFonts w:ascii="SimSun" w:hAnsi="SimSun" w:eastAsia="SimSun" w:cs="SimSun"/>
          <w:sz w:val="21"/>
          <w:szCs w:val="21"/>
          <w:spacing w:val="-2"/>
        </w:rPr>
        <w:t>占集</w:t>
      </w:r>
      <w:r>
        <w:rPr>
          <w:rFonts w:ascii="SimSun" w:hAnsi="SimSun" w:eastAsia="SimSun" w:cs="SimSun"/>
          <w:sz w:val="21"/>
          <w:szCs w:val="21"/>
          <w:spacing w:val="-3"/>
        </w:rPr>
        <w:t>团资产总额比例</w:t>
      </w:r>
      <w:r>
        <w:rPr>
          <w:rFonts w:ascii="SimSun" w:hAnsi="SimSun" w:eastAsia="SimSun" w:cs="SimSun"/>
          <w:sz w:val="21"/>
          <w:szCs w:val="21"/>
          <w:spacing w:val="-50"/>
        </w:rPr>
        <w:t xml:space="preserve"> </w:t>
      </w:r>
      <w:r>
        <w:rPr>
          <w:rFonts w:ascii="Times New Roman" w:hAnsi="Times New Roman" w:eastAsia="Times New Roman" w:cs="Times New Roman"/>
          <w:sz w:val="21"/>
          <w:szCs w:val="21"/>
          <w:spacing w:val="-3"/>
        </w:rPr>
        <w:t>4.64%</w:t>
      </w:r>
      <w:r>
        <w:rPr>
          <w:rFonts w:ascii="SimSun" w:hAnsi="SimSun" w:eastAsia="SimSun" w:cs="SimSun"/>
          <w:sz w:val="21"/>
          <w:szCs w:val="21"/>
          <w:spacing w:val="-3"/>
        </w:rPr>
        <w:t>。</w:t>
      </w:r>
    </w:p>
    <w:p>
      <w:pPr>
        <w:pStyle w:val="BodyText"/>
        <w:spacing w:line="245" w:lineRule="auto"/>
        <w:rPr/>
      </w:pPr>
      <w:r/>
    </w:p>
    <w:p>
      <w:pPr>
        <w:ind w:firstLine="430"/>
        <w:spacing w:before="68" w:line="306" w:lineRule="auto"/>
        <w:jc w:val="both"/>
        <w:rPr>
          <w:rFonts w:ascii="SimSun" w:hAnsi="SimSun" w:eastAsia="SimSun" w:cs="SimSun"/>
          <w:sz w:val="21"/>
          <w:szCs w:val="21"/>
        </w:rPr>
      </w:pPr>
      <w:r>
        <w:rPr>
          <w:rFonts w:ascii="SimSun" w:hAnsi="SimSun" w:eastAsia="SimSun" w:cs="SimSun"/>
          <w:sz w:val="21"/>
          <w:szCs w:val="21"/>
          <w:b/>
          <w:bCs/>
        </w:rPr>
        <w:t>交银金融租赁有限责任公司</w:t>
      </w:r>
      <w:r>
        <w:rPr>
          <w:rFonts w:ascii="SimSun" w:hAnsi="SimSun" w:eastAsia="SimSun" w:cs="SimSun"/>
          <w:sz w:val="21"/>
          <w:szCs w:val="21"/>
        </w:rPr>
        <w:t xml:space="preserve">  本行全资子公司,</w:t>
      </w:r>
      <w:r>
        <w:rPr>
          <w:rFonts w:ascii="SimSun" w:hAnsi="SimSun" w:eastAsia="SimSun" w:cs="SimSun"/>
          <w:sz w:val="21"/>
          <w:szCs w:val="21"/>
          <w:spacing w:val="31"/>
        </w:rPr>
        <w:t xml:space="preserve"> </w:t>
      </w:r>
      <w:r>
        <w:rPr>
          <w:rFonts w:ascii="Times New Roman" w:hAnsi="Times New Roman" w:eastAsia="Times New Roman" w:cs="Times New Roman"/>
          <w:sz w:val="21"/>
          <w:szCs w:val="21"/>
        </w:rPr>
        <w:t>2007 </w:t>
      </w:r>
      <w:r>
        <w:rPr>
          <w:rFonts w:ascii="SimSun" w:hAnsi="SimSun" w:eastAsia="SimSun" w:cs="SimSun"/>
          <w:sz w:val="21"/>
          <w:szCs w:val="21"/>
        </w:rPr>
        <w:t>年</w:t>
      </w:r>
      <w:r>
        <w:rPr>
          <w:rFonts w:ascii="SimSun" w:hAnsi="SimSun" w:eastAsia="SimSun" w:cs="SimSun"/>
          <w:sz w:val="21"/>
          <w:szCs w:val="21"/>
          <w:spacing w:val="-25"/>
        </w:rPr>
        <w:t xml:space="preserve"> </w:t>
      </w:r>
      <w:r>
        <w:rPr>
          <w:rFonts w:ascii="Times New Roman" w:hAnsi="Times New Roman" w:eastAsia="Times New Roman" w:cs="Times New Roman"/>
          <w:sz w:val="21"/>
          <w:szCs w:val="21"/>
        </w:rPr>
        <w:t>12</w:t>
      </w:r>
      <w:r>
        <w:rPr>
          <w:rFonts w:ascii="Times New Roman" w:hAnsi="Times New Roman" w:eastAsia="Times New Roman" w:cs="Times New Roman"/>
          <w:sz w:val="21"/>
          <w:szCs w:val="21"/>
          <w:spacing w:val="16"/>
          <w:w w:val="101"/>
        </w:rPr>
        <w:t xml:space="preserve"> </w:t>
      </w:r>
      <w:r>
        <w:rPr>
          <w:rFonts w:ascii="SimSun" w:hAnsi="SimSun" w:eastAsia="SimSun" w:cs="SimSun"/>
          <w:sz w:val="21"/>
          <w:szCs w:val="21"/>
        </w:rPr>
        <w:t>月开业,注册资本</w:t>
      </w:r>
      <w:r>
        <w:rPr>
          <w:rFonts w:ascii="SimSun" w:hAnsi="SimSun" w:eastAsia="SimSun" w:cs="SimSun"/>
          <w:sz w:val="21"/>
          <w:szCs w:val="21"/>
          <w:spacing w:val="-28"/>
        </w:rPr>
        <w:t xml:space="preserve"> </w:t>
      </w:r>
      <w:r>
        <w:rPr>
          <w:rFonts w:ascii="Times New Roman" w:hAnsi="Times New Roman" w:eastAsia="Times New Roman" w:cs="Times New Roman"/>
          <w:sz w:val="21"/>
          <w:szCs w:val="21"/>
        </w:rPr>
        <w:t>140 </w:t>
      </w:r>
      <w:r>
        <w:rPr>
          <w:rFonts w:ascii="SimSun" w:hAnsi="SimSun" w:eastAsia="SimSun" w:cs="SimSun"/>
          <w:sz w:val="21"/>
          <w:szCs w:val="21"/>
        </w:rPr>
        <w:t>亿元。主要经营航 </w:t>
      </w:r>
      <w:r>
        <w:rPr>
          <w:rFonts w:ascii="SimSun" w:hAnsi="SimSun" w:eastAsia="SimSun" w:cs="SimSun"/>
          <w:sz w:val="21"/>
          <w:szCs w:val="21"/>
          <w:spacing w:val="-1"/>
        </w:rPr>
        <w:t>空、航运及能源电力、交通基建、装备制造、民生服务等领域的融资租赁及经营租赁业务,</w:t>
      </w:r>
      <w:r>
        <w:rPr>
          <w:rFonts w:ascii="SimSun" w:hAnsi="SimSun" w:eastAsia="SimSun" w:cs="SimSun"/>
          <w:sz w:val="21"/>
          <w:szCs w:val="21"/>
          <w:spacing w:val="27"/>
        </w:rPr>
        <w:t xml:space="preserve"> </w:t>
      </w:r>
      <w:r>
        <w:rPr>
          <w:rFonts w:ascii="SimSun" w:hAnsi="SimSun" w:eastAsia="SimSun" w:cs="SimSun"/>
          <w:sz w:val="21"/>
          <w:szCs w:val="21"/>
          <w:spacing w:val="-1"/>
        </w:rPr>
        <w:t>为中国银</w:t>
      </w:r>
      <w:r>
        <w:rPr>
          <w:rFonts w:ascii="SimSun" w:hAnsi="SimSun" w:eastAsia="SimSun" w:cs="SimSun"/>
          <w:sz w:val="21"/>
          <w:szCs w:val="21"/>
          <w:spacing w:val="-2"/>
        </w:rPr>
        <w:t>行业</w:t>
      </w:r>
      <w:r>
        <w:rPr>
          <w:rFonts w:ascii="SimSun" w:hAnsi="SimSun" w:eastAsia="SimSun" w:cs="SimSun"/>
          <w:sz w:val="21"/>
          <w:szCs w:val="21"/>
        </w:rPr>
        <w:t xml:space="preserve"> </w:t>
      </w:r>
      <w:r>
        <w:rPr>
          <w:rFonts w:ascii="SimSun" w:hAnsi="SimSun" w:eastAsia="SimSun" w:cs="SimSun"/>
          <w:sz w:val="21"/>
          <w:szCs w:val="21"/>
          <w:spacing w:val="2"/>
        </w:rPr>
        <w:t>协会金融租赁专业委员会第五届主任单位。报告期内,</w:t>
      </w:r>
      <w:r>
        <w:rPr>
          <w:rFonts w:ascii="SimSun" w:hAnsi="SimSun" w:eastAsia="SimSun" w:cs="SimSun"/>
          <w:sz w:val="21"/>
          <w:szCs w:val="21"/>
          <w:spacing w:val="33"/>
        </w:rPr>
        <w:t xml:space="preserve"> </w:t>
      </w:r>
      <w:r>
        <w:rPr>
          <w:rFonts w:ascii="SimSun" w:hAnsi="SimSun" w:eastAsia="SimSun" w:cs="SimSun"/>
          <w:sz w:val="21"/>
          <w:szCs w:val="21"/>
          <w:spacing w:val="2"/>
        </w:rPr>
        <w:t>公司坚持</w:t>
      </w:r>
      <w:r>
        <w:rPr>
          <w:rFonts w:ascii="SimSun" w:hAnsi="SimSun" w:eastAsia="SimSun" w:cs="SimSun"/>
          <w:sz w:val="21"/>
          <w:szCs w:val="21"/>
          <w:spacing w:val="1"/>
        </w:rPr>
        <w:t>"专业化、国际化、差异化、特色化"</w:t>
      </w:r>
      <w:r>
        <w:rPr>
          <w:rFonts w:ascii="SimSun" w:hAnsi="SimSun" w:eastAsia="SimSun" w:cs="SimSun"/>
          <w:sz w:val="21"/>
          <w:szCs w:val="21"/>
          <w:spacing w:val="-23"/>
        </w:rPr>
        <w:t xml:space="preserve"> </w:t>
      </w:r>
      <w:r>
        <w:rPr>
          <w:rFonts w:ascii="SimSun" w:hAnsi="SimSun" w:eastAsia="SimSun" w:cs="SimSun"/>
          <w:sz w:val="21"/>
          <w:szCs w:val="21"/>
          <w:spacing w:val="1"/>
        </w:rPr>
        <w:t>发</w:t>
      </w:r>
      <w:r>
        <w:rPr>
          <w:rFonts w:ascii="SimSun" w:hAnsi="SimSun" w:eastAsia="SimSun" w:cs="SimSun"/>
          <w:sz w:val="21"/>
          <w:szCs w:val="21"/>
        </w:rPr>
        <w:t xml:space="preserve"> </w:t>
      </w:r>
      <w:r>
        <w:rPr>
          <w:rFonts w:ascii="SimSun" w:hAnsi="SimSun" w:eastAsia="SimSun" w:cs="SimSun"/>
          <w:sz w:val="21"/>
          <w:szCs w:val="21"/>
          <w:spacing w:val="-2"/>
        </w:rPr>
        <w:t>展战略,</w:t>
      </w:r>
      <w:r>
        <w:rPr>
          <w:rFonts w:ascii="SimSun" w:hAnsi="SimSun" w:eastAsia="SimSun" w:cs="SimSun"/>
          <w:sz w:val="21"/>
          <w:szCs w:val="21"/>
          <w:spacing w:val="26"/>
        </w:rPr>
        <w:t xml:space="preserve"> </w:t>
      </w:r>
      <w:r>
        <w:rPr>
          <w:rFonts w:ascii="SimSun" w:hAnsi="SimSun" w:eastAsia="SimSun" w:cs="SimSun"/>
          <w:sz w:val="21"/>
          <w:szCs w:val="21"/>
          <w:spacing w:val="-2"/>
        </w:rPr>
        <w:t>深耕航运、航空、设备及设施租赁等业务,</w:t>
      </w:r>
      <w:r>
        <w:rPr>
          <w:rFonts w:ascii="SimSun" w:hAnsi="SimSun" w:eastAsia="SimSun" w:cs="SimSun"/>
          <w:sz w:val="21"/>
          <w:szCs w:val="21"/>
          <w:spacing w:val="28"/>
        </w:rPr>
        <w:t xml:space="preserve"> </w:t>
      </w:r>
      <w:r>
        <w:rPr>
          <w:rFonts w:ascii="SimSun" w:hAnsi="SimSun" w:eastAsia="SimSun" w:cs="SimSun"/>
          <w:sz w:val="21"/>
          <w:szCs w:val="21"/>
          <w:spacing w:val="-2"/>
        </w:rPr>
        <w:t>主体经营指标继</w:t>
      </w:r>
      <w:r>
        <w:rPr>
          <w:rFonts w:ascii="SimSun" w:hAnsi="SimSun" w:eastAsia="SimSun" w:cs="SimSun"/>
          <w:sz w:val="21"/>
          <w:szCs w:val="21"/>
          <w:spacing w:val="-3"/>
        </w:rPr>
        <w:t>续位居行业前列。报告期末,</w:t>
      </w:r>
      <w:r>
        <w:rPr>
          <w:rFonts w:ascii="SimSun" w:hAnsi="SimSun" w:eastAsia="SimSun" w:cs="SimSun"/>
          <w:sz w:val="21"/>
          <w:szCs w:val="21"/>
          <w:spacing w:val="33"/>
        </w:rPr>
        <w:t xml:space="preserve"> </w:t>
      </w:r>
      <w:r>
        <w:rPr>
          <w:rFonts w:ascii="SimSun" w:hAnsi="SimSun" w:eastAsia="SimSun" w:cs="SimSun"/>
          <w:sz w:val="21"/>
          <w:szCs w:val="21"/>
          <w:spacing w:val="-3"/>
        </w:rPr>
        <w:t>公司总</w:t>
      </w:r>
      <w:r>
        <w:rPr>
          <w:rFonts w:ascii="SimSun" w:hAnsi="SimSun" w:eastAsia="SimSun" w:cs="SimSun"/>
          <w:sz w:val="21"/>
          <w:szCs w:val="21"/>
        </w:rPr>
        <w:t xml:space="preserve"> </w:t>
      </w:r>
      <w:r>
        <w:rPr>
          <w:rFonts w:ascii="SimSun" w:hAnsi="SimSun" w:eastAsia="SimSun" w:cs="SimSun"/>
          <w:sz w:val="21"/>
          <w:szCs w:val="21"/>
          <w:spacing w:val="-1"/>
        </w:rPr>
        <w:t>资产</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1"/>
        </w:rPr>
        <w:t>3,589.81 </w:t>
      </w:r>
      <w:r>
        <w:rPr>
          <w:rFonts w:ascii="SimSun" w:hAnsi="SimSun" w:eastAsia="SimSun" w:cs="SimSun"/>
          <w:sz w:val="21"/>
          <w:szCs w:val="21"/>
          <w:spacing w:val="-1"/>
        </w:rPr>
        <w:t>亿元, 净资产</w:t>
      </w:r>
      <w:r>
        <w:rPr>
          <w:rFonts w:ascii="SimSun" w:hAnsi="SimSun" w:eastAsia="SimSun" w:cs="SimSun"/>
          <w:sz w:val="21"/>
          <w:szCs w:val="21"/>
          <w:spacing w:val="-49"/>
        </w:rPr>
        <w:t xml:space="preserve"> </w:t>
      </w:r>
      <w:r>
        <w:rPr>
          <w:rFonts w:ascii="Times New Roman" w:hAnsi="Times New Roman" w:eastAsia="Times New Roman" w:cs="Times New Roman"/>
          <w:sz w:val="21"/>
          <w:szCs w:val="21"/>
          <w:spacing w:val="-1"/>
        </w:rPr>
        <w:t>4</w:t>
      </w:r>
      <w:r>
        <w:rPr>
          <w:rFonts w:ascii="Times New Roman" w:hAnsi="Times New Roman" w:eastAsia="Times New Roman" w:cs="Times New Roman"/>
          <w:sz w:val="21"/>
          <w:szCs w:val="21"/>
          <w:spacing w:val="-2"/>
        </w:rPr>
        <w:t>10.89 </w:t>
      </w:r>
      <w:r>
        <w:rPr>
          <w:rFonts w:ascii="SimSun" w:hAnsi="SimSun" w:eastAsia="SimSun" w:cs="SimSun"/>
          <w:sz w:val="21"/>
          <w:szCs w:val="21"/>
          <w:spacing w:val="-2"/>
        </w:rPr>
        <w:t>亿元; 租赁资产</w:t>
      </w:r>
      <w:r>
        <w:rPr>
          <w:rFonts w:ascii="SimSun" w:hAnsi="SimSun" w:eastAsia="SimSun" w:cs="SimSun"/>
          <w:sz w:val="21"/>
          <w:szCs w:val="21"/>
          <w:spacing w:val="-46"/>
        </w:rPr>
        <w:t xml:space="preserve"> </w:t>
      </w:r>
      <w:r>
        <w:rPr>
          <w:rFonts w:ascii="Times New Roman" w:hAnsi="Times New Roman" w:eastAsia="Times New Roman" w:cs="Times New Roman"/>
          <w:sz w:val="21"/>
          <w:szCs w:val="21"/>
          <w:spacing w:val="-2"/>
        </w:rPr>
        <w:t>3,167.95</w:t>
      </w:r>
      <w:r>
        <w:rPr>
          <w:rFonts w:ascii="Times New Roman" w:hAnsi="Times New Roman" w:eastAsia="Times New Roman" w:cs="Times New Roman"/>
          <w:sz w:val="21"/>
          <w:szCs w:val="21"/>
          <w:spacing w:val="10"/>
        </w:rPr>
        <w:t xml:space="preserve"> </w:t>
      </w:r>
      <w:r>
        <w:rPr>
          <w:rFonts w:ascii="SimSun" w:hAnsi="SimSun" w:eastAsia="SimSun" w:cs="SimSun"/>
          <w:sz w:val="21"/>
          <w:szCs w:val="21"/>
          <w:spacing w:val="-2"/>
        </w:rPr>
        <w:t>亿元, 其中航运、航空租赁资产总额在业内率</w:t>
      </w:r>
      <w:r>
        <w:rPr>
          <w:rFonts w:ascii="SimSun" w:hAnsi="SimSun" w:eastAsia="SimSun" w:cs="SimSun"/>
          <w:sz w:val="21"/>
          <w:szCs w:val="21"/>
        </w:rPr>
        <w:t xml:space="preserve"> </w:t>
      </w:r>
      <w:r>
        <w:rPr>
          <w:rFonts w:ascii="SimSun" w:hAnsi="SimSun" w:eastAsia="SimSun" w:cs="SimSun"/>
          <w:sz w:val="21"/>
          <w:szCs w:val="21"/>
          <w:spacing w:val="2"/>
        </w:rPr>
        <w:t>先突破</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2"/>
        </w:rPr>
        <w:t>2,000</w:t>
      </w:r>
      <w:r>
        <w:rPr>
          <w:rFonts w:ascii="Times New Roman" w:hAnsi="Times New Roman" w:eastAsia="Times New Roman" w:cs="Times New Roman"/>
          <w:sz w:val="21"/>
          <w:szCs w:val="21"/>
          <w:spacing w:val="14"/>
          <w:w w:val="101"/>
        </w:rPr>
        <w:t xml:space="preserve"> </w:t>
      </w:r>
      <w:r>
        <w:rPr>
          <w:rFonts w:ascii="SimSun" w:hAnsi="SimSun" w:eastAsia="SimSun" w:cs="SimSun"/>
          <w:sz w:val="21"/>
          <w:szCs w:val="21"/>
          <w:spacing w:val="2"/>
        </w:rPr>
        <w:t>亿元。公司拥有和管理船队规模</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2"/>
        </w:rPr>
        <w:t>473 </w:t>
      </w:r>
      <w:r>
        <w:rPr>
          <w:rFonts w:ascii="SimSun" w:hAnsi="SimSun" w:eastAsia="SimSun" w:cs="SimSun"/>
          <w:sz w:val="21"/>
          <w:szCs w:val="21"/>
          <w:spacing w:val="1"/>
        </w:rPr>
        <w:t>艘,保持国内商船规模最大的租赁公司地位,</w:t>
      </w:r>
      <w:r>
        <w:rPr>
          <w:rFonts w:ascii="SimSun" w:hAnsi="SimSun" w:eastAsia="SimSun" w:cs="SimSun"/>
          <w:sz w:val="21"/>
          <w:szCs w:val="21"/>
          <w:spacing w:val="28"/>
        </w:rPr>
        <w:t xml:space="preserve"> </w:t>
      </w:r>
      <w:r>
        <w:rPr>
          <w:rFonts w:ascii="SimSun" w:hAnsi="SimSun" w:eastAsia="SimSun" w:cs="SimSun"/>
          <w:sz w:val="21"/>
          <w:szCs w:val="21"/>
          <w:spacing w:val="1"/>
        </w:rPr>
        <w:t>机队规模</w:t>
      </w:r>
      <w:r>
        <w:rPr>
          <w:rFonts w:ascii="SimSun" w:hAnsi="SimSun" w:eastAsia="SimSun" w:cs="SimSun"/>
          <w:sz w:val="21"/>
          <w:szCs w:val="21"/>
        </w:rPr>
        <w:t xml:space="preserve"> </w:t>
      </w:r>
      <w:r>
        <w:rPr>
          <w:rFonts w:ascii="Times New Roman" w:hAnsi="Times New Roman" w:eastAsia="Times New Roman" w:cs="Times New Roman"/>
          <w:sz w:val="21"/>
          <w:szCs w:val="21"/>
          <w:spacing w:val="5"/>
        </w:rPr>
        <w:t>277  </w:t>
      </w:r>
      <w:r>
        <w:rPr>
          <w:rFonts w:ascii="SimSun" w:hAnsi="SimSun" w:eastAsia="SimSun" w:cs="SimSun"/>
          <w:sz w:val="21"/>
          <w:szCs w:val="21"/>
          <w:spacing w:val="5"/>
        </w:rPr>
        <w:t>架,飞机租赁资产价值保持国内金融租赁行业第二、位居全球</w:t>
      </w:r>
      <w:r>
        <w:rPr>
          <w:rFonts w:ascii="SimSun" w:hAnsi="SimSun" w:eastAsia="SimSun" w:cs="SimSun"/>
          <w:sz w:val="21"/>
          <w:szCs w:val="21"/>
          <w:spacing w:val="4"/>
        </w:rPr>
        <w:t>第十位。报告期内,实现净利润 </w:t>
      </w:r>
      <w:r>
        <w:rPr>
          <w:rFonts w:ascii="Times New Roman" w:hAnsi="Times New Roman" w:eastAsia="Times New Roman" w:cs="Times New Roman"/>
          <w:sz w:val="21"/>
          <w:szCs w:val="21"/>
          <w:spacing w:val="4"/>
        </w:rPr>
        <w:t>38.15</w:t>
      </w:r>
      <w:r>
        <w:rPr>
          <w:rFonts w:ascii="Times New Roman" w:hAnsi="Times New Roman" w:eastAsia="Times New Roman" w:cs="Times New Roman"/>
          <w:sz w:val="21"/>
          <w:szCs w:val="21"/>
        </w:rPr>
        <w:t xml:space="preserve"> </w:t>
      </w:r>
      <w:r>
        <w:rPr>
          <w:rFonts w:ascii="SimSun" w:hAnsi="SimSun" w:eastAsia="SimSun" w:cs="SimSun"/>
          <w:sz w:val="21"/>
          <w:szCs w:val="21"/>
        </w:rPr>
        <w:t>亿元, 同比增长</w:t>
      </w:r>
      <w:r>
        <w:rPr>
          <w:rFonts w:ascii="SimSun" w:hAnsi="SimSun" w:eastAsia="SimSun" w:cs="SimSun"/>
          <w:sz w:val="21"/>
          <w:szCs w:val="21"/>
          <w:spacing w:val="-39"/>
        </w:rPr>
        <w:t xml:space="preserve"> </w:t>
      </w:r>
      <w:r>
        <w:rPr>
          <w:rFonts w:ascii="Times New Roman" w:hAnsi="Times New Roman" w:eastAsia="Times New Roman" w:cs="Times New Roman"/>
          <w:sz w:val="21"/>
          <w:szCs w:val="21"/>
        </w:rPr>
        <w:t>8.05%</w:t>
      </w:r>
      <w:r>
        <w:rPr>
          <w:rFonts w:ascii="SimSun" w:hAnsi="SimSun" w:eastAsia="SimSun" w:cs="SimSun"/>
          <w:sz w:val="21"/>
          <w:szCs w:val="21"/>
        </w:rPr>
        <w:t>。公司先后获得全球租赁竞争力论坛"年度最佳金融租赁公司"、中国国际金融</w:t>
      </w:r>
      <w:r>
        <w:rPr>
          <w:rFonts w:ascii="SimSun" w:hAnsi="SimSun" w:eastAsia="SimSun" w:cs="SimSun"/>
          <w:sz w:val="21"/>
          <w:szCs w:val="21"/>
          <w:spacing w:val="-1"/>
        </w:rPr>
        <w:t>论坛</w:t>
      </w:r>
      <w:r>
        <w:rPr>
          <w:rFonts w:ascii="SimSun" w:hAnsi="SimSun" w:eastAsia="SimSun" w:cs="SimSun"/>
          <w:sz w:val="21"/>
          <w:szCs w:val="21"/>
        </w:rPr>
        <w:t xml:space="preserve"> </w:t>
      </w:r>
      <w:r>
        <w:rPr>
          <w:rFonts w:ascii="SimSun" w:hAnsi="SimSun" w:eastAsia="SimSun" w:cs="SimSun"/>
          <w:sz w:val="21"/>
          <w:szCs w:val="21"/>
          <w:spacing w:val="5"/>
        </w:rPr>
        <w:t>"中国融资租赁卓越成就奖"</w:t>
      </w:r>
      <w:r>
        <w:rPr>
          <w:rFonts w:ascii="SimSun" w:hAnsi="SimSun" w:eastAsia="SimSun" w:cs="SimSun"/>
          <w:sz w:val="21"/>
          <w:szCs w:val="21"/>
          <w:spacing w:val="-21"/>
        </w:rPr>
        <w:t xml:space="preserve"> </w:t>
      </w:r>
      <w:r>
        <w:rPr>
          <w:rFonts w:ascii="SimSun" w:hAnsi="SimSun" w:eastAsia="SimSun" w:cs="SimSun"/>
          <w:sz w:val="21"/>
          <w:szCs w:val="21"/>
          <w:spacing w:val="5"/>
        </w:rPr>
        <w:t>等</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5"/>
        </w:rPr>
        <w:t>25 </w:t>
      </w:r>
      <w:r>
        <w:rPr>
          <w:rFonts w:ascii="SimSun" w:hAnsi="SimSun" w:eastAsia="SimSun" w:cs="SimSun"/>
          <w:sz w:val="21"/>
          <w:szCs w:val="21"/>
          <w:spacing w:val="5"/>
        </w:rPr>
        <w:t>项荣誉。</w:t>
      </w:r>
    </w:p>
    <w:p>
      <w:pPr>
        <w:ind w:left="2" w:firstLine="419"/>
        <w:spacing w:before="307" w:line="306" w:lineRule="auto"/>
        <w:tabs>
          <w:tab w:val="left" w:pos="115"/>
        </w:tabs>
        <w:rPr>
          <w:rFonts w:ascii="SimSun" w:hAnsi="SimSun" w:eastAsia="SimSun" w:cs="SimSun"/>
          <w:sz w:val="21"/>
          <w:szCs w:val="21"/>
        </w:rPr>
      </w:pPr>
      <w:r>
        <w:rPr>
          <w:rFonts w:ascii="SimSun" w:hAnsi="SimSun" w:eastAsia="SimSun" w:cs="SimSun"/>
          <w:sz w:val="21"/>
          <w:szCs w:val="21"/>
          <w:spacing w:val="-3"/>
        </w:rPr>
        <w:t>报告期内,</w:t>
      </w:r>
      <w:r>
        <w:rPr>
          <w:rFonts w:ascii="SimSun" w:hAnsi="SimSun" w:eastAsia="SimSun" w:cs="SimSun"/>
          <w:sz w:val="21"/>
          <w:szCs w:val="21"/>
          <w:spacing w:val="-39"/>
        </w:rPr>
        <w:t xml:space="preserve"> </w:t>
      </w:r>
      <w:r>
        <w:rPr>
          <w:rFonts w:ascii="SimSun" w:hAnsi="SimSun" w:eastAsia="SimSun" w:cs="SimSun"/>
          <w:sz w:val="21"/>
          <w:szCs w:val="21"/>
          <w:spacing w:val="-3"/>
        </w:rPr>
        <w:t>公司提升精准服务国家重点区域战略能力。报告期末</w:t>
      </w:r>
      <w:r>
        <w:rPr>
          <w:rFonts w:ascii="SimSun" w:hAnsi="SimSun" w:eastAsia="SimSun" w:cs="SimSun"/>
          <w:sz w:val="21"/>
          <w:szCs w:val="21"/>
          <w:spacing w:val="-4"/>
        </w:rPr>
        <w:t>,</w:t>
      </w:r>
      <w:r>
        <w:rPr>
          <w:rFonts w:ascii="SimSun" w:hAnsi="SimSun" w:eastAsia="SimSun" w:cs="SimSun"/>
          <w:sz w:val="21"/>
          <w:szCs w:val="21"/>
          <w:spacing w:val="-40"/>
        </w:rPr>
        <w:t xml:space="preserve"> </w:t>
      </w:r>
      <w:r>
        <w:rPr>
          <w:rFonts w:ascii="SimSun" w:hAnsi="SimSun" w:eastAsia="SimSun" w:cs="SimSun"/>
          <w:sz w:val="21"/>
          <w:szCs w:val="21"/>
          <w:spacing w:val="-4"/>
        </w:rPr>
        <w:t>公司长三角区域租赁资产余额</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4"/>
        </w:rPr>
        <w:t>374.65</w:t>
      </w:r>
      <w:r>
        <w:rPr>
          <w:rFonts w:ascii="Times New Roman" w:hAnsi="Times New Roman" w:eastAsia="Times New Roman" w:cs="Times New Roman"/>
          <w:sz w:val="21"/>
          <w:szCs w:val="21"/>
        </w:rPr>
        <w:t xml:space="preserve"> </w:t>
      </w:r>
      <w:r>
        <w:rPr>
          <w:rFonts w:ascii="SimSun" w:hAnsi="SimSun" w:eastAsia="SimSun" w:cs="SimSun"/>
          <w:sz w:val="21"/>
          <w:szCs w:val="21"/>
        </w:rPr>
        <w:t>亿元,较上年末增长</w:t>
      </w:r>
      <w:r>
        <w:rPr>
          <w:rFonts w:ascii="SimSun" w:hAnsi="SimSun" w:eastAsia="SimSun" w:cs="SimSun"/>
          <w:sz w:val="21"/>
          <w:szCs w:val="21"/>
          <w:spacing w:val="-28"/>
        </w:rPr>
        <w:t xml:space="preserve"> </w:t>
      </w:r>
      <w:r>
        <w:rPr>
          <w:rFonts w:ascii="Times New Roman" w:hAnsi="Times New Roman" w:eastAsia="Times New Roman" w:cs="Times New Roman"/>
          <w:sz w:val="21"/>
          <w:szCs w:val="21"/>
        </w:rPr>
        <w:t>18.94%</w:t>
      </w:r>
      <w:r>
        <w:rPr>
          <w:rFonts w:ascii="SimSun" w:hAnsi="SimSun" w:eastAsia="SimSun" w:cs="SimSun"/>
          <w:sz w:val="21"/>
          <w:szCs w:val="21"/>
        </w:rPr>
        <w:t>,</w:t>
      </w:r>
      <w:r>
        <w:rPr>
          <w:rFonts w:ascii="SimSun" w:hAnsi="SimSun" w:eastAsia="SimSun" w:cs="SimSun"/>
          <w:sz w:val="21"/>
          <w:szCs w:val="21"/>
          <w:spacing w:val="30"/>
        </w:rPr>
        <w:t xml:space="preserve"> </w:t>
      </w:r>
      <w:r>
        <w:rPr>
          <w:rFonts w:ascii="SimSun" w:hAnsi="SimSun" w:eastAsia="SimSun" w:cs="SimSun"/>
          <w:sz w:val="21"/>
          <w:szCs w:val="21"/>
        </w:rPr>
        <w:t>其中上海</w:t>
      </w:r>
      <w:r>
        <w:rPr>
          <w:rFonts w:ascii="SimSun" w:hAnsi="SimSun" w:eastAsia="SimSun" w:cs="SimSun"/>
          <w:sz w:val="21"/>
          <w:szCs w:val="21"/>
          <w:spacing w:val="-1"/>
        </w:rPr>
        <w:t>地区租赁资产余额</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1"/>
        </w:rPr>
        <w:t>252.45 </w:t>
      </w:r>
      <w:r>
        <w:rPr>
          <w:rFonts w:ascii="SimSun" w:hAnsi="SimSun" w:eastAsia="SimSun" w:cs="SimSun"/>
          <w:sz w:val="21"/>
          <w:szCs w:val="21"/>
          <w:spacing w:val="-1"/>
        </w:rPr>
        <w:t>亿元,</w:t>
      </w:r>
      <w:r>
        <w:rPr>
          <w:rFonts w:ascii="SimSun" w:hAnsi="SimSun" w:eastAsia="SimSun" w:cs="SimSun"/>
          <w:sz w:val="21"/>
          <w:szCs w:val="21"/>
          <w:spacing w:val="29"/>
        </w:rPr>
        <w:t xml:space="preserve"> </w:t>
      </w:r>
      <w:r>
        <w:rPr>
          <w:rFonts w:ascii="SimSun" w:hAnsi="SimSun" w:eastAsia="SimSun" w:cs="SimSun"/>
          <w:sz w:val="21"/>
          <w:szCs w:val="21"/>
          <w:spacing w:val="-1"/>
        </w:rPr>
        <w:t>较上年末增长</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1"/>
        </w:rPr>
        <w:t>31.71%</w:t>
      </w:r>
      <w:r>
        <w:rPr>
          <w:rFonts w:ascii="SimSun" w:hAnsi="SimSun" w:eastAsia="SimSun" w:cs="SimSun"/>
          <w:sz w:val="21"/>
          <w:szCs w:val="21"/>
          <w:spacing w:val="-1"/>
        </w:rPr>
        <w:t>,</w:t>
      </w:r>
      <w:r>
        <w:rPr>
          <w:rFonts w:ascii="SimSun" w:hAnsi="SimSun" w:eastAsia="SimSun" w:cs="SimSun"/>
          <w:sz w:val="21"/>
          <w:szCs w:val="21"/>
          <w:spacing w:val="34"/>
        </w:rPr>
        <w:t xml:space="preserve"> </w:t>
      </w:r>
      <w:r>
        <w:rPr>
          <w:rFonts w:ascii="SimSun" w:hAnsi="SimSun" w:eastAsia="SimSun" w:cs="SimSun"/>
          <w:sz w:val="21"/>
          <w:szCs w:val="21"/>
          <w:spacing w:val="-1"/>
        </w:rPr>
        <w:t>并在临港</w:t>
      </w:r>
      <w:r>
        <w:rPr>
          <w:rFonts w:ascii="SimSun" w:hAnsi="SimSun" w:eastAsia="SimSun" w:cs="SimSun"/>
          <w:sz w:val="21"/>
          <w:szCs w:val="21"/>
        </w:rPr>
        <w:t xml:space="preserve"> </w:t>
      </w:r>
      <w:r>
        <w:rPr>
          <w:rFonts w:ascii="SimSun" w:hAnsi="SimSun" w:eastAsia="SimSun" w:cs="SimSun"/>
          <w:sz w:val="21"/>
          <w:szCs w:val="21"/>
          <w:spacing w:val="2"/>
        </w:rPr>
        <w:t>新片区落地首个飞机租赁项目。公司充分发挥创新引领作用, 成立新基建</w:t>
      </w:r>
      <w:r>
        <w:rPr>
          <w:rFonts w:ascii="SimSun" w:hAnsi="SimSun" w:eastAsia="SimSun" w:cs="SimSun"/>
          <w:sz w:val="21"/>
          <w:szCs w:val="21"/>
          <w:spacing w:val="1"/>
        </w:rPr>
        <w:t>(新能源) 租赁业务中心、普惠</w:t>
      </w:r>
      <w:r>
        <w:rPr>
          <w:rFonts w:ascii="SimSun" w:hAnsi="SimSun" w:eastAsia="SimSun" w:cs="SimSun"/>
          <w:sz w:val="21"/>
          <w:szCs w:val="21"/>
        </w:rPr>
        <w:t xml:space="preserve"> </w:t>
      </w:r>
      <w:r>
        <w:rPr>
          <w:rFonts w:ascii="SimSun" w:hAnsi="SimSun" w:eastAsia="SimSun" w:cs="SimSun"/>
          <w:sz w:val="21"/>
          <w:szCs w:val="21"/>
        </w:rPr>
        <w:tab/>
      </w:r>
      <w:r>
        <w:rPr>
          <w:rFonts w:ascii="SimSun" w:hAnsi="SimSun" w:eastAsia="SimSun" w:cs="SimSun"/>
          <w:sz w:val="21"/>
          <w:szCs w:val="21"/>
          <w:spacing w:val="-5"/>
        </w:rPr>
        <w:t>(科技)租赁业务中心工作专班。报告期内,</w:t>
      </w:r>
      <w:r>
        <w:rPr>
          <w:rFonts w:ascii="SimSun" w:hAnsi="SimSun" w:eastAsia="SimSun" w:cs="SimSun"/>
          <w:sz w:val="21"/>
          <w:szCs w:val="21"/>
          <w:spacing w:val="-45"/>
        </w:rPr>
        <w:t xml:space="preserve"> </w:t>
      </w:r>
      <w:r>
        <w:rPr>
          <w:rFonts w:ascii="SimSun" w:hAnsi="SimSun" w:eastAsia="SimSun" w:cs="SimSun"/>
          <w:sz w:val="21"/>
          <w:szCs w:val="21"/>
          <w:spacing w:val="-5"/>
        </w:rPr>
        <w:t>实现新基建、新能源项</w:t>
      </w:r>
      <w:r>
        <w:rPr>
          <w:rFonts w:ascii="SimSun" w:hAnsi="SimSun" w:eastAsia="SimSun" w:cs="SimSun"/>
          <w:sz w:val="21"/>
          <w:szCs w:val="21"/>
          <w:spacing w:val="-6"/>
        </w:rPr>
        <w:t>目投放</w:t>
      </w:r>
      <w:r>
        <w:rPr>
          <w:rFonts w:ascii="SimSun" w:hAnsi="SimSun" w:eastAsia="SimSun" w:cs="SimSun"/>
          <w:sz w:val="21"/>
          <w:szCs w:val="21"/>
          <w:spacing w:val="-30"/>
        </w:rPr>
        <w:t xml:space="preserve"> </w:t>
      </w:r>
      <w:r>
        <w:rPr>
          <w:rFonts w:ascii="Times New Roman" w:hAnsi="Times New Roman" w:eastAsia="Times New Roman" w:cs="Times New Roman"/>
          <w:sz w:val="21"/>
          <w:szCs w:val="21"/>
          <w:spacing w:val="-6"/>
        </w:rPr>
        <w:t>168.31  </w:t>
      </w:r>
      <w:r>
        <w:rPr>
          <w:rFonts w:ascii="SimSun" w:hAnsi="SimSun" w:eastAsia="SimSun" w:cs="SimSun"/>
          <w:sz w:val="21"/>
          <w:szCs w:val="21"/>
          <w:spacing w:val="-6"/>
        </w:rPr>
        <w:t>亿元,</w:t>
      </w:r>
      <w:r>
        <w:rPr>
          <w:rFonts w:ascii="SimSun" w:hAnsi="SimSun" w:eastAsia="SimSun" w:cs="SimSun"/>
          <w:sz w:val="21"/>
          <w:szCs w:val="21"/>
          <w:spacing w:val="-30"/>
        </w:rPr>
        <w:t xml:space="preserve"> </w:t>
      </w:r>
      <w:r>
        <w:rPr>
          <w:rFonts w:ascii="SimSun" w:hAnsi="SimSun" w:eastAsia="SimSun" w:cs="SimSun"/>
          <w:sz w:val="21"/>
          <w:szCs w:val="21"/>
          <w:spacing w:val="-6"/>
        </w:rPr>
        <w:t>同比增长</w:t>
      </w:r>
      <w:r>
        <w:rPr>
          <w:rFonts w:ascii="SimSun" w:hAnsi="SimSun" w:eastAsia="SimSun" w:cs="SimSun"/>
          <w:sz w:val="21"/>
          <w:szCs w:val="21"/>
          <w:spacing w:val="-39"/>
        </w:rPr>
        <w:t xml:space="preserve"> </w:t>
      </w:r>
      <w:r>
        <w:rPr>
          <w:rFonts w:ascii="Times New Roman" w:hAnsi="Times New Roman" w:eastAsia="Times New Roman" w:cs="Times New Roman"/>
          <w:sz w:val="21"/>
          <w:szCs w:val="21"/>
          <w:spacing w:val="-6"/>
        </w:rPr>
        <w:t>86.45%</w:t>
      </w:r>
      <w:r>
        <w:rPr>
          <w:rFonts w:ascii="Times New Roman" w:hAnsi="Times New Roman" w:eastAsia="Times New Roman" w:cs="Times New Roman"/>
          <w:sz w:val="21"/>
          <w:szCs w:val="21"/>
          <w:spacing w:val="-24"/>
        </w:rPr>
        <w:t xml:space="preserve"> </w:t>
      </w:r>
      <w:r>
        <w:rPr>
          <w:rFonts w:ascii="SimSun" w:hAnsi="SimSun" w:eastAsia="SimSun" w:cs="SimSun"/>
          <w:sz w:val="21"/>
          <w:szCs w:val="21"/>
          <w:spacing w:val="-6"/>
        </w:rPr>
        <w:t>。</w:t>
      </w:r>
      <w:r>
        <w:rPr>
          <w:rFonts w:ascii="SimSun" w:hAnsi="SimSun" w:eastAsia="SimSun" w:cs="SimSun"/>
          <w:sz w:val="21"/>
          <w:szCs w:val="21"/>
        </w:rPr>
        <w:t xml:space="preserve"> </w:t>
      </w:r>
      <w:r>
        <w:rPr>
          <w:rFonts w:ascii="SimSun" w:hAnsi="SimSun" w:eastAsia="SimSun" w:cs="SimSun"/>
          <w:sz w:val="21"/>
          <w:szCs w:val="21"/>
        </w:rPr>
        <w:t>扎实服务"制造强国"</w:t>
      </w:r>
      <w:r>
        <w:rPr>
          <w:rFonts w:ascii="SimSun" w:hAnsi="SimSun" w:eastAsia="SimSun" w:cs="SimSun"/>
          <w:sz w:val="21"/>
          <w:szCs w:val="21"/>
          <w:spacing w:val="-21"/>
        </w:rPr>
        <w:t xml:space="preserve"> </w:t>
      </w:r>
      <w:r>
        <w:rPr>
          <w:rFonts w:ascii="SimSun" w:hAnsi="SimSun" w:eastAsia="SimSun" w:cs="SimSun"/>
          <w:sz w:val="21"/>
          <w:szCs w:val="21"/>
        </w:rPr>
        <w:t>战略,</w:t>
      </w:r>
      <w:r>
        <w:rPr>
          <w:rFonts w:ascii="SimSun" w:hAnsi="SimSun" w:eastAsia="SimSun" w:cs="SimSun"/>
          <w:sz w:val="21"/>
          <w:szCs w:val="21"/>
          <w:spacing w:val="27"/>
        </w:rPr>
        <w:t xml:space="preserve"> </w:t>
      </w:r>
      <w:r>
        <w:rPr>
          <w:rFonts w:ascii="SimSun" w:hAnsi="SimSun" w:eastAsia="SimSun" w:cs="SimSun"/>
          <w:sz w:val="21"/>
          <w:szCs w:val="21"/>
        </w:rPr>
        <w:t>实现制造业投放</w:t>
      </w:r>
      <w:r>
        <w:rPr>
          <w:rFonts w:ascii="SimSun" w:hAnsi="SimSun" w:eastAsia="SimSun" w:cs="SimSun"/>
          <w:sz w:val="21"/>
          <w:szCs w:val="21"/>
          <w:spacing w:val="-44"/>
        </w:rPr>
        <w:t xml:space="preserve"> </w:t>
      </w:r>
      <w:r>
        <w:rPr>
          <w:rFonts w:ascii="Times New Roman" w:hAnsi="Times New Roman" w:eastAsia="Times New Roman" w:cs="Times New Roman"/>
          <w:sz w:val="21"/>
          <w:szCs w:val="21"/>
        </w:rPr>
        <w:t>92.12 </w:t>
      </w:r>
      <w:r>
        <w:rPr>
          <w:rFonts w:ascii="SimSun" w:hAnsi="SimSun" w:eastAsia="SimSun" w:cs="SimSun"/>
          <w:sz w:val="21"/>
          <w:szCs w:val="21"/>
        </w:rPr>
        <w:t>亿元,</w:t>
      </w:r>
      <w:r>
        <w:rPr>
          <w:rFonts w:ascii="SimSun" w:hAnsi="SimSun" w:eastAsia="SimSun" w:cs="SimSun"/>
          <w:sz w:val="21"/>
          <w:szCs w:val="21"/>
          <w:spacing w:val="43"/>
        </w:rPr>
        <w:t xml:space="preserve"> </w:t>
      </w:r>
      <w:r>
        <w:rPr>
          <w:rFonts w:ascii="SimSun" w:hAnsi="SimSun" w:eastAsia="SimSun" w:cs="SimSun"/>
          <w:sz w:val="21"/>
          <w:szCs w:val="21"/>
        </w:rPr>
        <w:t>同比增长</w:t>
      </w:r>
      <w:r>
        <w:rPr>
          <w:rFonts w:ascii="SimSun" w:hAnsi="SimSun" w:eastAsia="SimSun" w:cs="SimSun"/>
          <w:sz w:val="21"/>
          <w:szCs w:val="21"/>
          <w:spacing w:val="-40"/>
        </w:rPr>
        <w:t xml:space="preserve"> </w:t>
      </w:r>
      <w:r>
        <w:rPr>
          <w:rFonts w:ascii="Times New Roman" w:hAnsi="Times New Roman" w:eastAsia="Times New Roman" w:cs="Times New Roman"/>
          <w:sz w:val="21"/>
          <w:szCs w:val="21"/>
        </w:rPr>
        <w:t>89.24%</w:t>
      </w:r>
      <w:r>
        <w:rPr>
          <w:rFonts w:ascii="SimSun" w:hAnsi="SimSun" w:eastAsia="SimSun" w:cs="SimSun"/>
          <w:sz w:val="21"/>
          <w:szCs w:val="21"/>
        </w:rPr>
        <w:t>。深度服</w:t>
      </w:r>
      <w:r>
        <w:rPr>
          <w:rFonts w:ascii="SimSun" w:hAnsi="SimSun" w:eastAsia="SimSun" w:cs="SimSun"/>
          <w:sz w:val="21"/>
          <w:szCs w:val="21"/>
          <w:spacing w:val="-1"/>
        </w:rPr>
        <w:t>务民族高端制造和产</w:t>
      </w:r>
      <w:r>
        <w:rPr>
          <w:rFonts w:ascii="SimSun" w:hAnsi="SimSun" w:eastAsia="SimSun" w:cs="SimSun"/>
          <w:sz w:val="21"/>
          <w:szCs w:val="21"/>
        </w:rPr>
        <w:t xml:space="preserve"> </w:t>
      </w:r>
      <w:r>
        <w:rPr>
          <w:rFonts w:ascii="SimSun" w:hAnsi="SimSun" w:eastAsia="SimSun" w:cs="SimSun"/>
          <w:sz w:val="21"/>
          <w:szCs w:val="21"/>
          <w:spacing w:val="-2"/>
        </w:rPr>
        <w:t>业链供应链发展, 报告期内, 在国内船厂下单</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2"/>
        </w:rPr>
        <w:t>53 </w:t>
      </w:r>
      <w:r>
        <w:rPr>
          <w:rFonts w:ascii="SimSun" w:hAnsi="SimSun" w:eastAsia="SimSun" w:cs="SimSun"/>
          <w:sz w:val="21"/>
          <w:szCs w:val="21"/>
          <w:spacing w:val="-2"/>
        </w:rPr>
        <w:t>艘船舶, 订单总额</w:t>
      </w:r>
      <w:r>
        <w:rPr>
          <w:rFonts w:ascii="SimSun" w:hAnsi="SimSun" w:eastAsia="SimSun" w:cs="SimSun"/>
          <w:sz w:val="21"/>
          <w:szCs w:val="21"/>
          <w:spacing w:val="-30"/>
        </w:rPr>
        <w:t xml:space="preserve"> </w:t>
      </w:r>
      <w:r>
        <w:rPr>
          <w:rFonts w:ascii="Times New Roman" w:hAnsi="Times New Roman" w:eastAsia="Times New Roman" w:cs="Times New Roman"/>
          <w:sz w:val="21"/>
          <w:szCs w:val="21"/>
          <w:spacing w:val="-2"/>
        </w:rPr>
        <w:t>126.8</w:t>
      </w:r>
      <w:r>
        <w:rPr>
          <w:rFonts w:ascii="Times New Roman" w:hAnsi="Times New Roman" w:eastAsia="Times New Roman" w:cs="Times New Roman"/>
          <w:sz w:val="21"/>
          <w:szCs w:val="21"/>
          <w:spacing w:val="9"/>
        </w:rPr>
        <w:t xml:space="preserve"> </w:t>
      </w:r>
      <w:r>
        <w:rPr>
          <w:rFonts w:ascii="SimSun" w:hAnsi="SimSun" w:eastAsia="SimSun" w:cs="SimSun"/>
          <w:sz w:val="21"/>
          <w:szCs w:val="21"/>
          <w:spacing w:val="-2"/>
        </w:rPr>
        <w:t>亿元, </w:t>
      </w:r>
      <w:r>
        <w:rPr>
          <w:rFonts w:ascii="SimSun" w:hAnsi="SimSun" w:eastAsia="SimSun" w:cs="SimSun"/>
          <w:sz w:val="21"/>
          <w:szCs w:val="21"/>
          <w:spacing w:val="-3"/>
        </w:rPr>
        <w:t>支持全球载重吨位最大的</w:t>
      </w:r>
      <w:r>
        <w:rPr>
          <w:rFonts w:ascii="SimSun" w:hAnsi="SimSun" w:eastAsia="SimSun" w:cs="SimSun"/>
          <w:sz w:val="21"/>
          <w:szCs w:val="21"/>
        </w:rPr>
        <w:t xml:space="preserve"> </w:t>
      </w:r>
      <w:r>
        <w:rPr>
          <w:rFonts w:ascii="SimSun" w:hAnsi="SimSun" w:eastAsia="SimSun" w:cs="SimSun"/>
          <w:sz w:val="21"/>
          <w:szCs w:val="21"/>
          <w:spacing w:val="-3"/>
        </w:rPr>
        <w:t>多用途重吊船、国内首艘</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3"/>
        </w:rPr>
        <w:t>LNG </w:t>
      </w:r>
      <w:r>
        <w:rPr>
          <w:rFonts w:ascii="SimSun" w:hAnsi="SimSun" w:eastAsia="SimSun" w:cs="SimSun"/>
          <w:sz w:val="21"/>
          <w:szCs w:val="21"/>
          <w:spacing w:val="-3"/>
        </w:rPr>
        <w:t>双燃料动力的阿芙拉型油船等多个重点船舶融资项目; 与中国商飞签署《</w:t>
      </w:r>
      <w:r>
        <w:rPr>
          <w:rFonts w:ascii="Times New Roman" w:hAnsi="Times New Roman" w:eastAsia="Times New Roman" w:cs="Times New Roman"/>
          <w:sz w:val="21"/>
          <w:szCs w:val="21"/>
          <w:spacing w:val="-3"/>
        </w:rPr>
        <w:t>50</w:t>
      </w:r>
      <w:r>
        <w:rPr>
          <w:rFonts w:ascii="Times New Roman" w:hAnsi="Times New Roman" w:eastAsia="Times New Roman" w:cs="Times New Roman"/>
          <w:sz w:val="21"/>
          <w:szCs w:val="21"/>
        </w:rPr>
        <w:t xml:space="preserve"> </w:t>
      </w:r>
      <w:r>
        <w:rPr>
          <w:rFonts w:ascii="SimSun" w:hAnsi="SimSun" w:eastAsia="SimSun" w:cs="SimSun"/>
          <w:sz w:val="21"/>
          <w:szCs w:val="21"/>
          <w:spacing w:val="-1"/>
        </w:rPr>
        <w:t>架</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1"/>
        </w:rPr>
        <w:t>C919 </w:t>
      </w:r>
      <w:r>
        <w:rPr>
          <w:rFonts w:ascii="SimSun" w:hAnsi="SimSun" w:eastAsia="SimSun" w:cs="SimSun"/>
          <w:sz w:val="21"/>
          <w:szCs w:val="21"/>
          <w:spacing w:val="-1"/>
        </w:rPr>
        <w:t>和</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1"/>
        </w:rPr>
        <w:t>10 </w:t>
      </w:r>
      <w:r>
        <w:rPr>
          <w:rFonts w:ascii="SimSun" w:hAnsi="SimSun" w:eastAsia="SimSun" w:cs="SimSun"/>
          <w:sz w:val="21"/>
          <w:szCs w:val="21"/>
          <w:spacing w:val="-1"/>
        </w:rPr>
        <w:t>架</w:t>
      </w:r>
      <w:r>
        <w:rPr>
          <w:rFonts w:ascii="SimSun" w:hAnsi="SimSun" w:eastAsia="SimSun" w:cs="SimSun"/>
          <w:sz w:val="21"/>
          <w:szCs w:val="21"/>
          <w:spacing w:val="-53"/>
        </w:rPr>
        <w:t xml:space="preserve"> </w:t>
      </w:r>
      <w:r>
        <w:rPr>
          <w:rFonts w:ascii="Times New Roman" w:hAnsi="Times New Roman" w:eastAsia="Times New Roman" w:cs="Times New Roman"/>
          <w:sz w:val="21"/>
          <w:szCs w:val="21"/>
          <w:spacing w:val="-1"/>
        </w:rPr>
        <w:t>ARJ21</w:t>
      </w:r>
      <w:r>
        <w:rPr>
          <w:rFonts w:ascii="Times New Roman" w:hAnsi="Times New Roman" w:eastAsia="Times New Roman" w:cs="Times New Roman"/>
          <w:sz w:val="21"/>
          <w:szCs w:val="21"/>
          <w:spacing w:val="15"/>
        </w:rPr>
        <w:t xml:space="preserve"> </w:t>
      </w:r>
      <w:r>
        <w:rPr>
          <w:rFonts w:ascii="SimSun" w:hAnsi="SimSun" w:eastAsia="SimSun" w:cs="SimSun"/>
          <w:sz w:val="21"/>
          <w:szCs w:val="21"/>
          <w:spacing w:val="-1"/>
        </w:rPr>
        <w:t>飞机购买意向书》。积极践行"绿色金融"</w:t>
      </w:r>
      <w:r>
        <w:rPr>
          <w:rFonts w:ascii="SimSun" w:hAnsi="SimSun" w:eastAsia="SimSun" w:cs="SimSun"/>
          <w:sz w:val="21"/>
          <w:szCs w:val="21"/>
          <w:spacing w:val="-26"/>
        </w:rPr>
        <w:t xml:space="preserve"> </w:t>
      </w:r>
      <w:r>
        <w:rPr>
          <w:rFonts w:ascii="SimSun" w:hAnsi="SimSun" w:eastAsia="SimSun" w:cs="SimSun"/>
          <w:sz w:val="21"/>
          <w:szCs w:val="21"/>
          <w:spacing w:val="-1"/>
        </w:rPr>
        <w:t>发展理念</w:t>
      </w:r>
      <w:r>
        <w:rPr>
          <w:rFonts w:ascii="SimSun" w:hAnsi="SimSun" w:eastAsia="SimSun" w:cs="SimSun"/>
          <w:sz w:val="21"/>
          <w:szCs w:val="21"/>
          <w:spacing w:val="-2"/>
        </w:rPr>
        <w:t>,</w:t>
      </w:r>
      <w:r>
        <w:rPr>
          <w:rFonts w:ascii="SimSun" w:hAnsi="SimSun" w:eastAsia="SimSun" w:cs="SimSun"/>
          <w:sz w:val="21"/>
          <w:szCs w:val="21"/>
          <w:spacing w:val="28"/>
        </w:rPr>
        <w:t xml:space="preserve"> </w:t>
      </w:r>
      <w:r>
        <w:rPr>
          <w:rFonts w:ascii="SimSun" w:hAnsi="SimSun" w:eastAsia="SimSun" w:cs="SimSun"/>
          <w:sz w:val="21"/>
          <w:szCs w:val="21"/>
          <w:spacing w:val="-2"/>
        </w:rPr>
        <w:t>人民银行绿色贷款专项统计</w:t>
      </w:r>
      <w:r>
        <w:rPr>
          <w:rFonts w:ascii="SimSun" w:hAnsi="SimSun" w:eastAsia="SimSun" w:cs="SimSun"/>
          <w:sz w:val="21"/>
          <w:szCs w:val="21"/>
        </w:rPr>
        <w:t xml:space="preserve"> </w:t>
      </w:r>
      <w:r>
        <w:rPr>
          <w:rFonts w:ascii="SimSun" w:hAnsi="SimSun" w:eastAsia="SimSun" w:cs="SimSun"/>
          <w:sz w:val="21"/>
          <w:szCs w:val="21"/>
          <w:spacing w:val="-3"/>
        </w:rPr>
        <w:t>口径下绿色融资租赁资产超过</w:t>
      </w:r>
      <w:r>
        <w:rPr>
          <w:rFonts w:ascii="Times New Roman" w:hAnsi="Times New Roman" w:eastAsia="Times New Roman" w:cs="Times New Roman"/>
          <w:sz w:val="21"/>
          <w:szCs w:val="21"/>
          <w:spacing w:val="-3"/>
        </w:rPr>
        <w:t>700</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3"/>
        </w:rPr>
        <w:t>亿元,成功发行全国首单金融机构、首单</w:t>
      </w:r>
      <w:r>
        <w:rPr>
          <w:rFonts w:ascii="Times New Roman" w:hAnsi="Times New Roman" w:eastAsia="Times New Roman" w:cs="Times New Roman"/>
          <w:sz w:val="21"/>
          <w:szCs w:val="21"/>
          <w:spacing w:val="-3"/>
        </w:rPr>
        <w:t>ESG</w:t>
      </w:r>
      <w:r>
        <w:rPr>
          <w:rFonts w:ascii="Times New Roman" w:hAnsi="Times New Roman" w:eastAsia="Times New Roman" w:cs="Times New Roman"/>
          <w:sz w:val="21"/>
          <w:szCs w:val="21"/>
          <w:spacing w:val="16"/>
        </w:rPr>
        <w:t xml:space="preserve"> </w:t>
      </w:r>
      <w:r>
        <w:rPr>
          <w:rFonts w:ascii="SimSun" w:hAnsi="SimSun" w:eastAsia="SimSun" w:cs="SimSun"/>
          <w:sz w:val="21"/>
          <w:szCs w:val="21"/>
          <w:spacing w:val="-3"/>
        </w:rPr>
        <w:t>自贸区离岸债券(明珠债)。</w:t>
      </w:r>
    </w:p>
    <w:p>
      <w:pPr>
        <w:ind w:left="2" w:firstLine="428"/>
        <w:spacing w:before="308" w:line="305" w:lineRule="auto"/>
        <w:rPr>
          <w:rFonts w:ascii="SimSun" w:hAnsi="SimSun" w:eastAsia="SimSun" w:cs="SimSun"/>
          <w:sz w:val="21"/>
          <w:szCs w:val="21"/>
        </w:rPr>
      </w:pPr>
      <w:r>
        <w:rPr>
          <w:rFonts w:ascii="SimSun" w:hAnsi="SimSun" w:eastAsia="SimSun" w:cs="SimSun"/>
          <w:sz w:val="21"/>
          <w:szCs w:val="21"/>
          <w:b/>
          <w:bCs/>
          <w:spacing w:val="-2"/>
        </w:rPr>
        <w:t>交银国际信托有限公司</w:t>
      </w:r>
      <w:r>
        <w:rPr>
          <w:rFonts w:ascii="SimSun" w:hAnsi="SimSun" w:eastAsia="SimSun" w:cs="SimSun"/>
          <w:sz w:val="21"/>
          <w:szCs w:val="21"/>
          <w:spacing w:val="-2"/>
        </w:rPr>
        <w:t xml:space="preserve">  </w:t>
      </w:r>
      <w:r>
        <w:rPr>
          <w:rFonts w:ascii="Times New Roman" w:hAnsi="Times New Roman" w:eastAsia="Times New Roman" w:cs="Times New Roman"/>
          <w:sz w:val="21"/>
          <w:szCs w:val="21"/>
          <w:spacing w:val="-2"/>
        </w:rPr>
        <w:t>2007</w:t>
      </w:r>
      <w:r>
        <w:rPr>
          <w:rFonts w:ascii="SimSun" w:hAnsi="SimSun" w:eastAsia="SimSun" w:cs="SimSun"/>
          <w:sz w:val="21"/>
          <w:szCs w:val="21"/>
          <w:spacing w:val="-2"/>
        </w:rPr>
        <w:t>年</w:t>
      </w:r>
      <w:r>
        <w:rPr>
          <w:rFonts w:ascii="Times New Roman" w:hAnsi="Times New Roman" w:eastAsia="Times New Roman" w:cs="Times New Roman"/>
          <w:sz w:val="21"/>
          <w:szCs w:val="21"/>
          <w:spacing w:val="-2"/>
        </w:rPr>
        <w:t>10</w:t>
      </w:r>
      <w:r>
        <w:rPr>
          <w:rFonts w:ascii="SimSun" w:hAnsi="SimSun" w:eastAsia="SimSun" w:cs="SimSun"/>
          <w:sz w:val="21"/>
          <w:szCs w:val="21"/>
          <w:spacing w:val="-2"/>
        </w:rPr>
        <w:t>月开业, 注册资本</w:t>
      </w:r>
      <w:r>
        <w:rPr>
          <w:rFonts w:ascii="Times New Roman" w:hAnsi="Times New Roman" w:eastAsia="Times New Roman" w:cs="Times New Roman"/>
          <w:sz w:val="21"/>
          <w:szCs w:val="21"/>
          <w:spacing w:val="-2"/>
        </w:rPr>
        <w:t>57.65</w:t>
      </w:r>
      <w:r>
        <w:rPr>
          <w:rFonts w:ascii="SimSun" w:hAnsi="SimSun" w:eastAsia="SimSun" w:cs="SimSun"/>
          <w:sz w:val="21"/>
          <w:szCs w:val="21"/>
          <w:spacing w:val="-2"/>
        </w:rPr>
        <w:t>亿元, 本行和湖北交通投资集团有限公司分</w:t>
      </w:r>
      <w:r>
        <w:rPr>
          <w:rFonts w:ascii="SimSun" w:hAnsi="SimSun" w:eastAsia="SimSun" w:cs="SimSun"/>
          <w:sz w:val="21"/>
          <w:szCs w:val="21"/>
        </w:rPr>
        <w:t xml:space="preserve"> </w:t>
      </w:r>
      <w:r>
        <w:rPr>
          <w:rFonts w:ascii="SimSun" w:hAnsi="SimSun" w:eastAsia="SimSun" w:cs="SimSun"/>
          <w:sz w:val="21"/>
          <w:szCs w:val="21"/>
          <w:spacing w:val="3"/>
        </w:rPr>
        <w:t>别持有</w:t>
      </w:r>
      <w:r>
        <w:rPr>
          <w:rFonts w:ascii="Times New Roman" w:hAnsi="Times New Roman" w:eastAsia="Times New Roman" w:cs="Times New Roman"/>
          <w:sz w:val="21"/>
          <w:szCs w:val="21"/>
          <w:spacing w:val="3"/>
        </w:rPr>
        <w:t>85%</w:t>
      </w:r>
      <w:r>
        <w:rPr>
          <w:rFonts w:ascii="SimSun" w:hAnsi="SimSun" w:eastAsia="SimSun" w:cs="SimSun"/>
          <w:sz w:val="21"/>
          <w:szCs w:val="21"/>
          <w:spacing w:val="3"/>
        </w:rPr>
        <w:t>和</w:t>
      </w:r>
      <w:r>
        <w:rPr>
          <w:rFonts w:ascii="Times New Roman" w:hAnsi="Times New Roman" w:eastAsia="Times New Roman" w:cs="Times New Roman"/>
          <w:sz w:val="21"/>
          <w:szCs w:val="21"/>
          <w:spacing w:val="3"/>
        </w:rPr>
        <w:t>15%</w:t>
      </w:r>
      <w:r>
        <w:rPr>
          <w:rFonts w:ascii="SimSun" w:hAnsi="SimSun" w:eastAsia="SimSun" w:cs="SimSun"/>
          <w:sz w:val="21"/>
          <w:szCs w:val="21"/>
          <w:spacing w:val="3"/>
        </w:rPr>
        <w:t>的股权,主要经营信托贷款、股权投资信托、证券投资信托、信贷资产证券化、企业资</w:t>
      </w:r>
      <w:r>
        <w:rPr>
          <w:rFonts w:ascii="SimSun" w:hAnsi="SimSun" w:eastAsia="SimSun" w:cs="SimSun"/>
          <w:sz w:val="21"/>
          <w:szCs w:val="21"/>
          <w:spacing w:val="8"/>
        </w:rPr>
        <w:t xml:space="preserve"> </w:t>
      </w:r>
      <w:r>
        <w:rPr>
          <w:rFonts w:ascii="SimSun" w:hAnsi="SimSun" w:eastAsia="SimSun" w:cs="SimSun"/>
          <w:sz w:val="21"/>
          <w:szCs w:val="21"/>
          <w:spacing w:val="-2"/>
        </w:rPr>
        <w:t>产证券化、受托境外理财</w:t>
      </w:r>
      <w:r>
        <w:rPr>
          <w:rFonts w:ascii="Times New Roman" w:hAnsi="Times New Roman" w:eastAsia="Times New Roman" w:cs="Times New Roman"/>
          <w:sz w:val="21"/>
          <w:szCs w:val="21"/>
          <w:spacing w:val="-2"/>
        </w:rPr>
        <w:t>(QDII)</w:t>
      </w:r>
      <w:r>
        <w:rPr>
          <w:rFonts w:ascii="SimSun" w:hAnsi="SimSun" w:eastAsia="SimSun" w:cs="SimSun"/>
          <w:sz w:val="21"/>
          <w:szCs w:val="21"/>
          <w:spacing w:val="-2"/>
        </w:rPr>
        <w:t>、家族信托、慈善信托等业务。报告期内, 公司坚持稳字</w:t>
      </w:r>
      <w:r>
        <w:rPr>
          <w:rFonts w:ascii="SimSun" w:hAnsi="SimSun" w:eastAsia="SimSun" w:cs="SimSun"/>
          <w:sz w:val="21"/>
          <w:szCs w:val="21"/>
          <w:spacing w:val="-3"/>
        </w:rPr>
        <w:t>当头,</w:t>
      </w:r>
      <w:r>
        <w:rPr>
          <w:rFonts w:ascii="SimSun" w:hAnsi="SimSun" w:eastAsia="SimSun" w:cs="SimSun"/>
          <w:sz w:val="21"/>
          <w:szCs w:val="21"/>
          <w:spacing w:val="29"/>
        </w:rPr>
        <w:t xml:space="preserve"> </w:t>
      </w:r>
      <w:r>
        <w:rPr>
          <w:rFonts w:ascii="SimSun" w:hAnsi="SimSun" w:eastAsia="SimSun" w:cs="SimSun"/>
          <w:sz w:val="21"/>
          <w:szCs w:val="21"/>
          <w:spacing w:val="-3"/>
        </w:rPr>
        <w:t>以打造"最</w:t>
      </w:r>
      <w:r>
        <w:rPr>
          <w:rFonts w:ascii="SimSun" w:hAnsi="SimSun" w:eastAsia="SimSun" w:cs="SimSun"/>
          <w:sz w:val="21"/>
          <w:szCs w:val="21"/>
        </w:rPr>
        <w:t xml:space="preserve"> </w:t>
      </w:r>
      <w:r>
        <w:rPr>
          <w:rFonts w:ascii="SimSun" w:hAnsi="SimSun" w:eastAsia="SimSun" w:cs="SimSun"/>
          <w:sz w:val="21"/>
          <w:szCs w:val="21"/>
          <w:spacing w:val="2"/>
        </w:rPr>
        <w:t>值得信赖的一流信托公司"</w:t>
      </w:r>
      <w:r>
        <w:rPr>
          <w:rFonts w:ascii="SimSun" w:hAnsi="SimSun" w:eastAsia="SimSun" w:cs="SimSun"/>
          <w:sz w:val="21"/>
          <w:szCs w:val="21"/>
          <w:spacing w:val="-2"/>
        </w:rPr>
        <w:t xml:space="preserve"> </w:t>
      </w:r>
      <w:r>
        <w:rPr>
          <w:rFonts w:ascii="SimSun" w:hAnsi="SimSun" w:eastAsia="SimSun" w:cs="SimSun"/>
          <w:sz w:val="21"/>
          <w:szCs w:val="21"/>
          <w:spacing w:val="2"/>
        </w:rPr>
        <w:t>为战略目标,积极服务实体经济,</w:t>
      </w:r>
      <w:r>
        <w:rPr>
          <w:rFonts w:ascii="SimSun" w:hAnsi="SimSun" w:eastAsia="SimSun" w:cs="SimSun"/>
          <w:sz w:val="21"/>
          <w:szCs w:val="21"/>
          <w:spacing w:val="33"/>
        </w:rPr>
        <w:t xml:space="preserve"> </w:t>
      </w:r>
      <w:r>
        <w:rPr>
          <w:rFonts w:ascii="SimSun" w:hAnsi="SimSun" w:eastAsia="SimSun" w:cs="SimSun"/>
          <w:sz w:val="21"/>
          <w:szCs w:val="21"/>
          <w:spacing w:val="2"/>
        </w:rPr>
        <w:t>加快转型发展,</w:t>
      </w:r>
      <w:r>
        <w:rPr>
          <w:rFonts w:ascii="SimSun" w:hAnsi="SimSun" w:eastAsia="SimSun" w:cs="SimSun"/>
          <w:sz w:val="21"/>
          <w:szCs w:val="21"/>
          <w:spacing w:val="34"/>
        </w:rPr>
        <w:t xml:space="preserve"> </w:t>
      </w:r>
      <w:r>
        <w:rPr>
          <w:rFonts w:ascii="SimSun" w:hAnsi="SimSun" w:eastAsia="SimSun" w:cs="SimSun"/>
          <w:sz w:val="21"/>
          <w:szCs w:val="21"/>
          <w:spacing w:val="2"/>
        </w:rPr>
        <w:t>深化集团协同。报告期末,</w:t>
      </w:r>
      <w:r>
        <w:rPr>
          <w:rFonts w:ascii="SimSun" w:hAnsi="SimSun" w:eastAsia="SimSun" w:cs="SimSun"/>
          <w:sz w:val="21"/>
          <w:szCs w:val="21"/>
        </w:rPr>
        <w:t xml:space="preserve"> </w:t>
      </w:r>
      <w:r>
        <w:rPr>
          <w:rFonts w:ascii="SimSun" w:hAnsi="SimSun" w:eastAsia="SimSun" w:cs="SimSun"/>
          <w:sz w:val="21"/>
          <w:szCs w:val="21"/>
          <w:spacing w:val="3"/>
        </w:rPr>
        <w:t>公司总资产</w:t>
      </w:r>
      <w:r>
        <w:rPr>
          <w:rFonts w:ascii="Times New Roman" w:hAnsi="Times New Roman" w:eastAsia="Times New Roman" w:cs="Times New Roman"/>
          <w:sz w:val="21"/>
          <w:szCs w:val="21"/>
          <w:spacing w:val="3"/>
        </w:rPr>
        <w:t>185.28</w:t>
      </w:r>
      <w:r>
        <w:rPr>
          <w:rFonts w:ascii="SimSun" w:hAnsi="SimSun" w:eastAsia="SimSun" w:cs="SimSun"/>
          <w:sz w:val="21"/>
          <w:szCs w:val="21"/>
          <w:spacing w:val="3"/>
        </w:rPr>
        <w:t>亿元,</w:t>
      </w:r>
      <w:r>
        <w:rPr>
          <w:rFonts w:ascii="SimSun" w:hAnsi="SimSun" w:eastAsia="SimSun" w:cs="SimSun"/>
          <w:sz w:val="21"/>
          <w:szCs w:val="21"/>
          <w:spacing w:val="37"/>
        </w:rPr>
        <w:t xml:space="preserve"> </w:t>
      </w:r>
      <w:r>
        <w:rPr>
          <w:rFonts w:ascii="SimSun" w:hAnsi="SimSun" w:eastAsia="SimSun" w:cs="SimSun"/>
          <w:sz w:val="21"/>
          <w:szCs w:val="21"/>
          <w:spacing w:val="3"/>
        </w:rPr>
        <w:t>净资产</w:t>
      </w:r>
      <w:r>
        <w:rPr>
          <w:rFonts w:ascii="Times New Roman" w:hAnsi="Times New Roman" w:eastAsia="Times New Roman" w:cs="Times New Roman"/>
          <w:sz w:val="21"/>
          <w:szCs w:val="21"/>
          <w:spacing w:val="3"/>
        </w:rPr>
        <w:t>154.18</w:t>
      </w:r>
      <w:r>
        <w:rPr>
          <w:rFonts w:ascii="SimSun" w:hAnsi="SimSun" w:eastAsia="SimSun" w:cs="SimSun"/>
          <w:sz w:val="21"/>
          <w:szCs w:val="21"/>
          <w:spacing w:val="3"/>
        </w:rPr>
        <w:t>亿元,管理资产规模</w:t>
      </w:r>
      <w:r>
        <w:rPr>
          <w:rFonts w:ascii="Times New Roman" w:hAnsi="Times New Roman" w:eastAsia="Times New Roman" w:cs="Times New Roman"/>
          <w:sz w:val="21"/>
          <w:szCs w:val="21"/>
          <w:spacing w:val="3"/>
        </w:rPr>
        <w:t>5,137.40</w:t>
      </w:r>
      <w:r>
        <w:rPr>
          <w:rFonts w:ascii="SimSun" w:hAnsi="SimSun" w:eastAsia="SimSun" w:cs="SimSun"/>
          <w:sz w:val="21"/>
          <w:szCs w:val="21"/>
          <w:spacing w:val="3"/>
        </w:rPr>
        <w:t>亿元;报告期内实现净利润</w:t>
      </w:r>
      <w:r>
        <w:rPr>
          <w:rFonts w:ascii="Times New Roman" w:hAnsi="Times New Roman" w:eastAsia="Times New Roman" w:cs="Times New Roman"/>
          <w:sz w:val="21"/>
          <w:szCs w:val="21"/>
          <w:spacing w:val="3"/>
        </w:rPr>
        <w:t>9.42</w:t>
      </w:r>
      <w:r>
        <w:rPr>
          <w:rFonts w:ascii="SimSun" w:hAnsi="SimSun" w:eastAsia="SimSun" w:cs="SimSun"/>
          <w:sz w:val="21"/>
          <w:szCs w:val="21"/>
          <w:spacing w:val="3"/>
        </w:rPr>
        <w:t>亿元,</w:t>
      </w:r>
      <w:r>
        <w:rPr>
          <w:rFonts w:ascii="SimSun" w:hAnsi="SimSun" w:eastAsia="SimSun" w:cs="SimSun"/>
          <w:sz w:val="21"/>
          <w:szCs w:val="21"/>
        </w:rPr>
        <w:t xml:space="preserve">  </w:t>
      </w:r>
      <w:r>
        <w:rPr>
          <w:rFonts w:ascii="SimSun" w:hAnsi="SimSun" w:eastAsia="SimSun" w:cs="SimSun"/>
          <w:sz w:val="21"/>
          <w:szCs w:val="21"/>
        </w:rPr>
        <w:t>同比减少</w:t>
      </w:r>
      <w:r>
        <w:rPr>
          <w:rFonts w:ascii="Times New Roman" w:hAnsi="Times New Roman" w:eastAsia="Times New Roman" w:cs="Times New Roman"/>
          <w:sz w:val="21"/>
          <w:szCs w:val="21"/>
        </w:rPr>
        <w:t>23.72%</w:t>
      </w:r>
      <w:r>
        <w:rPr>
          <w:rFonts w:ascii="SimSun" w:hAnsi="SimSun" w:eastAsia="SimSun" w:cs="SimSun"/>
          <w:sz w:val="21"/>
          <w:szCs w:val="21"/>
        </w:rPr>
        <w:t>。公司连续七年在中国信托业协会开展的行业评级中被评为</w:t>
      </w:r>
      <w:r>
        <w:rPr>
          <w:rFonts w:ascii="Times New Roman" w:hAnsi="Times New Roman" w:eastAsia="Times New Roman" w:cs="Times New Roman"/>
          <w:sz w:val="21"/>
          <w:szCs w:val="21"/>
        </w:rPr>
        <w:t>A</w:t>
      </w:r>
      <w:r>
        <w:rPr>
          <w:rFonts w:ascii="SimSun" w:hAnsi="SimSun" w:eastAsia="SimSun" w:cs="SimSun"/>
          <w:sz w:val="21"/>
          <w:szCs w:val="21"/>
        </w:rPr>
        <w:t>级(最高级), 获《上海证券</w:t>
      </w:r>
      <w:r>
        <w:rPr>
          <w:rFonts w:ascii="SimSun" w:hAnsi="SimSun" w:eastAsia="SimSun" w:cs="SimSun"/>
          <w:sz w:val="21"/>
          <w:szCs w:val="21"/>
          <w:spacing w:val="18"/>
        </w:rPr>
        <w:t xml:space="preserve"> </w:t>
      </w:r>
      <w:r>
        <w:rPr>
          <w:rFonts w:ascii="SimSun" w:hAnsi="SimSun" w:eastAsia="SimSun" w:cs="SimSun"/>
          <w:sz w:val="21"/>
          <w:szCs w:val="21"/>
          <w:spacing w:val="1"/>
        </w:rPr>
        <w:t>报》"诚信托·卓越信托公司奖",连续七年获《证券时报》"年度优秀风控信托公司奖"</w:t>
      </w:r>
      <w:r>
        <w:rPr>
          <w:rFonts w:ascii="SimSun" w:hAnsi="SimSun" w:eastAsia="SimSun" w:cs="SimSun"/>
          <w:sz w:val="21"/>
          <w:szCs w:val="21"/>
        </w:rPr>
        <w:t>,</w:t>
      </w:r>
      <w:r>
        <w:rPr>
          <w:rFonts w:ascii="SimSun" w:hAnsi="SimSun" w:eastAsia="SimSun" w:cs="SimSun"/>
          <w:sz w:val="21"/>
          <w:szCs w:val="21"/>
          <w:spacing w:val="38"/>
        </w:rPr>
        <w:t xml:space="preserve"> </w:t>
      </w:r>
      <w:r>
        <w:rPr>
          <w:rFonts w:ascii="SimSun" w:hAnsi="SimSun" w:eastAsia="SimSun" w:cs="SimSun"/>
          <w:sz w:val="21"/>
          <w:szCs w:val="21"/>
        </w:rPr>
        <w:t>交银国信·风云 </w:t>
      </w:r>
      <w:r>
        <w:rPr>
          <w:rFonts w:ascii="Times New Roman" w:hAnsi="Times New Roman" w:eastAsia="Times New Roman" w:cs="Times New Roman"/>
          <w:sz w:val="21"/>
          <w:szCs w:val="21"/>
          <w:spacing w:val="1"/>
        </w:rPr>
        <w:t>68</w:t>
      </w:r>
      <w:r>
        <w:rPr>
          <w:rFonts w:ascii="SimSun" w:hAnsi="SimSun" w:eastAsia="SimSun" w:cs="SimSun"/>
          <w:sz w:val="21"/>
          <w:szCs w:val="21"/>
          <w:spacing w:val="1"/>
        </w:rPr>
        <w:t>号主动管理</w:t>
      </w:r>
      <w:r>
        <w:rPr>
          <w:rFonts w:ascii="Times New Roman" w:hAnsi="Times New Roman" w:eastAsia="Times New Roman" w:cs="Times New Roman"/>
          <w:sz w:val="21"/>
          <w:szCs w:val="21"/>
        </w:rPr>
        <w:t>TOF</w:t>
      </w:r>
      <w:r>
        <w:rPr>
          <w:rFonts w:ascii="SimSun" w:hAnsi="SimSun" w:eastAsia="SimSun" w:cs="SimSun"/>
          <w:sz w:val="21"/>
          <w:szCs w:val="21"/>
          <w:spacing w:val="1"/>
        </w:rPr>
        <w:t>产品获《中国证券报》"中国信托业金</w:t>
      </w:r>
      <w:r>
        <w:rPr>
          <w:rFonts w:ascii="SimSun" w:hAnsi="SimSun" w:eastAsia="SimSun" w:cs="SimSun"/>
          <w:sz w:val="21"/>
          <w:szCs w:val="21"/>
        </w:rPr>
        <w:t>牛奖"。</w:t>
      </w:r>
    </w:p>
    <w:p>
      <w:pPr>
        <w:ind w:left="3" w:right="3" w:firstLine="418"/>
        <w:spacing w:before="307" w:line="284" w:lineRule="auto"/>
        <w:jc w:val="both"/>
        <w:rPr>
          <w:rFonts w:ascii="SimSun" w:hAnsi="SimSun" w:eastAsia="SimSun" w:cs="SimSun"/>
          <w:sz w:val="21"/>
          <w:szCs w:val="21"/>
        </w:rPr>
      </w:pPr>
      <w:r>
        <w:rPr>
          <w:rFonts w:ascii="SimSun" w:hAnsi="SimSun" w:eastAsia="SimSun" w:cs="SimSun"/>
          <w:sz w:val="21"/>
          <w:szCs w:val="21"/>
          <w:spacing w:val="1"/>
        </w:rPr>
        <w:t>报告期内,</w:t>
      </w:r>
      <w:r>
        <w:rPr>
          <w:rFonts w:ascii="SimSun" w:hAnsi="SimSun" w:eastAsia="SimSun" w:cs="SimSun"/>
          <w:sz w:val="21"/>
          <w:szCs w:val="21"/>
          <w:spacing w:val="33"/>
        </w:rPr>
        <w:t xml:space="preserve"> </w:t>
      </w:r>
      <w:r>
        <w:rPr>
          <w:rFonts w:ascii="SimSun" w:hAnsi="SimSun" w:eastAsia="SimSun" w:cs="SimSun"/>
          <w:sz w:val="21"/>
          <w:szCs w:val="21"/>
          <w:spacing w:val="1"/>
        </w:rPr>
        <w:t>公司按照监管信托"三分类"</w:t>
      </w:r>
      <w:r>
        <w:rPr>
          <w:rFonts w:ascii="SimSun" w:hAnsi="SimSun" w:eastAsia="SimSun" w:cs="SimSun"/>
          <w:sz w:val="21"/>
          <w:szCs w:val="21"/>
          <w:spacing w:val="-28"/>
        </w:rPr>
        <w:t xml:space="preserve"> </w:t>
      </w:r>
      <w:r>
        <w:rPr>
          <w:rFonts w:ascii="SimSun" w:hAnsi="SimSun" w:eastAsia="SimSun" w:cs="SimSun"/>
          <w:sz w:val="21"/>
          <w:szCs w:val="21"/>
          <w:spacing w:val="1"/>
        </w:rPr>
        <w:t>要求,</w:t>
      </w:r>
      <w:r>
        <w:rPr>
          <w:rFonts w:ascii="SimSun" w:hAnsi="SimSun" w:eastAsia="SimSun" w:cs="SimSun"/>
          <w:sz w:val="21"/>
          <w:szCs w:val="21"/>
          <w:spacing w:val="35"/>
        </w:rPr>
        <w:t xml:space="preserve"> </w:t>
      </w:r>
      <w:r>
        <w:rPr>
          <w:rFonts w:ascii="SimSun" w:hAnsi="SimSun" w:eastAsia="SimSun" w:cs="SimSun"/>
          <w:sz w:val="21"/>
          <w:szCs w:val="21"/>
          <w:spacing w:val="1"/>
        </w:rPr>
        <w:t>聚焦主责主业, 在资产管理信托、资产</w:t>
      </w:r>
      <w:r>
        <w:rPr>
          <w:rFonts w:ascii="SimSun" w:hAnsi="SimSun" w:eastAsia="SimSun" w:cs="SimSun"/>
          <w:sz w:val="21"/>
          <w:szCs w:val="21"/>
        </w:rPr>
        <w:t>服务信托和公 </w:t>
      </w:r>
      <w:r>
        <w:rPr>
          <w:rFonts w:ascii="SimSun" w:hAnsi="SimSun" w:eastAsia="SimSun" w:cs="SimSun"/>
          <w:sz w:val="21"/>
          <w:szCs w:val="21"/>
          <w:spacing w:val="-1"/>
        </w:rPr>
        <w:t>益慈善信托等领域深耕细作。先后落地全国</w:t>
      </w:r>
      <w:r>
        <w:rPr>
          <w:rFonts w:ascii="SimSun" w:hAnsi="SimSun" w:eastAsia="SimSun" w:cs="SimSun"/>
          <w:sz w:val="21"/>
          <w:szCs w:val="21"/>
          <w:spacing w:val="-2"/>
        </w:rPr>
        <w:t>首单地下商城</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2"/>
        </w:rPr>
        <w:t>CMBN</w:t>
      </w:r>
      <w:r>
        <w:rPr>
          <w:rFonts w:ascii="SimSun" w:hAnsi="SimSun" w:eastAsia="SimSun" w:cs="SimSun"/>
          <w:sz w:val="21"/>
          <w:szCs w:val="21"/>
          <w:spacing w:val="-2"/>
        </w:rPr>
        <w:t>、全国首单知识产权服务信托, 开展保障</w:t>
      </w:r>
      <w:r>
        <w:rPr>
          <w:rFonts w:ascii="SimSun" w:hAnsi="SimSun" w:eastAsia="SimSun" w:cs="SimSun"/>
          <w:sz w:val="21"/>
          <w:szCs w:val="21"/>
        </w:rPr>
        <w:t xml:space="preserve"> </w:t>
      </w:r>
      <w:r>
        <w:rPr>
          <w:rFonts w:ascii="SimSun" w:hAnsi="SimSun" w:eastAsia="SimSun" w:cs="SimSun"/>
          <w:sz w:val="21"/>
          <w:szCs w:val="21"/>
          <w:spacing w:val="-4"/>
        </w:rPr>
        <w:t>性住房股权信托、企业专项激励服务信托,</w:t>
      </w:r>
      <w:r>
        <w:rPr>
          <w:rFonts w:ascii="SimSun" w:hAnsi="SimSun" w:eastAsia="SimSun" w:cs="SimSun"/>
          <w:sz w:val="21"/>
          <w:szCs w:val="21"/>
          <w:spacing w:val="-20"/>
        </w:rPr>
        <w:t xml:space="preserve"> </w:t>
      </w:r>
      <w:r>
        <w:rPr>
          <w:rFonts w:ascii="SimSun" w:hAnsi="SimSun" w:eastAsia="SimSun" w:cs="SimSun"/>
          <w:sz w:val="21"/>
          <w:szCs w:val="21"/>
          <w:spacing w:val="-4"/>
        </w:rPr>
        <w:t>以及乡村振兴和优秀教师奖教等多单慈善信托,</w:t>
      </w:r>
      <w:r>
        <w:rPr>
          <w:rFonts w:ascii="SimSun" w:hAnsi="SimSun" w:eastAsia="SimSun" w:cs="SimSun"/>
          <w:sz w:val="21"/>
          <w:szCs w:val="21"/>
          <w:spacing w:val="-42"/>
        </w:rPr>
        <w:t xml:space="preserve"> </w:t>
      </w:r>
      <w:r>
        <w:rPr>
          <w:rFonts w:ascii="SimSun" w:hAnsi="SimSun" w:eastAsia="SimSun" w:cs="SimSun"/>
          <w:sz w:val="21"/>
          <w:szCs w:val="21"/>
          <w:spacing w:val="-4"/>
        </w:rPr>
        <w:t>履行社会责任,</w:t>
      </w:r>
    </w:p>
    <w:p>
      <w:pPr>
        <w:pStyle w:val="BodyText"/>
        <w:spacing w:line="281" w:lineRule="auto"/>
        <w:rPr/>
      </w:pPr>
      <w:r/>
    </w:p>
    <w:p>
      <w:pPr>
        <w:pStyle w:val="BodyText"/>
        <w:spacing w:line="281" w:lineRule="auto"/>
        <w:rPr/>
      </w:pPr>
      <w:r/>
    </w:p>
    <w:p>
      <w:pPr>
        <w:ind w:left="642"/>
        <w:spacing w:before="59" w:line="223" w:lineRule="auto"/>
        <w:rPr>
          <w:rFonts w:ascii="SimSun" w:hAnsi="SimSun" w:eastAsia="SimSun" w:cs="SimSun"/>
          <w:sz w:val="18"/>
          <w:szCs w:val="18"/>
        </w:rPr>
      </w:pPr>
      <w:r>
        <w:rPr>
          <w:rFonts w:ascii="Times New Roman" w:hAnsi="Times New Roman" w:eastAsia="Times New Roman" w:cs="Times New Roman"/>
          <w:sz w:val="12"/>
          <w:szCs w:val="12"/>
          <w:spacing w:val="12"/>
          <w:position w:val="7"/>
        </w:rPr>
        <w:t>6   </w:t>
      </w:r>
      <w:r>
        <w:rPr>
          <w:rFonts w:ascii="SimSun" w:hAnsi="SimSun" w:eastAsia="SimSun" w:cs="SimSun"/>
          <w:sz w:val="18"/>
          <w:szCs w:val="18"/>
          <w:spacing w:val="12"/>
        </w:rPr>
        <w:t>不含交通银行(卢森堡)有限公司、交通银行(巴西)股份有限公司和交通银</w:t>
      </w:r>
      <w:r>
        <w:rPr>
          <w:rFonts w:ascii="SimSun" w:hAnsi="SimSun" w:eastAsia="SimSun" w:cs="SimSun"/>
          <w:sz w:val="18"/>
          <w:szCs w:val="18"/>
          <w:spacing w:val="11"/>
        </w:rPr>
        <w:t>行(香港)有限公司,下同。</w:t>
      </w:r>
    </w:p>
    <w:p>
      <w:pPr>
        <w:spacing w:line="223" w:lineRule="auto"/>
        <w:sectPr>
          <w:footerReference w:type="default" r:id="rId41"/>
          <w:pgSz w:w="11907" w:h="16839"/>
          <w:pgMar w:top="1196" w:right="1128" w:bottom="1375" w:left="1137" w:header="0" w:footer="1211" w:gutter="0"/>
        </w:sectPr>
        <w:rPr>
          <w:rFonts w:ascii="SimSun" w:hAnsi="SimSun" w:eastAsia="SimSun" w:cs="SimSun"/>
          <w:sz w:val="18"/>
          <w:szCs w:val="18"/>
        </w:rPr>
      </w:pPr>
    </w:p>
    <w:p>
      <w:pPr>
        <w:ind w:left="4"/>
        <w:spacing w:before="42" w:line="221" w:lineRule="auto"/>
        <w:rPr>
          <w:rFonts w:ascii="SimSun" w:hAnsi="SimSun" w:eastAsia="SimSun" w:cs="SimSun"/>
          <w:sz w:val="21"/>
          <w:szCs w:val="21"/>
        </w:rPr>
      </w:pPr>
      <w:r>
        <w:rPr>
          <w:rFonts w:ascii="SimSun" w:hAnsi="SimSun" w:eastAsia="SimSun" w:cs="SimSun"/>
          <w:sz w:val="21"/>
          <w:szCs w:val="21"/>
          <w:spacing w:val="-1"/>
        </w:rPr>
        <w:t>助力实体经济高质量发展。</w:t>
      </w:r>
    </w:p>
    <w:p>
      <w:pPr>
        <w:pStyle w:val="BodyText"/>
        <w:rPr/>
      </w:pPr>
      <w:r/>
    </w:p>
    <w:p>
      <w:pPr>
        <w:ind w:left="431"/>
        <w:spacing w:before="69" w:line="186" w:lineRule="auto"/>
        <w:rPr>
          <w:rFonts w:ascii="SimSun" w:hAnsi="SimSun" w:eastAsia="SimSun" w:cs="SimSun"/>
          <w:sz w:val="21"/>
          <w:szCs w:val="21"/>
        </w:rPr>
      </w:pPr>
      <w:r>
        <w:rPr>
          <w:rFonts w:ascii="SimSun" w:hAnsi="SimSun" w:eastAsia="SimSun" w:cs="SimSun"/>
          <w:sz w:val="21"/>
          <w:szCs w:val="21"/>
          <w:b/>
          <w:bCs/>
          <w:spacing w:val="-3"/>
        </w:rPr>
        <w:t>交银施罗德基金管理有限公司</w:t>
      </w:r>
    </w:p>
    <w:p>
      <w:pPr>
        <w:pStyle w:val="BodyText"/>
        <w:spacing w:line="14" w:lineRule="auto"/>
        <w:rPr>
          <w:sz w:val="2"/>
        </w:rPr>
      </w:pPr>
      <w:r>
        <w:rPr>
          <w:sz w:val="2"/>
          <w:szCs w:val="2"/>
        </w:rPr>
        <w:br w:type="column"/>
      </w:r>
    </w:p>
    <w:p>
      <w:pPr>
        <w:pStyle w:val="BodyText"/>
        <w:spacing w:line="265" w:lineRule="auto"/>
        <w:rPr/>
      </w:pPr>
      <w:r/>
    </w:p>
    <w:p>
      <w:pPr>
        <w:pStyle w:val="BodyText"/>
        <w:spacing w:line="266" w:lineRule="auto"/>
        <w:rPr/>
      </w:pPr>
      <w:r/>
    </w:p>
    <w:p>
      <w:pPr>
        <w:spacing w:before="69" w:line="186" w:lineRule="auto"/>
        <w:rPr>
          <w:rFonts w:ascii="SimSun" w:hAnsi="SimSun" w:eastAsia="SimSun" w:cs="SimSun"/>
          <w:sz w:val="21"/>
          <w:szCs w:val="21"/>
        </w:rPr>
      </w:pPr>
      <w:r>
        <w:rPr>
          <w:rFonts w:ascii="SimSun" w:hAnsi="SimSun" w:eastAsia="SimSun" w:cs="SimSun"/>
          <w:sz w:val="21"/>
          <w:szCs w:val="21"/>
        </w:rPr>
        <w:t>成立于</w:t>
      </w:r>
      <w:r>
        <w:rPr>
          <w:rFonts w:ascii="SimSun" w:hAnsi="SimSun" w:eastAsia="SimSun" w:cs="SimSun"/>
          <w:sz w:val="21"/>
          <w:szCs w:val="21"/>
          <w:spacing w:val="-20"/>
        </w:rPr>
        <w:t xml:space="preserve"> </w:t>
      </w:r>
      <w:r>
        <w:rPr>
          <w:rFonts w:ascii="Times New Roman" w:hAnsi="Times New Roman" w:eastAsia="Times New Roman" w:cs="Times New Roman"/>
          <w:sz w:val="21"/>
          <w:szCs w:val="21"/>
        </w:rPr>
        <w:t>2005</w:t>
      </w:r>
      <w:r>
        <w:rPr>
          <w:rFonts w:ascii="Times New Roman" w:hAnsi="Times New Roman" w:eastAsia="Times New Roman" w:cs="Times New Roman"/>
          <w:sz w:val="21"/>
          <w:szCs w:val="21"/>
          <w:spacing w:val="22"/>
        </w:rPr>
        <w:t xml:space="preserve"> </w:t>
      </w:r>
      <w:r>
        <w:rPr>
          <w:rFonts w:ascii="SimSun" w:hAnsi="SimSun" w:eastAsia="SimSun" w:cs="SimSun"/>
          <w:sz w:val="21"/>
          <w:szCs w:val="21"/>
        </w:rPr>
        <w:t>年</w:t>
      </w:r>
      <w:r>
        <w:rPr>
          <w:rFonts w:ascii="SimSun" w:hAnsi="SimSun" w:eastAsia="SimSun" w:cs="SimSun"/>
          <w:sz w:val="21"/>
          <w:szCs w:val="21"/>
          <w:spacing w:val="-30"/>
        </w:rPr>
        <w:t xml:space="preserve"> </w:t>
      </w:r>
      <w:r>
        <w:rPr>
          <w:rFonts w:ascii="Times New Roman" w:hAnsi="Times New Roman" w:eastAsia="Times New Roman" w:cs="Times New Roman"/>
          <w:sz w:val="21"/>
          <w:szCs w:val="21"/>
        </w:rPr>
        <w:t>8</w:t>
      </w:r>
      <w:r>
        <w:rPr>
          <w:rFonts w:ascii="Times New Roman" w:hAnsi="Times New Roman" w:eastAsia="Times New Roman" w:cs="Times New Roman"/>
          <w:sz w:val="21"/>
          <w:szCs w:val="21"/>
          <w:spacing w:val="23"/>
          <w:w w:val="101"/>
        </w:rPr>
        <w:t xml:space="preserve"> </w:t>
      </w:r>
      <w:r>
        <w:rPr>
          <w:rFonts w:ascii="SimSun" w:hAnsi="SimSun" w:eastAsia="SimSun" w:cs="SimSun"/>
          <w:sz w:val="21"/>
          <w:szCs w:val="21"/>
        </w:rPr>
        <w:t>月,注册资本</w:t>
      </w:r>
      <w:r>
        <w:rPr>
          <w:rFonts w:ascii="SimSun" w:hAnsi="SimSun" w:eastAsia="SimSun" w:cs="SimSun"/>
          <w:sz w:val="21"/>
          <w:szCs w:val="21"/>
          <w:spacing w:val="-38"/>
        </w:rPr>
        <w:t xml:space="preserve"> </w:t>
      </w:r>
      <w:r>
        <w:rPr>
          <w:rFonts w:ascii="Times New Roman" w:hAnsi="Times New Roman" w:eastAsia="Times New Roman" w:cs="Times New Roman"/>
          <w:sz w:val="21"/>
          <w:szCs w:val="21"/>
        </w:rPr>
        <w:t>2</w:t>
      </w:r>
      <w:r>
        <w:rPr>
          <w:rFonts w:ascii="Times New Roman" w:hAnsi="Times New Roman" w:eastAsia="Times New Roman" w:cs="Times New Roman"/>
          <w:sz w:val="21"/>
          <w:szCs w:val="21"/>
          <w:spacing w:val="21"/>
          <w:w w:val="101"/>
        </w:rPr>
        <w:t xml:space="preserve"> </w:t>
      </w:r>
      <w:r>
        <w:rPr>
          <w:rFonts w:ascii="SimSun" w:hAnsi="SimSun" w:eastAsia="SimSun" w:cs="SimSun"/>
          <w:sz w:val="21"/>
          <w:szCs w:val="21"/>
        </w:rPr>
        <w:t>亿元,</w:t>
      </w:r>
      <w:r>
        <w:rPr>
          <w:rFonts w:ascii="SimSun" w:hAnsi="SimSun" w:eastAsia="SimSun" w:cs="SimSun"/>
          <w:sz w:val="21"/>
          <w:szCs w:val="21"/>
          <w:spacing w:val="29"/>
        </w:rPr>
        <w:t xml:space="preserve"> </w:t>
      </w:r>
      <w:r>
        <w:rPr>
          <w:rFonts w:ascii="SimSun" w:hAnsi="SimSun" w:eastAsia="SimSun" w:cs="SimSun"/>
          <w:sz w:val="21"/>
          <w:szCs w:val="21"/>
        </w:rPr>
        <w:t>本行、施罗德投资管理有限</w:t>
      </w:r>
    </w:p>
    <w:p>
      <w:pPr>
        <w:spacing w:line="186" w:lineRule="auto"/>
        <w:sectPr>
          <w:footerReference w:type="default" r:id="rId42"/>
          <w:pgSz w:w="11907" w:h="16839"/>
          <w:pgMar w:top="1196" w:right="1128" w:bottom="1375" w:left="1136" w:header="0" w:footer="1211" w:gutter="0"/>
          <w:cols w:equalWidth="0" w:num="2">
            <w:col w:w="3282" w:space="100"/>
            <w:col w:w="6261" w:space="0"/>
          </w:cols>
        </w:sectPr>
        <w:rPr>
          <w:rFonts w:ascii="SimSun" w:hAnsi="SimSun" w:eastAsia="SimSun" w:cs="SimSun"/>
          <w:sz w:val="21"/>
          <w:szCs w:val="21"/>
        </w:rPr>
      </w:pPr>
    </w:p>
    <w:p>
      <w:pPr>
        <w:ind w:left="4" w:firstLine="7"/>
        <w:spacing w:before="147" w:line="296" w:lineRule="auto"/>
        <w:rPr>
          <w:rFonts w:ascii="SimSun" w:hAnsi="SimSun" w:eastAsia="SimSun" w:cs="SimSun"/>
          <w:sz w:val="21"/>
          <w:szCs w:val="21"/>
        </w:rPr>
      </w:pPr>
      <w:r>
        <w:rPr>
          <w:rFonts w:ascii="SimSun" w:hAnsi="SimSun" w:eastAsia="SimSun" w:cs="SimSun"/>
          <w:sz w:val="21"/>
          <w:szCs w:val="21"/>
          <w:spacing w:val="-1"/>
        </w:rPr>
        <w:t>公司和中国国际海运集装箱(集团)</w:t>
      </w:r>
      <w:r>
        <w:rPr>
          <w:rFonts w:ascii="SimSun" w:hAnsi="SimSun" w:eastAsia="SimSun" w:cs="SimSun"/>
          <w:sz w:val="21"/>
          <w:szCs w:val="21"/>
          <w:spacing w:val="-32"/>
        </w:rPr>
        <w:t xml:space="preserve"> </w:t>
      </w:r>
      <w:r>
        <w:rPr>
          <w:rFonts w:ascii="SimSun" w:hAnsi="SimSun" w:eastAsia="SimSun" w:cs="SimSun"/>
          <w:sz w:val="21"/>
          <w:szCs w:val="21"/>
          <w:spacing w:val="-1"/>
        </w:rPr>
        <w:t>股份有限公司出资比例分别为</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1"/>
        </w:rPr>
        <w:t>65%</w:t>
      </w:r>
      <w:r>
        <w:rPr>
          <w:rFonts w:ascii="SimSun" w:hAnsi="SimSun" w:eastAsia="SimSun" w:cs="SimSun"/>
          <w:sz w:val="21"/>
          <w:szCs w:val="21"/>
          <w:spacing w:val="-1"/>
        </w:rPr>
        <w:t>、</w:t>
      </w:r>
      <w:r>
        <w:rPr>
          <w:rFonts w:ascii="Times New Roman" w:hAnsi="Times New Roman" w:eastAsia="Times New Roman" w:cs="Times New Roman"/>
          <w:sz w:val="21"/>
          <w:szCs w:val="21"/>
          <w:spacing w:val="-1"/>
        </w:rPr>
        <w:t>30%</w:t>
      </w:r>
      <w:r>
        <w:rPr>
          <w:rFonts w:ascii="SimSun" w:hAnsi="SimSun" w:eastAsia="SimSun" w:cs="SimSun"/>
          <w:sz w:val="21"/>
          <w:szCs w:val="21"/>
          <w:spacing w:val="-1"/>
        </w:rPr>
        <w:t>和</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1"/>
        </w:rPr>
        <w:t>5%</w:t>
      </w:r>
      <w:r>
        <w:rPr>
          <w:rFonts w:ascii="SimSun" w:hAnsi="SimSun" w:eastAsia="SimSun" w:cs="SimSun"/>
          <w:sz w:val="21"/>
          <w:szCs w:val="21"/>
          <w:spacing w:val="-1"/>
        </w:rPr>
        <w:t>, 主要经营基金募集、</w:t>
      </w:r>
      <w:r>
        <w:rPr>
          <w:rFonts w:ascii="SimSun" w:hAnsi="SimSun" w:eastAsia="SimSun" w:cs="SimSun"/>
          <w:sz w:val="21"/>
          <w:szCs w:val="21"/>
        </w:rPr>
        <w:t xml:space="preserve"> </w:t>
      </w:r>
      <w:r>
        <w:rPr>
          <w:rFonts w:ascii="SimSun" w:hAnsi="SimSun" w:eastAsia="SimSun" w:cs="SimSun"/>
          <w:sz w:val="21"/>
          <w:szCs w:val="21"/>
          <w:spacing w:val="1"/>
        </w:rPr>
        <w:t>基金销售、资产管理业务。根据海通证券数据显示,在 </w:t>
      </w:r>
      <w:r>
        <w:rPr>
          <w:rFonts w:ascii="Times New Roman" w:hAnsi="Times New Roman" w:eastAsia="Times New Roman" w:cs="Times New Roman"/>
          <w:sz w:val="21"/>
          <w:szCs w:val="21"/>
          <w:spacing w:val="1"/>
        </w:rPr>
        <w:t>12  </w:t>
      </w:r>
      <w:r>
        <w:rPr>
          <w:rFonts w:ascii="SimSun" w:hAnsi="SimSun" w:eastAsia="SimSun" w:cs="SimSun"/>
          <w:sz w:val="21"/>
          <w:szCs w:val="21"/>
          <w:spacing w:val="1"/>
        </w:rPr>
        <w:t>家权益类大型公司中,</w:t>
      </w:r>
      <w:r>
        <w:rPr>
          <w:rFonts w:ascii="SimSun" w:hAnsi="SimSun" w:eastAsia="SimSun" w:cs="SimSun"/>
          <w:sz w:val="21"/>
          <w:szCs w:val="21"/>
          <w:spacing w:val="35"/>
        </w:rPr>
        <w:t xml:space="preserve"> </w:t>
      </w:r>
      <w:r>
        <w:rPr>
          <w:rFonts w:ascii="SimSun" w:hAnsi="SimSun" w:eastAsia="SimSun" w:cs="SimSun"/>
          <w:sz w:val="21"/>
          <w:szCs w:val="21"/>
          <w:spacing w:val="1"/>
        </w:rPr>
        <w:t>公司权益投资收</w:t>
      </w:r>
      <w:r>
        <w:rPr>
          <w:rFonts w:ascii="SimSun" w:hAnsi="SimSun" w:eastAsia="SimSun" w:cs="SimSun"/>
          <w:sz w:val="21"/>
          <w:szCs w:val="21"/>
        </w:rPr>
        <w:t>益率近 </w:t>
      </w:r>
      <w:r>
        <w:rPr>
          <w:rFonts w:ascii="SimSun" w:hAnsi="SimSun" w:eastAsia="SimSun" w:cs="SimSun"/>
          <w:sz w:val="21"/>
          <w:szCs w:val="21"/>
          <w:spacing w:val="-1"/>
        </w:rPr>
        <w:t>一年排名第一。公司以优异投资业绩, 在公募基金行业三大权威奖项的评选中实现公司类奖项"大满贯",</w:t>
      </w:r>
      <w:r>
        <w:rPr>
          <w:rFonts w:ascii="SimSun" w:hAnsi="SimSun" w:eastAsia="SimSun" w:cs="SimSun"/>
          <w:sz w:val="21"/>
          <w:szCs w:val="21"/>
        </w:rPr>
        <w:t xml:space="preserve">  </w:t>
      </w:r>
      <w:r>
        <w:rPr>
          <w:rFonts w:ascii="SimSun" w:hAnsi="SimSun" w:eastAsia="SimSun" w:cs="SimSun"/>
          <w:sz w:val="21"/>
          <w:szCs w:val="21"/>
        </w:rPr>
        <w:t>同时连续四年蝉联"金牛基金管理公司"。报告期末</w:t>
      </w:r>
      <w:r>
        <w:rPr>
          <w:rFonts w:ascii="SimSun" w:hAnsi="SimSun" w:eastAsia="SimSun" w:cs="SimSun"/>
          <w:sz w:val="21"/>
          <w:szCs w:val="21"/>
          <w:spacing w:val="-1"/>
        </w:rPr>
        <w:t>,</w:t>
      </w:r>
      <w:r>
        <w:rPr>
          <w:rFonts w:ascii="SimSun" w:hAnsi="SimSun" w:eastAsia="SimSun" w:cs="SimSun"/>
          <w:sz w:val="21"/>
          <w:szCs w:val="21"/>
          <w:spacing w:val="33"/>
        </w:rPr>
        <w:t xml:space="preserve"> </w:t>
      </w:r>
      <w:r>
        <w:rPr>
          <w:rFonts w:ascii="SimSun" w:hAnsi="SimSun" w:eastAsia="SimSun" w:cs="SimSun"/>
          <w:sz w:val="21"/>
          <w:szCs w:val="21"/>
          <w:spacing w:val="-1"/>
        </w:rPr>
        <w:t>公司总资产</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1"/>
        </w:rPr>
        <w:t>79.26 </w:t>
      </w:r>
      <w:r>
        <w:rPr>
          <w:rFonts w:ascii="SimSun" w:hAnsi="SimSun" w:eastAsia="SimSun" w:cs="SimSun"/>
          <w:sz w:val="21"/>
          <w:szCs w:val="21"/>
          <w:spacing w:val="-1"/>
        </w:rPr>
        <w:t>亿元,</w:t>
      </w:r>
      <w:r>
        <w:rPr>
          <w:rFonts w:ascii="SimSun" w:hAnsi="SimSun" w:eastAsia="SimSun" w:cs="SimSun"/>
          <w:sz w:val="21"/>
          <w:szCs w:val="21"/>
          <w:spacing w:val="29"/>
        </w:rPr>
        <w:t xml:space="preserve"> </w:t>
      </w:r>
      <w:r>
        <w:rPr>
          <w:rFonts w:ascii="SimSun" w:hAnsi="SimSun" w:eastAsia="SimSun" w:cs="SimSun"/>
          <w:sz w:val="21"/>
          <w:szCs w:val="21"/>
          <w:spacing w:val="-1"/>
        </w:rPr>
        <w:t>净资产</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1"/>
        </w:rPr>
        <w:t>63.05 </w:t>
      </w:r>
      <w:r>
        <w:rPr>
          <w:rFonts w:ascii="SimSun" w:hAnsi="SimSun" w:eastAsia="SimSun" w:cs="SimSun"/>
          <w:sz w:val="21"/>
          <w:szCs w:val="21"/>
          <w:spacing w:val="-1"/>
        </w:rPr>
        <w:t>亿元,</w:t>
      </w:r>
      <w:r>
        <w:rPr>
          <w:rFonts w:ascii="SimSun" w:hAnsi="SimSun" w:eastAsia="SimSun" w:cs="SimSun"/>
          <w:sz w:val="21"/>
          <w:szCs w:val="21"/>
          <w:spacing w:val="28"/>
        </w:rPr>
        <w:t xml:space="preserve"> </w:t>
      </w:r>
      <w:r>
        <w:rPr>
          <w:rFonts w:ascii="SimSun" w:hAnsi="SimSun" w:eastAsia="SimSun" w:cs="SimSun"/>
          <w:sz w:val="21"/>
          <w:szCs w:val="21"/>
          <w:spacing w:val="-1"/>
        </w:rPr>
        <w:t>管理公</w:t>
      </w:r>
      <w:r>
        <w:rPr>
          <w:rFonts w:ascii="SimSun" w:hAnsi="SimSun" w:eastAsia="SimSun" w:cs="SimSun"/>
          <w:sz w:val="21"/>
          <w:szCs w:val="21"/>
        </w:rPr>
        <w:t xml:space="preserve"> </w:t>
      </w:r>
      <w:r>
        <w:rPr>
          <w:rFonts w:ascii="SimSun" w:hAnsi="SimSun" w:eastAsia="SimSun" w:cs="SimSun"/>
          <w:sz w:val="21"/>
          <w:szCs w:val="21"/>
          <w:spacing w:val="3"/>
        </w:rPr>
        <w:t>募基金规模</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5,281 </w:t>
      </w:r>
      <w:r>
        <w:rPr>
          <w:rFonts w:ascii="SimSun" w:hAnsi="SimSun" w:eastAsia="SimSun" w:cs="SimSun"/>
          <w:sz w:val="21"/>
          <w:szCs w:val="21"/>
          <w:spacing w:val="3"/>
        </w:rPr>
        <w:t>亿元; 报告期内受市场波动影响,实现净利润</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3"/>
        </w:rPr>
        <w:t>15.81 </w:t>
      </w:r>
      <w:r>
        <w:rPr>
          <w:rFonts w:ascii="SimSun" w:hAnsi="SimSun" w:eastAsia="SimSun" w:cs="SimSun"/>
          <w:sz w:val="21"/>
          <w:szCs w:val="21"/>
          <w:spacing w:val="3"/>
        </w:rPr>
        <w:t>亿元,同比</w:t>
      </w:r>
      <w:r>
        <w:rPr>
          <w:rFonts w:ascii="SimSun" w:hAnsi="SimSun" w:eastAsia="SimSun" w:cs="SimSun"/>
          <w:sz w:val="21"/>
          <w:szCs w:val="21"/>
          <w:spacing w:val="2"/>
        </w:rPr>
        <w:t>减少</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2"/>
        </w:rPr>
        <w:t>11%</w:t>
      </w:r>
      <w:r>
        <w:rPr>
          <w:rFonts w:ascii="SimSun" w:hAnsi="SimSun" w:eastAsia="SimSun" w:cs="SimSun"/>
          <w:sz w:val="21"/>
          <w:szCs w:val="21"/>
          <w:spacing w:val="2"/>
        </w:rPr>
        <w:t>。</w:t>
      </w:r>
    </w:p>
    <w:p>
      <w:pPr>
        <w:pStyle w:val="BodyText"/>
        <w:spacing w:line="246" w:lineRule="auto"/>
        <w:rPr/>
      </w:pPr>
      <w:r/>
    </w:p>
    <w:p>
      <w:pPr>
        <w:ind w:firstLine="431"/>
        <w:spacing w:before="69" w:line="297" w:lineRule="auto"/>
        <w:rPr>
          <w:rFonts w:ascii="SimSun" w:hAnsi="SimSun" w:eastAsia="SimSun" w:cs="SimSun"/>
          <w:sz w:val="21"/>
          <w:szCs w:val="21"/>
        </w:rPr>
      </w:pPr>
      <w:r>
        <w:rPr>
          <w:rFonts w:ascii="SimSun" w:hAnsi="SimSun" w:eastAsia="SimSun" w:cs="SimSun"/>
          <w:sz w:val="21"/>
          <w:szCs w:val="21"/>
          <w:spacing w:val="-3"/>
        </w:rPr>
        <w:t>公司作为集团打造财富管理特色的中坚力量, 围绕集团战略与十四五规划,</w:t>
      </w:r>
      <w:r>
        <w:rPr>
          <w:rFonts w:ascii="SimSun" w:hAnsi="SimSun" w:eastAsia="SimSun" w:cs="SimSun"/>
          <w:sz w:val="21"/>
          <w:szCs w:val="21"/>
          <w:spacing w:val="-24"/>
        </w:rPr>
        <w:t xml:space="preserve"> </w:t>
      </w:r>
      <w:r>
        <w:rPr>
          <w:rFonts w:ascii="SimSun" w:hAnsi="SimSun" w:eastAsia="SimSun" w:cs="SimSun"/>
          <w:sz w:val="21"/>
          <w:szCs w:val="21"/>
          <w:spacing w:val="-3"/>
        </w:rPr>
        <w:t>持续提升投研核心竞争力,</w:t>
      </w:r>
      <w:r>
        <w:rPr>
          <w:rFonts w:ascii="SimSun" w:hAnsi="SimSun" w:eastAsia="SimSun" w:cs="SimSun"/>
          <w:sz w:val="21"/>
          <w:szCs w:val="21"/>
        </w:rPr>
        <w:t xml:space="preserve"> </w:t>
      </w:r>
      <w:r>
        <w:rPr>
          <w:rFonts w:ascii="SimSun" w:hAnsi="SimSun" w:eastAsia="SimSun" w:cs="SimSun"/>
          <w:sz w:val="21"/>
          <w:szCs w:val="21"/>
          <w:spacing w:val="-2"/>
        </w:rPr>
        <w:t>构建多层次产品线,</w:t>
      </w:r>
      <w:r>
        <w:rPr>
          <w:rFonts w:ascii="SimSun" w:hAnsi="SimSun" w:eastAsia="SimSun" w:cs="SimSun"/>
          <w:sz w:val="21"/>
          <w:szCs w:val="21"/>
          <w:spacing w:val="45"/>
        </w:rPr>
        <w:t xml:space="preserve"> </w:t>
      </w:r>
      <w:r>
        <w:rPr>
          <w:rFonts w:ascii="SimSun" w:hAnsi="SimSun" w:eastAsia="SimSun" w:cs="SimSun"/>
          <w:sz w:val="21"/>
          <w:szCs w:val="21"/>
          <w:spacing w:val="-2"/>
        </w:rPr>
        <w:t>运用主动管理投研优势的溢出效应,</w:t>
      </w:r>
      <w:r>
        <w:rPr>
          <w:rFonts w:ascii="SimSun" w:hAnsi="SimSun" w:eastAsia="SimSun" w:cs="SimSun"/>
          <w:sz w:val="21"/>
          <w:szCs w:val="21"/>
          <w:spacing w:val="29"/>
        </w:rPr>
        <w:t xml:space="preserve"> </w:t>
      </w:r>
      <w:r>
        <w:rPr>
          <w:rFonts w:ascii="SimSun" w:hAnsi="SimSun" w:eastAsia="SimSun" w:cs="SimSun"/>
          <w:sz w:val="21"/>
          <w:szCs w:val="21"/>
          <w:spacing w:val="-2"/>
        </w:rPr>
        <w:t>提升权益、固收</w:t>
      </w:r>
      <w:r>
        <w:rPr>
          <w:rFonts w:ascii="Times New Roman" w:hAnsi="Times New Roman" w:eastAsia="Times New Roman" w:cs="Times New Roman"/>
          <w:sz w:val="21"/>
          <w:szCs w:val="21"/>
          <w:spacing w:val="-2"/>
        </w:rPr>
        <w:t>+</w:t>
      </w:r>
      <w:r>
        <w:rPr>
          <w:rFonts w:ascii="SimSun" w:hAnsi="SimSun" w:eastAsia="SimSun" w:cs="SimSun"/>
          <w:sz w:val="21"/>
          <w:szCs w:val="21"/>
          <w:spacing w:val="-2"/>
        </w:rPr>
        <w:t>和 </w:t>
      </w:r>
      <w:r>
        <w:rPr>
          <w:rFonts w:ascii="Times New Roman" w:hAnsi="Times New Roman" w:eastAsia="Times New Roman" w:cs="Times New Roman"/>
          <w:sz w:val="21"/>
          <w:szCs w:val="21"/>
          <w:spacing w:val="-2"/>
        </w:rPr>
        <w:t>FOF</w:t>
      </w:r>
      <w:r>
        <w:rPr>
          <w:rFonts w:ascii="SimSun" w:hAnsi="SimSun" w:eastAsia="SimSun" w:cs="SimSun"/>
          <w:sz w:val="21"/>
          <w:szCs w:val="21"/>
          <w:spacing w:val="-2"/>
        </w:rPr>
        <w:t>、投顾组合管理能力,</w:t>
      </w:r>
      <w:r>
        <w:rPr>
          <w:rFonts w:ascii="SimSun" w:hAnsi="SimSun" w:eastAsia="SimSun" w:cs="SimSun"/>
          <w:sz w:val="21"/>
          <w:szCs w:val="21"/>
        </w:rPr>
        <w:t xml:space="preserve">  </w:t>
      </w:r>
      <w:r>
        <w:rPr>
          <w:rFonts w:ascii="SimSun" w:hAnsi="SimSun" w:eastAsia="SimSun" w:cs="SimSun"/>
          <w:sz w:val="21"/>
          <w:szCs w:val="21"/>
        </w:rPr>
        <w:t>努力打造具有高质量发展核心竞争力的一流精品基金公司, 服</w:t>
      </w:r>
      <w:r>
        <w:rPr>
          <w:rFonts w:ascii="SimSun" w:hAnsi="SimSun" w:eastAsia="SimSun" w:cs="SimSun"/>
          <w:sz w:val="21"/>
          <w:szCs w:val="21"/>
          <w:spacing w:val="-1"/>
        </w:rPr>
        <w:t>务集团财富管理能力建设。报告期内, 联合</w:t>
      </w:r>
      <w:r>
        <w:rPr>
          <w:rFonts w:ascii="SimSun" w:hAnsi="SimSun" w:eastAsia="SimSun" w:cs="SimSun"/>
          <w:sz w:val="21"/>
          <w:szCs w:val="21"/>
        </w:rPr>
        <w:t xml:space="preserve"> </w:t>
      </w:r>
      <w:r>
        <w:rPr>
          <w:rFonts w:ascii="SimSun" w:hAnsi="SimSun" w:eastAsia="SimSun" w:cs="SimSun"/>
          <w:sz w:val="21"/>
          <w:szCs w:val="21"/>
        </w:rPr>
        <w:t>母行共同推动个人养老金制度的落地, 在养老金融产品的布局</w:t>
      </w:r>
      <w:r>
        <w:rPr>
          <w:rFonts w:ascii="SimSun" w:hAnsi="SimSun" w:eastAsia="SimSun" w:cs="SimSun"/>
          <w:sz w:val="21"/>
          <w:szCs w:val="21"/>
          <w:spacing w:val="-1"/>
        </w:rPr>
        <w:t>和销售上发力, 旗下产品交银安享稳健一年</w:t>
      </w:r>
      <w:r>
        <w:rPr>
          <w:rFonts w:ascii="SimSun" w:hAnsi="SimSun" w:eastAsia="SimSun" w:cs="SimSun"/>
          <w:sz w:val="21"/>
          <w:szCs w:val="21"/>
        </w:rPr>
        <w:t xml:space="preserve"> </w:t>
      </w:r>
      <w:r>
        <w:rPr>
          <w:rFonts w:ascii="Times New Roman" w:hAnsi="Times New Roman" w:eastAsia="Times New Roman" w:cs="Times New Roman"/>
          <w:sz w:val="21"/>
          <w:szCs w:val="21"/>
          <w:spacing w:val="-1"/>
        </w:rPr>
        <w:t>FOF </w:t>
      </w:r>
      <w:r>
        <w:rPr>
          <w:rFonts w:ascii="SimSun" w:hAnsi="SimSun" w:eastAsia="SimSun" w:cs="SimSun"/>
          <w:sz w:val="21"/>
          <w:szCs w:val="21"/>
          <w:spacing w:val="-1"/>
        </w:rPr>
        <w:t>基金报告期末规模超</w:t>
      </w:r>
      <w:r>
        <w:rPr>
          <w:rFonts w:ascii="SimSun" w:hAnsi="SimSun" w:eastAsia="SimSun" w:cs="SimSun"/>
          <w:sz w:val="21"/>
          <w:szCs w:val="21"/>
          <w:spacing w:val="-30"/>
        </w:rPr>
        <w:t xml:space="preserve"> </w:t>
      </w:r>
      <w:r>
        <w:rPr>
          <w:rFonts w:ascii="Times New Roman" w:hAnsi="Times New Roman" w:eastAsia="Times New Roman" w:cs="Times New Roman"/>
          <w:sz w:val="21"/>
          <w:szCs w:val="21"/>
          <w:spacing w:val="-1"/>
        </w:rPr>
        <w:t>120 </w:t>
      </w:r>
      <w:r>
        <w:rPr>
          <w:rFonts w:ascii="SimSun" w:hAnsi="SimSun" w:eastAsia="SimSun" w:cs="SimSun"/>
          <w:sz w:val="21"/>
          <w:szCs w:val="21"/>
          <w:spacing w:val="-1"/>
        </w:rPr>
        <w:t>亿元</w:t>
      </w:r>
      <w:r>
        <w:rPr>
          <w:rFonts w:ascii="SimSun" w:hAnsi="SimSun" w:eastAsia="SimSun" w:cs="SimSun"/>
          <w:sz w:val="21"/>
          <w:szCs w:val="21"/>
          <w:spacing w:val="-2"/>
        </w:rPr>
        <w:t>,</w:t>
      </w:r>
      <w:r>
        <w:rPr>
          <w:rFonts w:ascii="SimSun" w:hAnsi="SimSun" w:eastAsia="SimSun" w:cs="SimSun"/>
          <w:sz w:val="21"/>
          <w:szCs w:val="21"/>
          <w:spacing w:val="32"/>
        </w:rPr>
        <w:t xml:space="preserve"> </w:t>
      </w:r>
      <w:r>
        <w:rPr>
          <w:rFonts w:ascii="SimSun" w:hAnsi="SimSun" w:eastAsia="SimSun" w:cs="SimSun"/>
          <w:sz w:val="21"/>
          <w:szCs w:val="21"/>
          <w:spacing w:val="-2"/>
        </w:rPr>
        <w:t>是全市场管理规模最大的养老产品。</w:t>
      </w:r>
    </w:p>
    <w:p>
      <w:pPr>
        <w:pStyle w:val="BodyText"/>
        <w:spacing w:line="241" w:lineRule="auto"/>
        <w:rPr/>
      </w:pPr>
      <w:r/>
    </w:p>
    <w:p>
      <w:pPr>
        <w:ind w:left="5" w:firstLine="426"/>
        <w:spacing w:before="69" w:line="300" w:lineRule="auto"/>
        <w:jc w:val="both"/>
        <w:rPr>
          <w:rFonts w:ascii="SimSun" w:hAnsi="SimSun" w:eastAsia="SimSun" w:cs="SimSun"/>
          <w:sz w:val="21"/>
          <w:szCs w:val="21"/>
        </w:rPr>
      </w:pPr>
      <w:r>
        <w:rPr>
          <w:rFonts w:ascii="SimSun" w:hAnsi="SimSun" w:eastAsia="SimSun" w:cs="SimSun"/>
          <w:sz w:val="21"/>
          <w:szCs w:val="21"/>
          <w:b/>
          <w:bCs/>
          <w:spacing w:val="-2"/>
        </w:rPr>
        <w:t>交银理财有限责任公司</w:t>
      </w:r>
      <w:r>
        <w:rPr>
          <w:rFonts w:ascii="SimSun" w:hAnsi="SimSun" w:eastAsia="SimSun" w:cs="SimSun"/>
          <w:sz w:val="21"/>
          <w:szCs w:val="21"/>
          <w:spacing w:val="-2"/>
        </w:rPr>
        <w:t xml:space="preserve">  本行全资子公司, 成立于</w:t>
      </w:r>
      <w:r>
        <w:rPr>
          <w:rFonts w:ascii="SimSun" w:hAnsi="SimSun" w:eastAsia="SimSun" w:cs="SimSun"/>
          <w:sz w:val="21"/>
          <w:szCs w:val="21"/>
          <w:spacing w:val="-51"/>
        </w:rPr>
        <w:t xml:space="preserve"> </w:t>
      </w:r>
      <w:r>
        <w:rPr>
          <w:rFonts w:ascii="Times New Roman" w:hAnsi="Times New Roman" w:eastAsia="Times New Roman" w:cs="Times New Roman"/>
          <w:sz w:val="21"/>
          <w:szCs w:val="21"/>
          <w:spacing w:val="-2"/>
        </w:rPr>
        <w:t>2019 </w:t>
      </w:r>
      <w:r>
        <w:rPr>
          <w:rFonts w:ascii="SimSun" w:hAnsi="SimSun" w:eastAsia="SimSun" w:cs="SimSun"/>
          <w:sz w:val="21"/>
          <w:szCs w:val="21"/>
          <w:spacing w:val="-2"/>
        </w:rPr>
        <w:t>年</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2"/>
        </w:rPr>
        <w:t>6</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2"/>
        </w:rPr>
        <w:t>月, 注册资本</w:t>
      </w:r>
      <w:r>
        <w:rPr>
          <w:rFonts w:ascii="SimSun" w:hAnsi="SimSun" w:eastAsia="SimSun" w:cs="SimSun"/>
          <w:sz w:val="21"/>
          <w:szCs w:val="21"/>
          <w:spacing w:val="-39"/>
        </w:rPr>
        <w:t xml:space="preserve"> </w:t>
      </w:r>
      <w:r>
        <w:rPr>
          <w:rFonts w:ascii="Times New Roman" w:hAnsi="Times New Roman" w:eastAsia="Times New Roman" w:cs="Times New Roman"/>
          <w:sz w:val="21"/>
          <w:szCs w:val="21"/>
          <w:spacing w:val="-2"/>
        </w:rPr>
        <w:t>80</w:t>
      </w:r>
      <w:r>
        <w:rPr>
          <w:rFonts w:ascii="Times New Roman" w:hAnsi="Times New Roman" w:eastAsia="Times New Roman" w:cs="Times New Roman"/>
          <w:sz w:val="21"/>
          <w:szCs w:val="21"/>
          <w:spacing w:val="9"/>
        </w:rPr>
        <w:t xml:space="preserve"> </w:t>
      </w:r>
      <w:r>
        <w:rPr>
          <w:rFonts w:ascii="SimSun" w:hAnsi="SimSun" w:eastAsia="SimSun" w:cs="SimSun"/>
          <w:sz w:val="21"/>
          <w:szCs w:val="21"/>
          <w:spacing w:val="-2"/>
        </w:rPr>
        <w:t>亿元。主要面向客户发</w:t>
      </w:r>
      <w:r>
        <w:rPr>
          <w:rFonts w:ascii="SimSun" w:hAnsi="SimSun" w:eastAsia="SimSun" w:cs="SimSun"/>
          <w:sz w:val="21"/>
          <w:szCs w:val="21"/>
        </w:rPr>
        <w:t xml:space="preserve"> </w:t>
      </w:r>
      <w:r>
        <w:rPr>
          <w:rFonts w:ascii="SimSun" w:hAnsi="SimSun" w:eastAsia="SimSun" w:cs="SimSun"/>
          <w:sz w:val="21"/>
          <w:szCs w:val="21"/>
          <w:spacing w:val="-1"/>
        </w:rPr>
        <w:t>行固定收益类、权益类、商品及金融衍生品类和混合类理财产品。报告期内,</w:t>
      </w:r>
      <w:r>
        <w:rPr>
          <w:rFonts w:ascii="SimSun" w:hAnsi="SimSun" w:eastAsia="SimSun" w:cs="SimSun"/>
          <w:sz w:val="21"/>
          <w:szCs w:val="21"/>
          <w:spacing w:val="33"/>
        </w:rPr>
        <w:t xml:space="preserve"> </w:t>
      </w:r>
      <w:r>
        <w:rPr>
          <w:rFonts w:ascii="SimSun" w:hAnsi="SimSun" w:eastAsia="SimSun" w:cs="SimSun"/>
          <w:sz w:val="21"/>
          <w:szCs w:val="21"/>
          <w:spacing w:val="-2"/>
        </w:rPr>
        <w:t>公司坚持以客户为中心、投</w:t>
      </w:r>
      <w:r>
        <w:rPr>
          <w:rFonts w:ascii="SimSun" w:hAnsi="SimSun" w:eastAsia="SimSun" w:cs="SimSun"/>
          <w:sz w:val="21"/>
          <w:szCs w:val="21"/>
        </w:rPr>
        <w:t xml:space="preserve"> </w:t>
      </w:r>
      <w:r>
        <w:rPr>
          <w:rFonts w:ascii="SimSun" w:hAnsi="SimSun" w:eastAsia="SimSun" w:cs="SimSun"/>
          <w:sz w:val="21"/>
          <w:szCs w:val="21"/>
          <w:spacing w:val="-2"/>
        </w:rPr>
        <w:t>资者利益优先理念,</w:t>
      </w:r>
      <w:r>
        <w:rPr>
          <w:rFonts w:ascii="SimSun" w:hAnsi="SimSun" w:eastAsia="SimSun" w:cs="SimSun"/>
          <w:sz w:val="21"/>
          <w:szCs w:val="21"/>
          <w:spacing w:val="-31"/>
        </w:rPr>
        <w:t xml:space="preserve"> </w:t>
      </w:r>
      <w:r>
        <w:rPr>
          <w:rFonts w:ascii="SimSun" w:hAnsi="SimSun" w:eastAsia="SimSun" w:cs="SimSun"/>
          <w:sz w:val="21"/>
          <w:szCs w:val="21"/>
          <w:spacing w:val="-2"/>
        </w:rPr>
        <w:t>适时调整产品设计发行重点。积极拓展行外代销</w:t>
      </w:r>
      <w:r>
        <w:rPr>
          <w:rFonts w:ascii="SimSun" w:hAnsi="SimSun" w:eastAsia="SimSun" w:cs="SimSun"/>
          <w:sz w:val="21"/>
          <w:szCs w:val="21"/>
          <w:spacing w:val="-3"/>
        </w:rPr>
        <w:t>,</w:t>
      </w:r>
      <w:r>
        <w:rPr>
          <w:rFonts w:ascii="SimSun" w:hAnsi="SimSun" w:eastAsia="SimSun" w:cs="SimSun"/>
          <w:sz w:val="21"/>
          <w:szCs w:val="21"/>
          <w:spacing w:val="-33"/>
        </w:rPr>
        <w:t xml:space="preserve"> </w:t>
      </w:r>
      <w:r>
        <w:rPr>
          <w:rFonts w:ascii="SimSun" w:hAnsi="SimSun" w:eastAsia="SimSun" w:cs="SimSun"/>
          <w:sz w:val="21"/>
          <w:szCs w:val="21"/>
          <w:spacing w:val="-3"/>
        </w:rPr>
        <w:t>报告期末行外代销产品余额</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4,996.13</w:t>
      </w:r>
      <w:r>
        <w:rPr>
          <w:rFonts w:ascii="Times New Roman" w:hAnsi="Times New Roman" w:eastAsia="Times New Roman" w:cs="Times New Roman"/>
          <w:sz w:val="21"/>
          <w:szCs w:val="21"/>
        </w:rPr>
        <w:t xml:space="preserve"> </w:t>
      </w:r>
      <w:r>
        <w:rPr>
          <w:rFonts w:ascii="SimSun" w:hAnsi="SimSun" w:eastAsia="SimSun" w:cs="SimSun"/>
          <w:sz w:val="21"/>
          <w:szCs w:val="21"/>
          <w:spacing w:val="-6"/>
        </w:rPr>
        <w:t>亿元,</w:t>
      </w:r>
      <w:r>
        <w:rPr>
          <w:rFonts w:ascii="SimSun" w:hAnsi="SimSun" w:eastAsia="SimSun" w:cs="SimSun"/>
          <w:sz w:val="21"/>
          <w:szCs w:val="21"/>
          <w:spacing w:val="-28"/>
        </w:rPr>
        <w:t xml:space="preserve"> </w:t>
      </w:r>
      <w:r>
        <w:rPr>
          <w:rFonts w:ascii="SimSun" w:hAnsi="SimSun" w:eastAsia="SimSun" w:cs="SimSun"/>
          <w:sz w:val="21"/>
          <w:szCs w:val="21"/>
          <w:spacing w:val="-6"/>
        </w:rPr>
        <w:t>占比</w:t>
      </w:r>
      <w:r>
        <w:rPr>
          <w:rFonts w:ascii="SimSun" w:hAnsi="SimSun" w:eastAsia="SimSun" w:cs="SimSun"/>
          <w:sz w:val="21"/>
          <w:szCs w:val="21"/>
          <w:spacing w:val="-49"/>
        </w:rPr>
        <w:t xml:space="preserve"> </w:t>
      </w:r>
      <w:r>
        <w:rPr>
          <w:rFonts w:ascii="Times New Roman" w:hAnsi="Times New Roman" w:eastAsia="Times New Roman" w:cs="Times New Roman"/>
          <w:sz w:val="21"/>
          <w:szCs w:val="21"/>
          <w:spacing w:val="-6"/>
        </w:rPr>
        <w:t>46.03%</w:t>
      </w:r>
      <w:r>
        <w:rPr>
          <w:rFonts w:ascii="SimSun" w:hAnsi="SimSun" w:eastAsia="SimSun" w:cs="SimSun"/>
          <w:sz w:val="21"/>
          <w:szCs w:val="21"/>
          <w:spacing w:val="-6"/>
        </w:rPr>
        <w:t>,初步建立了以母行为主体,</w:t>
      </w:r>
      <w:r>
        <w:rPr>
          <w:rFonts w:ascii="SimSun" w:hAnsi="SimSun" w:eastAsia="SimSun" w:cs="SimSun"/>
          <w:sz w:val="21"/>
          <w:szCs w:val="21"/>
          <w:spacing w:val="-61"/>
        </w:rPr>
        <w:t xml:space="preserve"> </w:t>
      </w:r>
      <w:r>
        <w:rPr>
          <w:rFonts w:ascii="SimSun" w:hAnsi="SimSun" w:eastAsia="SimSun" w:cs="SimSun"/>
          <w:sz w:val="21"/>
          <w:szCs w:val="21"/>
          <w:spacing w:val="-6"/>
        </w:rPr>
        <w:t>开放、多元的全渠道体系。报告期末,</w:t>
      </w:r>
      <w:r>
        <w:rPr>
          <w:rFonts w:ascii="SimSun" w:hAnsi="SimSun" w:eastAsia="SimSun" w:cs="SimSun"/>
          <w:sz w:val="21"/>
          <w:szCs w:val="21"/>
          <w:spacing w:val="-63"/>
        </w:rPr>
        <w:t xml:space="preserve"> </w:t>
      </w:r>
      <w:r>
        <w:rPr>
          <w:rFonts w:ascii="SimSun" w:hAnsi="SimSun" w:eastAsia="SimSun" w:cs="SimSun"/>
          <w:sz w:val="21"/>
          <w:szCs w:val="21"/>
          <w:spacing w:val="-6"/>
        </w:rPr>
        <w:t>理财产品余额</w:t>
      </w:r>
      <w:r>
        <w:rPr>
          <w:rFonts w:ascii="SimSun" w:hAnsi="SimSun" w:eastAsia="SimSun" w:cs="SimSun"/>
          <w:sz w:val="21"/>
          <w:szCs w:val="21"/>
          <w:spacing w:val="-29"/>
        </w:rPr>
        <w:t xml:space="preserve"> </w:t>
      </w:r>
      <w:r>
        <w:rPr>
          <w:rFonts w:ascii="Times New Roman" w:hAnsi="Times New Roman" w:eastAsia="Times New Roman" w:cs="Times New Roman"/>
          <w:sz w:val="21"/>
          <w:szCs w:val="21"/>
          <w:spacing w:val="-6"/>
        </w:rPr>
        <w:t>10,85</w:t>
      </w:r>
      <w:r>
        <w:rPr>
          <w:rFonts w:ascii="Times New Roman" w:hAnsi="Times New Roman" w:eastAsia="Times New Roman" w:cs="Times New Roman"/>
          <w:sz w:val="21"/>
          <w:szCs w:val="21"/>
          <w:spacing w:val="-7"/>
        </w:rPr>
        <w:t>4.38</w:t>
      </w:r>
      <w:r>
        <w:rPr>
          <w:rFonts w:ascii="Times New Roman" w:hAnsi="Times New Roman" w:eastAsia="Times New Roman" w:cs="Times New Roman"/>
          <w:sz w:val="21"/>
          <w:szCs w:val="21"/>
        </w:rPr>
        <w:t xml:space="preserve"> </w:t>
      </w:r>
      <w:r>
        <w:rPr>
          <w:rFonts w:ascii="SimSun" w:hAnsi="SimSun" w:eastAsia="SimSun" w:cs="SimSun"/>
          <w:sz w:val="21"/>
          <w:szCs w:val="21"/>
          <w:spacing w:val="-2"/>
        </w:rPr>
        <w:t>亿元,</w:t>
      </w:r>
      <w:r>
        <w:rPr>
          <w:rFonts w:ascii="SimSun" w:hAnsi="SimSun" w:eastAsia="SimSun" w:cs="SimSun"/>
          <w:sz w:val="21"/>
          <w:szCs w:val="21"/>
          <w:spacing w:val="29"/>
        </w:rPr>
        <w:t xml:space="preserve"> </w:t>
      </w:r>
      <w:r>
        <w:rPr>
          <w:rFonts w:ascii="SimSun" w:hAnsi="SimSun" w:eastAsia="SimSun" w:cs="SimSun"/>
          <w:sz w:val="21"/>
          <w:szCs w:val="21"/>
          <w:spacing w:val="-2"/>
        </w:rPr>
        <w:t>较上年末下降</w:t>
      </w:r>
      <w:r>
        <w:rPr>
          <w:rFonts w:ascii="SimSun" w:hAnsi="SimSun" w:eastAsia="SimSun" w:cs="SimSun"/>
          <w:sz w:val="21"/>
          <w:szCs w:val="21"/>
          <w:spacing w:val="-20"/>
        </w:rPr>
        <w:t xml:space="preserve"> </w:t>
      </w:r>
      <w:r>
        <w:rPr>
          <w:rFonts w:ascii="Times New Roman" w:hAnsi="Times New Roman" w:eastAsia="Times New Roman" w:cs="Times New Roman"/>
          <w:sz w:val="21"/>
          <w:szCs w:val="21"/>
          <w:spacing w:val="-2"/>
        </w:rPr>
        <w:t>11.37%</w:t>
      </w:r>
      <w:r>
        <w:rPr>
          <w:rFonts w:ascii="Times New Roman" w:hAnsi="Times New Roman" w:eastAsia="Times New Roman" w:cs="Times New Roman"/>
          <w:sz w:val="21"/>
          <w:szCs w:val="21"/>
          <w:spacing w:val="-25"/>
        </w:rPr>
        <w:t xml:space="preserve"> </w:t>
      </w:r>
      <w:r>
        <w:rPr>
          <w:rFonts w:ascii="SimSun" w:hAnsi="SimSun" w:eastAsia="SimSun" w:cs="SimSun"/>
          <w:sz w:val="21"/>
          <w:szCs w:val="21"/>
          <w:spacing w:val="-2"/>
        </w:rPr>
        <w:t>。报告期末,</w:t>
      </w:r>
      <w:r>
        <w:rPr>
          <w:rFonts w:ascii="SimSun" w:hAnsi="SimSun" w:eastAsia="SimSun" w:cs="SimSun"/>
          <w:sz w:val="21"/>
          <w:szCs w:val="21"/>
          <w:spacing w:val="36"/>
        </w:rPr>
        <w:t xml:space="preserve"> </w:t>
      </w:r>
      <w:r>
        <w:rPr>
          <w:rFonts w:ascii="SimSun" w:hAnsi="SimSun" w:eastAsia="SimSun" w:cs="SimSun"/>
          <w:sz w:val="21"/>
          <w:szCs w:val="21"/>
          <w:spacing w:val="-2"/>
        </w:rPr>
        <w:t>公司总资产</w:t>
      </w:r>
      <w:r>
        <w:rPr>
          <w:rFonts w:ascii="SimSun" w:hAnsi="SimSun" w:eastAsia="SimSun" w:cs="SimSun"/>
          <w:sz w:val="21"/>
          <w:szCs w:val="21"/>
          <w:spacing w:val="-21"/>
        </w:rPr>
        <w:t xml:space="preserve"> </w:t>
      </w:r>
      <w:r>
        <w:rPr>
          <w:rFonts w:ascii="Times New Roman" w:hAnsi="Times New Roman" w:eastAsia="Times New Roman" w:cs="Times New Roman"/>
          <w:sz w:val="21"/>
          <w:szCs w:val="21"/>
          <w:spacing w:val="-2"/>
        </w:rPr>
        <w:t>114.</w:t>
      </w:r>
      <w:r>
        <w:rPr>
          <w:rFonts w:ascii="Times New Roman" w:hAnsi="Times New Roman" w:eastAsia="Times New Roman" w:cs="Times New Roman"/>
          <w:sz w:val="21"/>
          <w:szCs w:val="21"/>
          <w:spacing w:val="-3"/>
        </w:rPr>
        <w:t>58</w:t>
      </w:r>
      <w:r>
        <w:rPr>
          <w:rFonts w:ascii="Times New Roman" w:hAnsi="Times New Roman" w:eastAsia="Times New Roman" w:cs="Times New Roman"/>
          <w:sz w:val="21"/>
          <w:szCs w:val="21"/>
          <w:spacing w:val="14"/>
          <w:w w:val="101"/>
        </w:rPr>
        <w:t xml:space="preserve"> </w:t>
      </w:r>
      <w:r>
        <w:rPr>
          <w:rFonts w:ascii="SimSun" w:hAnsi="SimSun" w:eastAsia="SimSun" w:cs="SimSun"/>
          <w:sz w:val="21"/>
          <w:szCs w:val="21"/>
          <w:spacing w:val="-3"/>
        </w:rPr>
        <w:t>亿元,净资产</w:t>
      </w:r>
      <w:r>
        <w:rPr>
          <w:rFonts w:ascii="SimSun" w:hAnsi="SimSun" w:eastAsia="SimSun" w:cs="SimSun"/>
          <w:sz w:val="21"/>
          <w:szCs w:val="21"/>
          <w:spacing w:val="-23"/>
        </w:rPr>
        <w:t xml:space="preserve"> </w:t>
      </w:r>
      <w:r>
        <w:rPr>
          <w:rFonts w:ascii="Times New Roman" w:hAnsi="Times New Roman" w:eastAsia="Times New Roman" w:cs="Times New Roman"/>
          <w:sz w:val="21"/>
          <w:szCs w:val="21"/>
          <w:spacing w:val="-3"/>
        </w:rPr>
        <w:t>110.99</w:t>
      </w:r>
      <w:r>
        <w:rPr>
          <w:rFonts w:ascii="Times New Roman" w:hAnsi="Times New Roman" w:eastAsia="Times New Roman" w:cs="Times New Roman"/>
          <w:sz w:val="21"/>
          <w:szCs w:val="21"/>
          <w:spacing w:val="17"/>
        </w:rPr>
        <w:t xml:space="preserve"> </w:t>
      </w:r>
      <w:r>
        <w:rPr>
          <w:rFonts w:ascii="SimSun" w:hAnsi="SimSun" w:eastAsia="SimSun" w:cs="SimSun"/>
          <w:sz w:val="21"/>
          <w:szCs w:val="21"/>
          <w:spacing w:val="-3"/>
        </w:rPr>
        <w:t>亿元;</w:t>
      </w:r>
      <w:r>
        <w:rPr>
          <w:rFonts w:ascii="SimSun" w:hAnsi="SimSun" w:eastAsia="SimSun" w:cs="SimSun"/>
          <w:sz w:val="21"/>
          <w:szCs w:val="21"/>
          <w:spacing w:val="27"/>
        </w:rPr>
        <w:t xml:space="preserve"> </w:t>
      </w:r>
      <w:r>
        <w:rPr>
          <w:rFonts w:ascii="SimSun" w:hAnsi="SimSun" w:eastAsia="SimSun" w:cs="SimSun"/>
          <w:sz w:val="21"/>
          <w:szCs w:val="21"/>
          <w:spacing w:val="-3"/>
        </w:rPr>
        <w:t>报告期内实现净</w:t>
      </w:r>
      <w:r>
        <w:rPr>
          <w:rFonts w:ascii="SimSun" w:hAnsi="SimSun" w:eastAsia="SimSun" w:cs="SimSun"/>
          <w:sz w:val="21"/>
          <w:szCs w:val="21"/>
        </w:rPr>
        <w:t xml:space="preserve"> </w:t>
      </w:r>
      <w:r>
        <w:rPr>
          <w:rFonts w:ascii="SimSun" w:hAnsi="SimSun" w:eastAsia="SimSun" w:cs="SimSun"/>
          <w:sz w:val="21"/>
          <w:szCs w:val="21"/>
          <w:spacing w:val="-5"/>
        </w:rPr>
        <w:t>利润</w:t>
      </w:r>
      <w:r>
        <w:rPr>
          <w:rFonts w:ascii="SimSun" w:hAnsi="SimSun" w:eastAsia="SimSun" w:cs="SimSun"/>
          <w:sz w:val="21"/>
          <w:szCs w:val="21"/>
          <w:spacing w:val="-18"/>
        </w:rPr>
        <w:t xml:space="preserve"> </w:t>
      </w:r>
      <w:r>
        <w:rPr>
          <w:rFonts w:ascii="Times New Roman" w:hAnsi="Times New Roman" w:eastAsia="Times New Roman" w:cs="Times New Roman"/>
          <w:sz w:val="21"/>
          <w:szCs w:val="21"/>
          <w:spacing w:val="-5"/>
        </w:rPr>
        <w:t>11.88 </w:t>
      </w:r>
      <w:r>
        <w:rPr>
          <w:rFonts w:ascii="SimSun" w:hAnsi="SimSun" w:eastAsia="SimSun" w:cs="SimSun"/>
          <w:sz w:val="21"/>
          <w:szCs w:val="21"/>
          <w:spacing w:val="-5"/>
        </w:rPr>
        <w:t>亿元,</w:t>
      </w:r>
      <w:r>
        <w:rPr>
          <w:rFonts w:ascii="SimSun" w:hAnsi="SimSun" w:eastAsia="SimSun" w:cs="SimSun"/>
          <w:sz w:val="21"/>
          <w:szCs w:val="21"/>
          <w:spacing w:val="50"/>
        </w:rPr>
        <w:t xml:space="preserve"> </w:t>
      </w:r>
      <w:r>
        <w:rPr>
          <w:rFonts w:ascii="SimSun" w:hAnsi="SimSun" w:eastAsia="SimSun" w:cs="SimSun"/>
          <w:sz w:val="21"/>
          <w:szCs w:val="21"/>
          <w:spacing w:val="-5"/>
        </w:rPr>
        <w:t>同比增长</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5"/>
        </w:rPr>
        <w:t>2.86%</w:t>
      </w:r>
      <w:r>
        <w:rPr>
          <w:rFonts w:ascii="SimSun" w:hAnsi="SimSun" w:eastAsia="SimSun" w:cs="SimSun"/>
          <w:sz w:val="21"/>
          <w:szCs w:val="21"/>
          <w:spacing w:val="-5"/>
        </w:rPr>
        <w:t>。</w:t>
      </w:r>
    </w:p>
    <w:p>
      <w:pPr>
        <w:pStyle w:val="BodyText"/>
        <w:spacing w:line="242" w:lineRule="auto"/>
        <w:rPr/>
      </w:pPr>
      <w:r/>
    </w:p>
    <w:p>
      <w:pPr>
        <w:ind w:left="1" w:firstLine="422"/>
        <w:spacing w:before="68" w:line="293" w:lineRule="auto"/>
        <w:rPr>
          <w:rFonts w:ascii="SimSun" w:hAnsi="SimSun" w:eastAsia="SimSun" w:cs="SimSun"/>
          <w:sz w:val="21"/>
          <w:szCs w:val="21"/>
        </w:rPr>
      </w:pPr>
      <w:r>
        <w:rPr>
          <w:rFonts w:ascii="SimSun" w:hAnsi="SimSun" w:eastAsia="SimSun" w:cs="SimSun"/>
          <w:sz w:val="21"/>
          <w:szCs w:val="21"/>
          <w:spacing w:val="-1"/>
        </w:rPr>
        <w:t>报告期内,</w:t>
      </w:r>
      <w:r>
        <w:rPr>
          <w:rFonts w:ascii="SimSun" w:hAnsi="SimSun" w:eastAsia="SimSun" w:cs="SimSun"/>
          <w:sz w:val="21"/>
          <w:szCs w:val="21"/>
          <w:spacing w:val="31"/>
        </w:rPr>
        <w:t xml:space="preserve"> </w:t>
      </w:r>
      <w:r>
        <w:rPr>
          <w:rFonts w:ascii="SimSun" w:hAnsi="SimSun" w:eastAsia="SimSun" w:cs="SimSun"/>
          <w:sz w:val="21"/>
          <w:szCs w:val="21"/>
          <w:spacing w:val="-1"/>
        </w:rPr>
        <w:t>公司积极把握养老理财市场机遇, 获得养老理财产品试点资格, 个人养</w:t>
      </w:r>
      <w:r>
        <w:rPr>
          <w:rFonts w:ascii="SimSun" w:hAnsi="SimSun" w:eastAsia="SimSun" w:cs="SimSun"/>
          <w:sz w:val="21"/>
          <w:szCs w:val="21"/>
          <w:spacing w:val="-2"/>
        </w:rPr>
        <w:t>老金理财业务已首</w:t>
      </w:r>
      <w:r>
        <w:rPr>
          <w:rFonts w:ascii="SimSun" w:hAnsi="SimSun" w:eastAsia="SimSun" w:cs="SimSun"/>
          <w:sz w:val="21"/>
          <w:szCs w:val="21"/>
        </w:rPr>
        <w:t xml:space="preserve"> </w:t>
      </w:r>
      <w:r>
        <w:rPr>
          <w:rFonts w:ascii="SimSun" w:hAnsi="SimSun" w:eastAsia="SimSun" w:cs="SimSun"/>
          <w:sz w:val="21"/>
          <w:szCs w:val="21"/>
          <w:spacing w:val="8"/>
        </w:rPr>
        <w:t>批通过理财行业平台验收。未来,公司养老理财产品将突出普惠性和长期性,依托公司"投资经理</w:t>
      </w:r>
      <w:r>
        <w:rPr>
          <w:rFonts w:ascii="Times New Roman" w:hAnsi="Times New Roman" w:eastAsia="Times New Roman" w:cs="Times New Roman"/>
          <w:sz w:val="21"/>
          <w:szCs w:val="21"/>
          <w:spacing w:val="8"/>
        </w:rPr>
        <w:t>+</w:t>
      </w:r>
      <w:r>
        <w:rPr>
          <w:rFonts w:ascii="SimSun" w:hAnsi="SimSun" w:eastAsia="SimSun" w:cs="SimSun"/>
          <w:sz w:val="21"/>
          <w:szCs w:val="21"/>
          <w:spacing w:val="8"/>
        </w:rPr>
        <w:t>专业</w:t>
      </w:r>
      <w:r>
        <w:rPr>
          <w:rFonts w:ascii="SimSun" w:hAnsi="SimSun" w:eastAsia="SimSun" w:cs="SimSun"/>
          <w:sz w:val="21"/>
          <w:szCs w:val="21"/>
          <w:spacing w:val="15"/>
        </w:rPr>
        <w:t xml:space="preserve"> </w:t>
      </w:r>
      <w:r>
        <w:rPr>
          <w:rFonts w:ascii="SimSun" w:hAnsi="SimSun" w:eastAsia="SimSun" w:cs="SimSun"/>
          <w:sz w:val="21"/>
          <w:szCs w:val="21"/>
          <w:spacing w:val="-4"/>
        </w:rPr>
        <w:t>委员会"</w:t>
      </w:r>
      <w:r>
        <w:rPr>
          <w:rFonts w:ascii="SimSun" w:hAnsi="SimSun" w:eastAsia="SimSun" w:cs="SimSun"/>
          <w:sz w:val="21"/>
          <w:szCs w:val="21"/>
          <w:spacing w:val="-48"/>
        </w:rPr>
        <w:t xml:space="preserve"> </w:t>
      </w:r>
      <w:r>
        <w:rPr>
          <w:rFonts w:ascii="SimSun" w:hAnsi="SimSun" w:eastAsia="SimSun" w:cs="SimSun"/>
          <w:sz w:val="21"/>
          <w:szCs w:val="21"/>
          <w:spacing w:val="-4"/>
        </w:rPr>
        <w:t>的产投研运行机制, 支持养老产品稳健运作。报告期内, 公司蝉</w:t>
      </w:r>
      <w:r>
        <w:rPr>
          <w:rFonts w:ascii="SimSun" w:hAnsi="SimSun" w:eastAsia="SimSun" w:cs="SimSun"/>
          <w:sz w:val="21"/>
          <w:szCs w:val="21"/>
          <w:spacing w:val="-5"/>
        </w:rPr>
        <w:t>联金牛、金贝、金誉等多个奖项,</w:t>
      </w:r>
      <w:r>
        <w:rPr>
          <w:rFonts w:ascii="SimSun" w:hAnsi="SimSun" w:eastAsia="SimSun" w:cs="SimSun"/>
          <w:sz w:val="21"/>
          <w:szCs w:val="21"/>
        </w:rPr>
        <w:t xml:space="preserve">  </w:t>
      </w:r>
      <w:r>
        <w:rPr>
          <w:rFonts w:ascii="Times New Roman" w:hAnsi="Times New Roman" w:eastAsia="Times New Roman" w:cs="Times New Roman"/>
          <w:sz w:val="21"/>
          <w:szCs w:val="21"/>
        </w:rPr>
        <w:t>ESG</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4"/>
        </w:rPr>
        <w:t>理财产品获得"</w:t>
      </w:r>
      <w:r>
        <w:rPr>
          <w:rFonts w:ascii="Times New Roman" w:hAnsi="Times New Roman" w:eastAsia="Times New Roman" w:cs="Times New Roman"/>
          <w:sz w:val="21"/>
          <w:szCs w:val="21"/>
          <w:spacing w:val="4"/>
        </w:rPr>
        <w:t>2022 </w:t>
      </w:r>
      <w:r>
        <w:rPr>
          <w:rFonts w:ascii="SimSun" w:hAnsi="SimSun" w:eastAsia="SimSun" w:cs="SimSun"/>
          <w:sz w:val="21"/>
          <w:szCs w:val="21"/>
          <w:spacing w:val="4"/>
        </w:rPr>
        <w:t>财联社绿水金山奖·绿色金融产品创新奖"。</w:t>
      </w:r>
    </w:p>
    <w:p>
      <w:pPr>
        <w:ind w:left="4" w:firstLine="427"/>
        <w:spacing w:before="307" w:line="297" w:lineRule="auto"/>
        <w:jc w:val="both"/>
        <w:rPr>
          <w:rFonts w:ascii="SimSun" w:hAnsi="SimSun" w:eastAsia="SimSun" w:cs="SimSun"/>
          <w:sz w:val="21"/>
          <w:szCs w:val="21"/>
        </w:rPr>
      </w:pPr>
      <w:r>
        <w:rPr>
          <w:rFonts w:ascii="SimSun" w:hAnsi="SimSun" w:eastAsia="SimSun" w:cs="SimSun"/>
          <w:sz w:val="21"/>
          <w:szCs w:val="21"/>
          <w:b/>
          <w:bCs/>
          <w:spacing w:val="-2"/>
        </w:rPr>
        <w:t>交银人寿保险有限公司</w:t>
      </w:r>
      <w:r>
        <w:rPr>
          <w:rFonts w:ascii="SimSun" w:hAnsi="SimSun" w:eastAsia="SimSun" w:cs="SimSun"/>
          <w:sz w:val="21"/>
          <w:szCs w:val="21"/>
          <w:spacing w:val="-2"/>
        </w:rPr>
        <w:t xml:space="preserve">  </w:t>
      </w:r>
      <w:r>
        <w:rPr>
          <w:rFonts w:ascii="Times New Roman" w:hAnsi="Times New Roman" w:eastAsia="Times New Roman" w:cs="Times New Roman"/>
          <w:sz w:val="21"/>
          <w:szCs w:val="21"/>
          <w:spacing w:val="-2"/>
        </w:rPr>
        <w:t>2010 </w:t>
      </w:r>
      <w:r>
        <w:rPr>
          <w:rFonts w:ascii="SimSun" w:hAnsi="SimSun" w:eastAsia="SimSun" w:cs="SimSun"/>
          <w:sz w:val="21"/>
          <w:szCs w:val="21"/>
          <w:spacing w:val="-2"/>
        </w:rPr>
        <w:t>年</w:t>
      </w:r>
      <w:r>
        <w:rPr>
          <w:rFonts w:ascii="SimSun" w:hAnsi="SimSun" w:eastAsia="SimSun" w:cs="SimSun"/>
          <w:sz w:val="21"/>
          <w:szCs w:val="21"/>
          <w:spacing w:val="-30"/>
        </w:rPr>
        <w:t xml:space="preserve"> </w:t>
      </w:r>
      <w:r>
        <w:rPr>
          <w:rFonts w:ascii="Times New Roman" w:hAnsi="Times New Roman" w:eastAsia="Times New Roman" w:cs="Times New Roman"/>
          <w:sz w:val="21"/>
          <w:szCs w:val="21"/>
          <w:spacing w:val="-2"/>
        </w:rPr>
        <w:t>1</w:t>
      </w:r>
      <w:r>
        <w:rPr>
          <w:rFonts w:ascii="Times New Roman" w:hAnsi="Times New Roman" w:eastAsia="Times New Roman" w:cs="Times New Roman"/>
          <w:sz w:val="21"/>
          <w:szCs w:val="21"/>
          <w:spacing w:val="14"/>
        </w:rPr>
        <w:t xml:space="preserve"> </w:t>
      </w:r>
      <w:r>
        <w:rPr>
          <w:rFonts w:ascii="SimSun" w:hAnsi="SimSun" w:eastAsia="SimSun" w:cs="SimSun"/>
          <w:sz w:val="21"/>
          <w:szCs w:val="21"/>
          <w:spacing w:val="-2"/>
        </w:rPr>
        <w:t>月成立, 注册资本</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2"/>
        </w:rPr>
        <w:t>51</w:t>
      </w:r>
      <w:r>
        <w:rPr>
          <w:rFonts w:ascii="Times New Roman" w:hAnsi="Times New Roman" w:eastAsia="Times New Roman" w:cs="Times New Roman"/>
          <w:sz w:val="21"/>
          <w:szCs w:val="21"/>
          <w:spacing w:val="7"/>
        </w:rPr>
        <w:t xml:space="preserve"> </w:t>
      </w:r>
      <w:r>
        <w:rPr>
          <w:rFonts w:ascii="SimSun" w:hAnsi="SimSun" w:eastAsia="SimSun" w:cs="SimSun"/>
          <w:sz w:val="21"/>
          <w:szCs w:val="21"/>
          <w:spacing w:val="-2"/>
        </w:rPr>
        <w:t>亿元, 本行和日本</w:t>
      </w:r>
      <w:r>
        <w:rPr>
          <w:rFonts w:ascii="SimSun" w:hAnsi="SimSun" w:eastAsia="SimSun" w:cs="SimSun"/>
          <w:sz w:val="21"/>
          <w:szCs w:val="21"/>
          <w:spacing w:val="-52"/>
        </w:rPr>
        <w:t xml:space="preserve"> </w:t>
      </w:r>
      <w:r>
        <w:rPr>
          <w:rFonts w:ascii="Times New Roman" w:hAnsi="Times New Roman" w:eastAsia="Times New Roman" w:cs="Times New Roman"/>
          <w:sz w:val="21"/>
          <w:szCs w:val="21"/>
          <w:spacing w:val="-2"/>
        </w:rPr>
        <w:t>MS&amp;AD</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2"/>
        </w:rPr>
        <w:t>保险集团分别持</w:t>
      </w:r>
      <w:r>
        <w:rPr>
          <w:rFonts w:ascii="SimSun" w:hAnsi="SimSun" w:eastAsia="SimSun" w:cs="SimSun"/>
          <w:sz w:val="21"/>
          <w:szCs w:val="21"/>
        </w:rPr>
        <w:t xml:space="preserve"> </w:t>
      </w:r>
      <w:r>
        <w:rPr>
          <w:rFonts w:ascii="SimSun" w:hAnsi="SimSun" w:eastAsia="SimSun" w:cs="SimSun"/>
          <w:sz w:val="21"/>
          <w:szCs w:val="21"/>
          <w:spacing w:val="-1"/>
        </w:rPr>
        <w:t>股</w:t>
      </w:r>
      <w:r>
        <w:rPr>
          <w:rFonts w:ascii="SimSun" w:hAnsi="SimSun" w:eastAsia="SimSun" w:cs="SimSun"/>
          <w:sz w:val="21"/>
          <w:szCs w:val="21"/>
          <w:spacing w:val="-15"/>
        </w:rPr>
        <w:t xml:space="preserve"> </w:t>
      </w:r>
      <w:r>
        <w:rPr>
          <w:rFonts w:ascii="Times New Roman" w:hAnsi="Times New Roman" w:eastAsia="Times New Roman" w:cs="Times New Roman"/>
          <w:sz w:val="21"/>
          <w:szCs w:val="21"/>
          <w:spacing w:val="-1"/>
        </w:rPr>
        <w:t>62.50%</w:t>
      </w:r>
      <w:r>
        <w:rPr>
          <w:rFonts w:ascii="SimSun" w:hAnsi="SimSun" w:eastAsia="SimSun" w:cs="SimSun"/>
          <w:sz w:val="21"/>
          <w:szCs w:val="21"/>
          <w:spacing w:val="-1"/>
        </w:rPr>
        <w:t>和</w:t>
      </w:r>
      <w:r>
        <w:rPr>
          <w:rFonts w:ascii="SimSun" w:hAnsi="SimSun" w:eastAsia="SimSun" w:cs="SimSun"/>
          <w:sz w:val="21"/>
          <w:szCs w:val="21"/>
          <w:spacing w:val="-22"/>
        </w:rPr>
        <w:t xml:space="preserve"> </w:t>
      </w:r>
      <w:r>
        <w:rPr>
          <w:rFonts w:ascii="Times New Roman" w:hAnsi="Times New Roman" w:eastAsia="Times New Roman" w:cs="Times New Roman"/>
          <w:sz w:val="21"/>
          <w:szCs w:val="21"/>
          <w:spacing w:val="-1"/>
        </w:rPr>
        <w:t>37.50%</w:t>
      </w:r>
      <w:r>
        <w:rPr>
          <w:rFonts w:ascii="SimSun" w:hAnsi="SimSun" w:eastAsia="SimSun" w:cs="SimSun"/>
          <w:sz w:val="21"/>
          <w:szCs w:val="21"/>
          <w:spacing w:val="-1"/>
        </w:rPr>
        <w:t>,</w:t>
      </w:r>
      <w:r>
        <w:rPr>
          <w:rFonts w:ascii="SimSun" w:hAnsi="SimSun" w:eastAsia="SimSun" w:cs="SimSun"/>
          <w:sz w:val="21"/>
          <w:szCs w:val="21"/>
          <w:spacing w:val="28"/>
        </w:rPr>
        <w:t xml:space="preserve"> </w:t>
      </w:r>
      <w:r>
        <w:rPr>
          <w:rFonts w:ascii="SimSun" w:hAnsi="SimSun" w:eastAsia="SimSun" w:cs="SimSun"/>
          <w:sz w:val="21"/>
          <w:szCs w:val="21"/>
          <w:spacing w:val="-1"/>
        </w:rPr>
        <w:t>在上海市以及设立分公司的地区经营人寿保险、健康保险和意外伤害保险等保险业</w:t>
      </w:r>
      <w:r>
        <w:rPr>
          <w:rFonts w:ascii="SimSun" w:hAnsi="SimSun" w:eastAsia="SimSun" w:cs="SimSun"/>
          <w:sz w:val="21"/>
          <w:szCs w:val="21"/>
        </w:rPr>
        <w:t xml:space="preserve"> </w:t>
      </w:r>
      <w:r>
        <w:rPr>
          <w:rFonts w:ascii="SimSun" w:hAnsi="SimSun" w:eastAsia="SimSun" w:cs="SimSun"/>
          <w:sz w:val="21"/>
          <w:szCs w:val="21"/>
          <w:spacing w:val="5"/>
        </w:rPr>
        <w:t>务,以及上述业务的再保险业务等。报告期末,公司总资产</w:t>
      </w:r>
      <w:r>
        <w:rPr>
          <w:rFonts w:ascii="SimSun" w:hAnsi="SimSun" w:eastAsia="SimSun" w:cs="SimSun"/>
          <w:sz w:val="21"/>
          <w:szCs w:val="21"/>
          <w:spacing w:val="-20"/>
        </w:rPr>
        <w:t xml:space="preserve"> </w:t>
      </w:r>
      <w:r>
        <w:rPr>
          <w:rFonts w:ascii="Times New Roman" w:hAnsi="Times New Roman" w:eastAsia="Times New Roman" w:cs="Times New Roman"/>
          <w:sz w:val="21"/>
          <w:szCs w:val="21"/>
          <w:spacing w:val="5"/>
        </w:rPr>
        <w:t>1,099.16</w:t>
      </w:r>
      <w:r>
        <w:rPr>
          <w:rFonts w:ascii="Times New Roman" w:hAnsi="Times New Roman" w:eastAsia="Times New Roman" w:cs="Times New Roman"/>
          <w:sz w:val="21"/>
          <w:szCs w:val="21"/>
          <w:spacing w:val="16"/>
          <w:w w:val="101"/>
        </w:rPr>
        <w:t xml:space="preserve"> </w:t>
      </w:r>
      <w:r>
        <w:rPr>
          <w:rFonts w:ascii="SimSun" w:hAnsi="SimSun" w:eastAsia="SimSun" w:cs="SimSun"/>
          <w:sz w:val="21"/>
          <w:szCs w:val="21"/>
          <w:spacing w:val="5"/>
        </w:rPr>
        <w:t>亿元,</w:t>
      </w:r>
      <w:r>
        <w:rPr>
          <w:rFonts w:ascii="SimSun" w:hAnsi="SimSun" w:eastAsia="SimSun" w:cs="SimSun"/>
          <w:sz w:val="21"/>
          <w:szCs w:val="21"/>
          <w:spacing w:val="31"/>
        </w:rPr>
        <w:t xml:space="preserve"> </w:t>
      </w:r>
      <w:r>
        <w:rPr>
          <w:rFonts w:ascii="SimSun" w:hAnsi="SimSun" w:eastAsia="SimSun" w:cs="SimSun"/>
          <w:sz w:val="21"/>
          <w:szCs w:val="21"/>
          <w:spacing w:val="5"/>
        </w:rPr>
        <w:t>净</w:t>
      </w:r>
      <w:r>
        <w:rPr>
          <w:rFonts w:ascii="SimSun" w:hAnsi="SimSun" w:eastAsia="SimSun" w:cs="SimSun"/>
          <w:sz w:val="21"/>
          <w:szCs w:val="21"/>
          <w:spacing w:val="4"/>
        </w:rPr>
        <w:t>资产</w:t>
      </w:r>
      <w:r>
        <w:rPr>
          <w:rFonts w:ascii="SimSun" w:hAnsi="SimSun" w:eastAsia="SimSun" w:cs="SimSun"/>
          <w:sz w:val="21"/>
          <w:szCs w:val="21"/>
          <w:spacing w:val="-39"/>
        </w:rPr>
        <w:t xml:space="preserve"> </w:t>
      </w:r>
      <w:r>
        <w:rPr>
          <w:rFonts w:ascii="Times New Roman" w:hAnsi="Times New Roman" w:eastAsia="Times New Roman" w:cs="Times New Roman"/>
          <w:sz w:val="21"/>
          <w:szCs w:val="21"/>
          <w:spacing w:val="4"/>
        </w:rPr>
        <w:t>71.67 </w:t>
      </w:r>
      <w:r>
        <w:rPr>
          <w:rFonts w:ascii="SimSun" w:hAnsi="SimSun" w:eastAsia="SimSun" w:cs="SimSun"/>
          <w:sz w:val="21"/>
          <w:szCs w:val="21"/>
          <w:spacing w:val="4"/>
        </w:rPr>
        <w:t>亿元;报告期内</w:t>
      </w:r>
      <w:r>
        <w:rPr>
          <w:rFonts w:ascii="SimSun" w:hAnsi="SimSun" w:eastAsia="SimSun" w:cs="SimSun"/>
          <w:sz w:val="21"/>
          <w:szCs w:val="21"/>
        </w:rPr>
        <w:t xml:space="preserve"> </w:t>
      </w:r>
      <w:r>
        <w:rPr>
          <w:rFonts w:ascii="SimSun" w:hAnsi="SimSun" w:eastAsia="SimSun" w:cs="SimSun"/>
          <w:sz w:val="21"/>
          <w:szCs w:val="21"/>
          <w:spacing w:val="-3"/>
        </w:rPr>
        <w:t>实现原保费收入</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3"/>
        </w:rPr>
        <w:t>181.44 </w:t>
      </w:r>
      <w:r>
        <w:rPr>
          <w:rFonts w:ascii="SimSun" w:hAnsi="SimSun" w:eastAsia="SimSun" w:cs="SimSun"/>
          <w:sz w:val="21"/>
          <w:szCs w:val="21"/>
          <w:spacing w:val="-3"/>
        </w:rPr>
        <w:t>亿元,</w:t>
      </w:r>
      <w:r>
        <w:rPr>
          <w:rFonts w:ascii="SimSun" w:hAnsi="SimSun" w:eastAsia="SimSun" w:cs="SimSun"/>
          <w:sz w:val="21"/>
          <w:szCs w:val="21"/>
          <w:spacing w:val="37"/>
        </w:rPr>
        <w:t xml:space="preserve"> </w:t>
      </w:r>
      <w:r>
        <w:rPr>
          <w:rFonts w:ascii="SimSun" w:hAnsi="SimSun" w:eastAsia="SimSun" w:cs="SimSun"/>
          <w:sz w:val="21"/>
          <w:szCs w:val="21"/>
          <w:spacing w:val="-3"/>
        </w:rPr>
        <w:t>同比增长</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3"/>
        </w:rPr>
        <w:t>7.10%</w:t>
      </w:r>
      <w:r>
        <w:rPr>
          <w:rFonts w:ascii="SimSun" w:hAnsi="SimSun" w:eastAsia="SimSun" w:cs="SimSun"/>
          <w:sz w:val="21"/>
          <w:szCs w:val="21"/>
          <w:spacing w:val="-3"/>
        </w:rPr>
        <w:t>; 新业务价值</w:t>
      </w:r>
      <w:r>
        <w:rPr>
          <w:rFonts w:ascii="SimSun" w:hAnsi="SimSun" w:eastAsia="SimSun" w:cs="SimSun"/>
          <w:sz w:val="21"/>
          <w:szCs w:val="21"/>
          <w:spacing w:val="-39"/>
        </w:rPr>
        <w:t xml:space="preserve"> </w:t>
      </w:r>
      <w:r>
        <w:rPr>
          <w:rFonts w:ascii="Times New Roman" w:hAnsi="Times New Roman" w:eastAsia="Times New Roman" w:cs="Times New Roman"/>
          <w:sz w:val="21"/>
          <w:szCs w:val="21"/>
          <w:spacing w:val="-3"/>
        </w:rPr>
        <w:t>8.81 </w:t>
      </w:r>
      <w:r>
        <w:rPr>
          <w:rFonts w:ascii="SimSun" w:hAnsi="SimSun" w:eastAsia="SimSun" w:cs="SimSun"/>
          <w:sz w:val="21"/>
          <w:szCs w:val="21"/>
          <w:spacing w:val="-3"/>
        </w:rPr>
        <w:t>亿元</w:t>
      </w:r>
      <w:r>
        <w:rPr>
          <w:rFonts w:ascii="SimSun" w:hAnsi="SimSun" w:eastAsia="SimSun" w:cs="SimSun"/>
          <w:sz w:val="21"/>
          <w:szCs w:val="21"/>
          <w:spacing w:val="-4"/>
        </w:rPr>
        <w:t>,</w:t>
      </w:r>
      <w:r>
        <w:rPr>
          <w:rFonts w:ascii="SimSun" w:hAnsi="SimSun" w:eastAsia="SimSun" w:cs="SimSun"/>
          <w:sz w:val="21"/>
          <w:szCs w:val="21"/>
          <w:spacing w:val="35"/>
        </w:rPr>
        <w:t xml:space="preserve"> </w:t>
      </w:r>
      <w:r>
        <w:rPr>
          <w:rFonts w:ascii="SimSun" w:hAnsi="SimSun" w:eastAsia="SimSun" w:cs="SimSun"/>
          <w:sz w:val="21"/>
          <w:szCs w:val="21"/>
          <w:spacing w:val="-4"/>
        </w:rPr>
        <w:t>同比增长</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4"/>
        </w:rPr>
        <w:t>5.30%</w:t>
      </w:r>
      <w:r>
        <w:rPr>
          <w:rFonts w:ascii="SimSun" w:hAnsi="SimSun" w:eastAsia="SimSun" w:cs="SimSun"/>
          <w:sz w:val="21"/>
          <w:szCs w:val="21"/>
          <w:spacing w:val="-4"/>
        </w:rPr>
        <w:t>。受资本市场波动</w:t>
      </w:r>
      <w:r>
        <w:rPr>
          <w:rFonts w:ascii="SimSun" w:hAnsi="SimSun" w:eastAsia="SimSun" w:cs="SimSun"/>
          <w:sz w:val="21"/>
          <w:szCs w:val="21"/>
        </w:rPr>
        <w:t xml:space="preserve"> </w:t>
      </w:r>
      <w:r>
        <w:rPr>
          <w:rFonts w:ascii="SimSun" w:hAnsi="SimSun" w:eastAsia="SimSun" w:cs="SimSun"/>
          <w:sz w:val="21"/>
          <w:szCs w:val="21"/>
          <w:spacing w:val="2"/>
        </w:rPr>
        <w:t>影响,</w:t>
      </w:r>
      <w:r>
        <w:rPr>
          <w:rFonts w:ascii="SimSun" w:hAnsi="SimSun" w:eastAsia="SimSun" w:cs="SimSun"/>
          <w:sz w:val="21"/>
          <w:szCs w:val="21"/>
          <w:spacing w:val="39"/>
        </w:rPr>
        <w:t xml:space="preserve"> </w:t>
      </w:r>
      <w:r>
        <w:rPr>
          <w:rFonts w:ascii="SimSun" w:hAnsi="SimSun" w:eastAsia="SimSun" w:cs="SimSun"/>
          <w:sz w:val="21"/>
          <w:szCs w:val="21"/>
          <w:spacing w:val="2"/>
        </w:rPr>
        <w:t>投资收益减少,报告期内净亏损</w:t>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2"/>
        </w:rPr>
        <w:t>5.91 </w:t>
      </w:r>
      <w:r>
        <w:rPr>
          <w:rFonts w:ascii="SimSun" w:hAnsi="SimSun" w:eastAsia="SimSun" w:cs="SimSun"/>
          <w:sz w:val="21"/>
          <w:szCs w:val="21"/>
          <w:spacing w:val="2"/>
        </w:rPr>
        <w:t>亿元。</w:t>
      </w:r>
    </w:p>
    <w:p>
      <w:pPr>
        <w:pStyle w:val="BodyText"/>
        <w:rPr/>
      </w:pPr>
      <w:r/>
    </w:p>
    <w:p>
      <w:pPr>
        <w:ind w:left="4" w:firstLine="419"/>
        <w:spacing w:before="69" w:line="292" w:lineRule="auto"/>
        <w:jc w:val="both"/>
        <w:rPr>
          <w:rFonts w:ascii="SimSun" w:hAnsi="SimSun" w:eastAsia="SimSun" w:cs="SimSun"/>
          <w:sz w:val="21"/>
          <w:szCs w:val="21"/>
        </w:rPr>
      </w:pPr>
      <w:r>
        <w:rPr>
          <w:rFonts w:ascii="SimSun" w:hAnsi="SimSun" w:eastAsia="SimSun" w:cs="SimSun"/>
          <w:sz w:val="21"/>
          <w:szCs w:val="21"/>
          <w:spacing w:val="-2"/>
        </w:rPr>
        <w:t>报告期内,</w:t>
      </w:r>
      <w:r>
        <w:rPr>
          <w:rFonts w:ascii="SimSun" w:hAnsi="SimSun" w:eastAsia="SimSun" w:cs="SimSun"/>
          <w:sz w:val="21"/>
          <w:szCs w:val="21"/>
          <w:spacing w:val="41"/>
        </w:rPr>
        <w:t xml:space="preserve"> </w:t>
      </w:r>
      <w:r>
        <w:rPr>
          <w:rFonts w:ascii="SimSun" w:hAnsi="SimSun" w:eastAsia="SimSun" w:cs="SimSun"/>
          <w:sz w:val="21"/>
          <w:szCs w:val="21"/>
          <w:spacing w:val="-2"/>
        </w:rPr>
        <w:t>公司以客户为中心优化多元产品供给, 满足不同阶段客户的保险需求,</w:t>
      </w:r>
      <w:r>
        <w:rPr>
          <w:rFonts w:ascii="SimSun" w:hAnsi="SimSun" w:eastAsia="SimSun" w:cs="SimSun"/>
          <w:sz w:val="21"/>
          <w:szCs w:val="21"/>
          <w:spacing w:val="26"/>
        </w:rPr>
        <w:t xml:space="preserve"> </w:t>
      </w:r>
      <w:r>
        <w:rPr>
          <w:rFonts w:ascii="SimSun" w:hAnsi="SimSun" w:eastAsia="SimSun" w:cs="SimSun"/>
          <w:sz w:val="21"/>
          <w:szCs w:val="21"/>
          <w:spacing w:val="-2"/>
        </w:rPr>
        <w:t>完善养老服务体系</w:t>
      </w:r>
      <w:r>
        <w:rPr>
          <w:rFonts w:ascii="SimSun" w:hAnsi="SimSun" w:eastAsia="SimSun" w:cs="SimSun"/>
          <w:sz w:val="21"/>
          <w:szCs w:val="21"/>
        </w:rPr>
        <w:t xml:space="preserve"> </w:t>
      </w:r>
      <w:r>
        <w:rPr>
          <w:rFonts w:ascii="SimSun" w:hAnsi="SimSun" w:eastAsia="SimSun" w:cs="SimSun"/>
          <w:sz w:val="21"/>
          <w:szCs w:val="21"/>
          <w:spacing w:val="4"/>
        </w:rPr>
        <w:t>建设, 获得</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4"/>
        </w:rPr>
        <w:t>2022 </w:t>
      </w:r>
      <w:r>
        <w:rPr>
          <w:rFonts w:ascii="SimSun" w:hAnsi="SimSun" w:eastAsia="SimSun" w:cs="SimSun"/>
          <w:sz w:val="21"/>
          <w:szCs w:val="21"/>
          <w:spacing w:val="4"/>
        </w:rPr>
        <w:t>年金鼎奖"年度卓越养老保险服务提供商"。强化"大银保"</w:t>
      </w:r>
      <w:r>
        <w:rPr>
          <w:rFonts w:ascii="SimSun" w:hAnsi="SimSun" w:eastAsia="SimSun" w:cs="SimSun"/>
          <w:sz w:val="21"/>
          <w:szCs w:val="21"/>
          <w:spacing w:val="-31"/>
        </w:rPr>
        <w:t xml:space="preserve"> </w:t>
      </w:r>
      <w:r>
        <w:rPr>
          <w:rFonts w:ascii="SimSun" w:hAnsi="SimSun" w:eastAsia="SimSun" w:cs="SimSun"/>
          <w:sz w:val="21"/>
          <w:szCs w:val="21"/>
          <w:spacing w:val="4"/>
        </w:rPr>
        <w:t>服务能力, 财富规划师等专</w:t>
      </w:r>
      <w:r>
        <w:rPr>
          <w:rFonts w:ascii="SimSun" w:hAnsi="SimSun" w:eastAsia="SimSun" w:cs="SimSun"/>
          <w:sz w:val="21"/>
          <w:szCs w:val="21"/>
        </w:rPr>
        <w:t xml:space="preserve"> </w:t>
      </w:r>
      <w:r>
        <w:rPr>
          <w:rFonts w:ascii="SimSun" w:hAnsi="SimSun" w:eastAsia="SimSun" w:cs="SimSun"/>
          <w:sz w:val="21"/>
          <w:szCs w:val="21"/>
          <w:spacing w:val="-2"/>
        </w:rPr>
        <w:t>业队伍建设和能力培育继续提升。发挥集团一体化优势,</w:t>
      </w:r>
      <w:r>
        <w:rPr>
          <w:rFonts w:ascii="SimSun" w:hAnsi="SimSun" w:eastAsia="SimSun" w:cs="SimSun"/>
          <w:sz w:val="21"/>
          <w:szCs w:val="21"/>
          <w:spacing w:val="48"/>
        </w:rPr>
        <w:t xml:space="preserve"> </w:t>
      </w:r>
      <w:r>
        <w:rPr>
          <w:rFonts w:ascii="SimSun" w:hAnsi="SimSun" w:eastAsia="SimSun" w:cs="SimSun"/>
          <w:sz w:val="21"/>
          <w:szCs w:val="21"/>
          <w:spacing w:val="-2"/>
        </w:rPr>
        <w:t>以保险金及保险金信托为</w:t>
      </w:r>
      <w:r>
        <w:rPr>
          <w:rFonts w:ascii="SimSun" w:hAnsi="SimSun" w:eastAsia="SimSun" w:cs="SimSun"/>
          <w:sz w:val="21"/>
          <w:szCs w:val="21"/>
          <w:spacing w:val="-3"/>
        </w:rPr>
        <w:t>抓手,</w:t>
      </w:r>
      <w:r>
        <w:rPr>
          <w:rFonts w:ascii="SimSun" w:hAnsi="SimSun" w:eastAsia="SimSun" w:cs="SimSun"/>
          <w:sz w:val="21"/>
          <w:szCs w:val="21"/>
          <w:spacing w:val="30"/>
        </w:rPr>
        <w:t xml:space="preserve"> </w:t>
      </w:r>
      <w:r>
        <w:rPr>
          <w:rFonts w:ascii="SimSun" w:hAnsi="SimSun" w:eastAsia="SimSun" w:cs="SimSun"/>
          <w:sz w:val="21"/>
          <w:szCs w:val="21"/>
          <w:spacing w:val="-3"/>
        </w:rPr>
        <w:t>聚焦高净值客户</w:t>
      </w:r>
      <w:r>
        <w:rPr>
          <w:rFonts w:ascii="SimSun" w:hAnsi="SimSun" w:eastAsia="SimSun" w:cs="SimSun"/>
          <w:sz w:val="21"/>
          <w:szCs w:val="21"/>
        </w:rPr>
        <w:t xml:space="preserve"> </w:t>
      </w:r>
      <w:r>
        <w:rPr>
          <w:rFonts w:ascii="SimSun" w:hAnsi="SimSun" w:eastAsia="SimSun" w:cs="SimSun"/>
          <w:sz w:val="21"/>
          <w:szCs w:val="21"/>
          <w:spacing w:val="4"/>
        </w:rPr>
        <w:t>财富保障及传承需要,实现客户需求在集团内一站式服务。</w:t>
      </w:r>
    </w:p>
    <w:p>
      <w:pPr>
        <w:pStyle w:val="BodyText"/>
        <w:spacing w:line="243" w:lineRule="auto"/>
        <w:rPr/>
      </w:pPr>
      <w:r/>
    </w:p>
    <w:p>
      <w:pPr>
        <w:ind w:left="8" w:firstLine="423"/>
        <w:spacing w:before="68" w:line="284" w:lineRule="auto"/>
        <w:rPr>
          <w:rFonts w:ascii="Times New Roman" w:hAnsi="Times New Roman" w:eastAsia="Times New Roman" w:cs="Times New Roman"/>
          <w:sz w:val="21"/>
          <w:szCs w:val="21"/>
        </w:rPr>
      </w:pPr>
      <w:r>
        <w:rPr>
          <w:rFonts w:ascii="SimSun" w:hAnsi="SimSun" w:eastAsia="SimSun" w:cs="SimSun"/>
          <w:sz w:val="21"/>
          <w:szCs w:val="21"/>
          <w:b/>
          <w:bCs/>
          <w:spacing w:val="7"/>
        </w:rPr>
        <w:t>交银金融资产投资有限公司</w:t>
      </w:r>
      <w:r>
        <w:rPr>
          <w:rFonts w:ascii="SimSun" w:hAnsi="SimSun" w:eastAsia="SimSun" w:cs="SimSun"/>
          <w:sz w:val="21"/>
          <w:szCs w:val="21"/>
          <w:spacing w:val="7"/>
        </w:rPr>
        <w:t xml:space="preserve">  本行全资子公司,成立于</w:t>
      </w:r>
      <w:r>
        <w:rPr>
          <w:rFonts w:ascii="Times New Roman" w:hAnsi="Times New Roman" w:eastAsia="Times New Roman" w:cs="Times New Roman"/>
          <w:sz w:val="21"/>
          <w:szCs w:val="21"/>
          <w:spacing w:val="7"/>
        </w:rPr>
        <w:t>2017</w:t>
      </w:r>
      <w:r>
        <w:rPr>
          <w:rFonts w:ascii="SimSun" w:hAnsi="SimSun" w:eastAsia="SimSun" w:cs="SimSun"/>
          <w:sz w:val="21"/>
          <w:szCs w:val="21"/>
          <w:spacing w:val="7"/>
        </w:rPr>
        <w:t>年</w:t>
      </w:r>
      <w:r>
        <w:rPr>
          <w:rFonts w:ascii="Times New Roman" w:hAnsi="Times New Roman" w:eastAsia="Times New Roman" w:cs="Times New Roman"/>
          <w:sz w:val="21"/>
          <w:szCs w:val="21"/>
          <w:spacing w:val="7"/>
        </w:rPr>
        <w:t>12</w:t>
      </w:r>
      <w:r>
        <w:rPr>
          <w:rFonts w:ascii="SimSun" w:hAnsi="SimSun" w:eastAsia="SimSun" w:cs="SimSun"/>
          <w:sz w:val="21"/>
          <w:szCs w:val="21"/>
          <w:spacing w:val="7"/>
        </w:rPr>
        <w:t>月,成立时的注册资本</w:t>
      </w:r>
      <w:r>
        <w:rPr>
          <w:rFonts w:ascii="Times New Roman" w:hAnsi="Times New Roman" w:eastAsia="Times New Roman" w:cs="Times New Roman"/>
          <w:sz w:val="21"/>
          <w:szCs w:val="21"/>
          <w:spacing w:val="7"/>
        </w:rPr>
        <w:t>100</w:t>
      </w:r>
      <w:r>
        <w:rPr>
          <w:rFonts w:ascii="SimSun" w:hAnsi="SimSun" w:eastAsia="SimSun" w:cs="SimSun"/>
          <w:sz w:val="21"/>
          <w:szCs w:val="21"/>
          <w:spacing w:val="7"/>
        </w:rPr>
        <w:t>亿元,系</w:t>
      </w:r>
      <w:r>
        <w:rPr>
          <w:rFonts w:ascii="SimSun" w:hAnsi="SimSun" w:eastAsia="SimSun" w:cs="SimSun"/>
          <w:sz w:val="21"/>
          <w:szCs w:val="21"/>
          <w:spacing w:val="16"/>
        </w:rPr>
        <w:t xml:space="preserve"> </w:t>
      </w:r>
      <w:r>
        <w:rPr>
          <w:rFonts w:ascii="SimSun" w:hAnsi="SimSun" w:eastAsia="SimSun" w:cs="SimSun"/>
          <w:sz w:val="21"/>
          <w:szCs w:val="21"/>
        </w:rPr>
        <w:t>国务院确定的首批试点银行债转股实施机构,</w:t>
      </w:r>
      <w:r>
        <w:rPr>
          <w:rFonts w:ascii="SimSun" w:hAnsi="SimSun" w:eastAsia="SimSun" w:cs="SimSun"/>
          <w:sz w:val="21"/>
          <w:szCs w:val="21"/>
          <w:spacing w:val="-1"/>
        </w:rPr>
        <w:t xml:space="preserve"> 主要从事债转股及其配套支持业务。截至本报告披露日, 本</w:t>
      </w:r>
      <w:r>
        <w:rPr>
          <w:rFonts w:ascii="SimSun" w:hAnsi="SimSun" w:eastAsia="SimSun" w:cs="SimSun"/>
          <w:sz w:val="21"/>
          <w:szCs w:val="21"/>
        </w:rPr>
        <w:t xml:space="preserve"> </w:t>
      </w:r>
      <w:r>
        <w:rPr>
          <w:rFonts w:ascii="SimSun" w:hAnsi="SimSun" w:eastAsia="SimSun" w:cs="SimSun"/>
          <w:sz w:val="21"/>
          <w:szCs w:val="21"/>
          <w:spacing w:val="-4"/>
        </w:rPr>
        <w:t>行已向公司增资</w:t>
      </w:r>
      <w:r>
        <w:rPr>
          <w:rFonts w:ascii="Times New Roman" w:hAnsi="Times New Roman" w:eastAsia="Times New Roman" w:cs="Times New Roman"/>
          <w:sz w:val="21"/>
          <w:szCs w:val="21"/>
          <w:spacing w:val="-4"/>
        </w:rPr>
        <w:t>50</w:t>
      </w:r>
      <w:r>
        <w:rPr>
          <w:rFonts w:ascii="SimSun" w:hAnsi="SimSun" w:eastAsia="SimSun" w:cs="SimSun"/>
          <w:sz w:val="21"/>
          <w:szCs w:val="21"/>
          <w:spacing w:val="-4"/>
        </w:rPr>
        <w:t>亿元。报告期内,</w:t>
      </w:r>
      <w:r>
        <w:rPr>
          <w:rFonts w:ascii="SimSun" w:hAnsi="SimSun" w:eastAsia="SimSun" w:cs="SimSun"/>
          <w:sz w:val="21"/>
          <w:szCs w:val="21"/>
          <w:spacing w:val="-19"/>
        </w:rPr>
        <w:t xml:space="preserve"> </w:t>
      </w:r>
      <w:r>
        <w:rPr>
          <w:rFonts w:ascii="SimSun" w:hAnsi="SimSun" w:eastAsia="SimSun" w:cs="SimSun"/>
          <w:sz w:val="21"/>
          <w:szCs w:val="21"/>
          <w:spacing w:val="-4"/>
        </w:rPr>
        <w:t>公司坚</w:t>
      </w:r>
      <w:r>
        <w:rPr>
          <w:rFonts w:ascii="SimSun" w:hAnsi="SimSun" w:eastAsia="SimSun" w:cs="SimSun"/>
          <w:sz w:val="21"/>
          <w:szCs w:val="21"/>
          <w:spacing w:val="-5"/>
        </w:rPr>
        <w:t>持市场化债转股主责主业,</w:t>
      </w:r>
      <w:r>
        <w:rPr>
          <w:rFonts w:ascii="SimSun" w:hAnsi="SimSun" w:eastAsia="SimSun" w:cs="SimSun"/>
          <w:sz w:val="21"/>
          <w:szCs w:val="21"/>
          <w:spacing w:val="-27"/>
        </w:rPr>
        <w:t xml:space="preserve"> </w:t>
      </w:r>
      <w:r>
        <w:rPr>
          <w:rFonts w:ascii="SimSun" w:hAnsi="SimSun" w:eastAsia="SimSun" w:cs="SimSun"/>
          <w:sz w:val="21"/>
          <w:szCs w:val="21"/>
          <w:spacing w:val="-5"/>
        </w:rPr>
        <w:t>积极服务实体经济降杠杆、控风险,</w:t>
      </w:r>
      <w:r>
        <w:rPr>
          <w:rFonts w:ascii="SimSun" w:hAnsi="SimSun" w:eastAsia="SimSun" w:cs="SimSun"/>
          <w:sz w:val="21"/>
          <w:szCs w:val="21"/>
        </w:rPr>
        <w:t xml:space="preserve">  </w:t>
      </w:r>
      <w:r>
        <w:rPr>
          <w:rFonts w:ascii="SimSun" w:hAnsi="SimSun" w:eastAsia="SimSun" w:cs="SimSun"/>
          <w:sz w:val="21"/>
          <w:szCs w:val="21"/>
          <w:spacing w:val="4"/>
        </w:rPr>
        <w:t>当年净增投放</w:t>
      </w:r>
      <w:r>
        <w:rPr>
          <w:rFonts w:ascii="Times New Roman" w:hAnsi="Times New Roman" w:eastAsia="Times New Roman" w:cs="Times New Roman"/>
          <w:sz w:val="21"/>
          <w:szCs w:val="21"/>
          <w:spacing w:val="4"/>
        </w:rPr>
        <w:t>99.01</w:t>
      </w:r>
      <w:r>
        <w:rPr>
          <w:rFonts w:ascii="SimSun" w:hAnsi="SimSun" w:eastAsia="SimSun" w:cs="SimSun"/>
          <w:sz w:val="21"/>
          <w:szCs w:val="21"/>
          <w:spacing w:val="4"/>
        </w:rPr>
        <w:t>亿元。报告期末,公司通过附属机构交银</w:t>
      </w:r>
      <w:r>
        <w:rPr>
          <w:rFonts w:ascii="SimSun" w:hAnsi="SimSun" w:eastAsia="SimSun" w:cs="SimSun"/>
          <w:sz w:val="21"/>
          <w:szCs w:val="21"/>
          <w:spacing w:val="3"/>
        </w:rPr>
        <w:t>资本管理有限公司管理的基金认缴规模</w:t>
      </w:r>
      <w:r>
        <w:rPr>
          <w:rFonts w:ascii="Times New Roman" w:hAnsi="Times New Roman" w:eastAsia="Times New Roman" w:cs="Times New Roman"/>
          <w:sz w:val="21"/>
          <w:szCs w:val="21"/>
          <w:spacing w:val="3"/>
        </w:rPr>
        <w:t>83.38</w:t>
      </w:r>
    </w:p>
    <w:p>
      <w:pPr>
        <w:spacing w:line="284" w:lineRule="auto"/>
        <w:sectPr>
          <w:type w:val="continuous"/>
          <w:pgSz w:w="11907" w:h="16839"/>
          <w:pgMar w:top="1196" w:right="1128" w:bottom="1375" w:left="1136" w:header="0" w:footer="1211" w:gutter="0"/>
          <w:cols w:equalWidth="0" w:num="1">
            <w:col w:w="9643" w:space="0"/>
          </w:cols>
        </w:sectPr>
        <w:rPr>
          <w:rFonts w:ascii="Times New Roman" w:hAnsi="Times New Roman" w:eastAsia="Times New Roman" w:cs="Times New Roman"/>
          <w:sz w:val="21"/>
          <w:szCs w:val="21"/>
        </w:rPr>
      </w:pPr>
    </w:p>
    <w:p>
      <w:pPr>
        <w:ind w:right="2" w:firstLine="4"/>
        <w:spacing w:before="41" w:line="268" w:lineRule="auto"/>
        <w:rPr>
          <w:rFonts w:ascii="SimSun" w:hAnsi="SimSun" w:eastAsia="SimSun" w:cs="SimSun"/>
          <w:sz w:val="21"/>
          <w:szCs w:val="21"/>
        </w:rPr>
      </w:pPr>
      <w:r>
        <w:rPr>
          <w:rFonts w:ascii="SimSun" w:hAnsi="SimSun" w:eastAsia="SimSun" w:cs="SimSun"/>
          <w:sz w:val="21"/>
          <w:szCs w:val="21"/>
          <w:spacing w:val="-2"/>
        </w:rPr>
        <w:t>亿元,</w:t>
      </w:r>
      <w:r>
        <w:rPr>
          <w:rFonts w:ascii="SimSun" w:hAnsi="SimSun" w:eastAsia="SimSun" w:cs="SimSun"/>
          <w:sz w:val="21"/>
          <w:szCs w:val="21"/>
          <w:spacing w:val="30"/>
        </w:rPr>
        <w:t xml:space="preserve"> </w:t>
      </w:r>
      <w:r>
        <w:rPr>
          <w:rFonts w:ascii="SimSun" w:hAnsi="SimSun" w:eastAsia="SimSun" w:cs="SimSun"/>
          <w:sz w:val="21"/>
          <w:szCs w:val="21"/>
          <w:spacing w:val="-2"/>
        </w:rPr>
        <w:t>同比增长</w:t>
      </w:r>
      <w:r>
        <w:rPr>
          <w:rFonts w:ascii="Times New Roman" w:hAnsi="Times New Roman" w:eastAsia="Times New Roman" w:cs="Times New Roman"/>
          <w:sz w:val="21"/>
          <w:szCs w:val="21"/>
          <w:spacing w:val="-2"/>
        </w:rPr>
        <w:t>298.34%</w:t>
      </w:r>
      <w:r>
        <w:rPr>
          <w:rFonts w:ascii="SimSun" w:hAnsi="SimSun" w:eastAsia="SimSun" w:cs="SimSun"/>
          <w:sz w:val="21"/>
          <w:szCs w:val="21"/>
          <w:spacing w:val="-2"/>
        </w:rPr>
        <w:t>, 进一步增强股权投资业务发展动能。报告期末, 公司</w:t>
      </w:r>
      <w:r>
        <w:rPr>
          <w:rFonts w:ascii="SimSun" w:hAnsi="SimSun" w:eastAsia="SimSun" w:cs="SimSun"/>
          <w:sz w:val="21"/>
          <w:szCs w:val="21"/>
          <w:spacing w:val="-3"/>
        </w:rPr>
        <w:t>总资产</w:t>
      </w:r>
      <w:r>
        <w:rPr>
          <w:rFonts w:ascii="Times New Roman" w:hAnsi="Times New Roman" w:eastAsia="Times New Roman" w:cs="Times New Roman"/>
          <w:sz w:val="21"/>
          <w:szCs w:val="21"/>
          <w:spacing w:val="-3"/>
        </w:rPr>
        <w:t>619.56</w:t>
      </w:r>
      <w:r>
        <w:rPr>
          <w:rFonts w:ascii="SimSun" w:hAnsi="SimSun" w:eastAsia="SimSun" w:cs="SimSun"/>
          <w:sz w:val="21"/>
          <w:szCs w:val="21"/>
          <w:spacing w:val="-3"/>
        </w:rPr>
        <w:t>亿元, 净资产</w:t>
      </w:r>
      <w:r>
        <w:rPr>
          <w:rFonts w:ascii="SimSun" w:hAnsi="SimSun" w:eastAsia="SimSun" w:cs="SimSun"/>
          <w:sz w:val="21"/>
          <w:szCs w:val="21"/>
        </w:rPr>
        <w:t xml:space="preserve"> </w:t>
      </w:r>
      <w:r>
        <w:rPr>
          <w:rFonts w:ascii="Times New Roman" w:hAnsi="Times New Roman" w:eastAsia="Times New Roman" w:cs="Times New Roman"/>
          <w:sz w:val="21"/>
          <w:szCs w:val="21"/>
          <w:spacing w:val="1"/>
        </w:rPr>
        <w:t>204.15</w:t>
      </w:r>
      <w:r>
        <w:rPr>
          <w:rFonts w:ascii="SimSun" w:hAnsi="SimSun" w:eastAsia="SimSun" w:cs="SimSun"/>
          <w:sz w:val="21"/>
          <w:szCs w:val="21"/>
          <w:spacing w:val="1"/>
        </w:rPr>
        <w:t>亿元,报告期内公司实现净利润</w:t>
      </w:r>
      <w:r>
        <w:rPr>
          <w:rFonts w:ascii="Times New Roman" w:hAnsi="Times New Roman" w:eastAsia="Times New Roman" w:cs="Times New Roman"/>
          <w:sz w:val="21"/>
          <w:szCs w:val="21"/>
          <w:spacing w:val="1"/>
        </w:rPr>
        <w:t>11.24</w:t>
      </w:r>
      <w:r>
        <w:rPr>
          <w:rFonts w:ascii="SimSun" w:hAnsi="SimSun" w:eastAsia="SimSun" w:cs="SimSun"/>
          <w:sz w:val="21"/>
          <w:szCs w:val="21"/>
          <w:spacing w:val="1"/>
        </w:rPr>
        <w:t>亿元,</w:t>
      </w:r>
      <w:r>
        <w:rPr>
          <w:rFonts w:ascii="SimSun" w:hAnsi="SimSun" w:eastAsia="SimSun" w:cs="SimSun"/>
          <w:sz w:val="21"/>
          <w:szCs w:val="21"/>
          <w:spacing w:val="58"/>
        </w:rPr>
        <w:t xml:space="preserve"> </w:t>
      </w:r>
      <w:r>
        <w:rPr>
          <w:rFonts w:ascii="SimSun" w:hAnsi="SimSun" w:eastAsia="SimSun" w:cs="SimSun"/>
          <w:sz w:val="21"/>
          <w:szCs w:val="21"/>
          <w:spacing w:val="1"/>
        </w:rPr>
        <w:t>同比减少</w:t>
      </w:r>
      <w:r>
        <w:rPr>
          <w:rFonts w:ascii="Times New Roman" w:hAnsi="Times New Roman" w:eastAsia="Times New Roman" w:cs="Times New Roman"/>
          <w:sz w:val="21"/>
          <w:szCs w:val="21"/>
          <w:spacing w:val="1"/>
        </w:rPr>
        <w:t>61.32%</w:t>
      </w:r>
      <w:r>
        <w:rPr>
          <w:rFonts w:ascii="SimSun" w:hAnsi="SimSun" w:eastAsia="SimSun" w:cs="SimSun"/>
          <w:sz w:val="21"/>
          <w:szCs w:val="21"/>
          <w:spacing w:val="1"/>
        </w:rPr>
        <w:t>。</w:t>
      </w:r>
    </w:p>
    <w:p>
      <w:pPr>
        <w:pStyle w:val="BodyText"/>
        <w:spacing w:line="243" w:lineRule="auto"/>
        <w:rPr/>
      </w:pPr>
      <w:r/>
    </w:p>
    <w:p>
      <w:pPr>
        <w:ind w:left="2" w:right="1" w:firstLine="427"/>
        <w:spacing w:before="68" w:line="292" w:lineRule="auto"/>
        <w:jc w:val="both"/>
        <w:rPr>
          <w:rFonts w:ascii="SimSun" w:hAnsi="SimSun" w:eastAsia="SimSun" w:cs="SimSun"/>
          <w:sz w:val="21"/>
          <w:szCs w:val="21"/>
        </w:rPr>
      </w:pPr>
      <w:r>
        <w:rPr>
          <w:rFonts w:ascii="SimSun" w:hAnsi="SimSun" w:eastAsia="SimSun" w:cs="SimSun"/>
          <w:sz w:val="21"/>
          <w:szCs w:val="21"/>
          <w:spacing w:val="2"/>
        </w:rPr>
        <w:t>公司紧盯集团"十四五"</w:t>
      </w:r>
      <w:r>
        <w:rPr>
          <w:rFonts w:ascii="SimSun" w:hAnsi="SimSun" w:eastAsia="SimSun" w:cs="SimSun"/>
          <w:sz w:val="21"/>
          <w:szCs w:val="21"/>
          <w:spacing w:val="-19"/>
        </w:rPr>
        <w:t xml:space="preserve"> </w:t>
      </w:r>
      <w:r>
        <w:rPr>
          <w:rFonts w:ascii="SimSun" w:hAnsi="SimSun" w:eastAsia="SimSun" w:cs="SimSun"/>
          <w:sz w:val="21"/>
          <w:szCs w:val="21"/>
          <w:spacing w:val="2"/>
        </w:rPr>
        <w:t>规划导向, 持续提升上海主场、长三角和国家重点战略区域的业务比重, 加</w:t>
      </w:r>
      <w:r>
        <w:rPr>
          <w:rFonts w:ascii="SimSun" w:hAnsi="SimSun" w:eastAsia="SimSun" w:cs="SimSun"/>
          <w:sz w:val="21"/>
          <w:szCs w:val="21"/>
        </w:rPr>
        <w:t xml:space="preserve"> </w:t>
      </w:r>
      <w:r>
        <w:rPr>
          <w:rFonts w:ascii="SimSun" w:hAnsi="SimSun" w:eastAsia="SimSun" w:cs="SimSun"/>
          <w:sz w:val="21"/>
          <w:szCs w:val="21"/>
          <w:spacing w:val="-2"/>
        </w:rPr>
        <w:t>快形成科技金融服务能力,</w:t>
      </w:r>
      <w:r>
        <w:rPr>
          <w:rFonts w:ascii="SimSun" w:hAnsi="SimSun" w:eastAsia="SimSun" w:cs="SimSun"/>
          <w:sz w:val="21"/>
          <w:szCs w:val="21"/>
          <w:spacing w:val="50"/>
        </w:rPr>
        <w:t xml:space="preserve"> </w:t>
      </w:r>
      <w:r>
        <w:rPr>
          <w:rFonts w:ascii="SimSun" w:hAnsi="SimSun" w:eastAsia="SimSun" w:cs="SimSun"/>
          <w:sz w:val="21"/>
          <w:szCs w:val="21"/>
          <w:spacing w:val="-2"/>
        </w:rPr>
        <w:t>以股权投资为切入点, 深化客户合作关系,</w:t>
      </w:r>
      <w:r>
        <w:rPr>
          <w:rFonts w:ascii="SimSun" w:hAnsi="SimSun" w:eastAsia="SimSun" w:cs="SimSun"/>
          <w:sz w:val="21"/>
          <w:szCs w:val="21"/>
          <w:spacing w:val="27"/>
        </w:rPr>
        <w:t xml:space="preserve"> </w:t>
      </w:r>
      <w:r>
        <w:rPr>
          <w:rFonts w:ascii="SimSun" w:hAnsi="SimSun" w:eastAsia="SimSun" w:cs="SimSun"/>
          <w:sz w:val="21"/>
          <w:szCs w:val="21"/>
          <w:spacing w:val="-2"/>
        </w:rPr>
        <w:t>助力集团夯实客户</w:t>
      </w:r>
      <w:r>
        <w:rPr>
          <w:rFonts w:ascii="SimSun" w:hAnsi="SimSun" w:eastAsia="SimSun" w:cs="SimSun"/>
          <w:sz w:val="21"/>
          <w:szCs w:val="21"/>
          <w:spacing w:val="-3"/>
        </w:rPr>
        <w:t>和负债基础。报</w:t>
      </w:r>
      <w:r>
        <w:rPr>
          <w:rFonts w:ascii="SimSun" w:hAnsi="SimSun" w:eastAsia="SimSun" w:cs="SimSun"/>
          <w:sz w:val="21"/>
          <w:szCs w:val="21"/>
        </w:rPr>
        <w:t xml:space="preserve"> </w:t>
      </w:r>
      <w:r>
        <w:rPr>
          <w:rFonts w:ascii="SimSun" w:hAnsi="SimSun" w:eastAsia="SimSun" w:cs="SimSun"/>
          <w:sz w:val="21"/>
          <w:szCs w:val="21"/>
          <w:spacing w:val="-2"/>
        </w:rPr>
        <w:t>告期内, 公司在长三角、粤港澳大湾区、京津冀等重点区域合计投放金额占比</w:t>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2"/>
        </w:rPr>
        <w:t>58.13%</w:t>
      </w:r>
      <w:r>
        <w:rPr>
          <w:rFonts w:ascii="SimSun" w:hAnsi="SimSun" w:eastAsia="SimSun" w:cs="SimSun"/>
          <w:sz w:val="21"/>
          <w:szCs w:val="21"/>
          <w:spacing w:val="-2"/>
        </w:rPr>
        <w:t>, 其中上</w:t>
      </w:r>
      <w:r>
        <w:rPr>
          <w:rFonts w:ascii="SimSun" w:hAnsi="SimSun" w:eastAsia="SimSun" w:cs="SimSun"/>
          <w:sz w:val="21"/>
          <w:szCs w:val="21"/>
          <w:spacing w:val="-3"/>
        </w:rPr>
        <w:t>海主场投放</w:t>
      </w:r>
      <w:r>
        <w:rPr>
          <w:rFonts w:ascii="SimSun" w:hAnsi="SimSun" w:eastAsia="SimSun" w:cs="SimSun"/>
          <w:sz w:val="21"/>
          <w:szCs w:val="21"/>
        </w:rPr>
        <w:t xml:space="preserve"> </w:t>
      </w:r>
      <w:r>
        <w:rPr>
          <w:rFonts w:ascii="SimSun" w:hAnsi="SimSun" w:eastAsia="SimSun" w:cs="SimSun"/>
          <w:sz w:val="21"/>
          <w:szCs w:val="21"/>
          <w:spacing w:val="2"/>
        </w:rPr>
        <w:t>业务占比</w:t>
      </w:r>
      <w:r>
        <w:rPr>
          <w:rFonts w:ascii="SimSun" w:hAnsi="SimSun" w:eastAsia="SimSun" w:cs="SimSun"/>
          <w:sz w:val="21"/>
          <w:szCs w:val="21"/>
          <w:spacing w:val="-26"/>
        </w:rPr>
        <w:t xml:space="preserve"> </w:t>
      </w:r>
      <w:r>
        <w:rPr>
          <w:rFonts w:ascii="Times New Roman" w:hAnsi="Times New Roman" w:eastAsia="Times New Roman" w:cs="Times New Roman"/>
          <w:sz w:val="21"/>
          <w:szCs w:val="21"/>
          <w:spacing w:val="2"/>
        </w:rPr>
        <w:t>9.12%</w:t>
      </w:r>
      <w:r>
        <w:rPr>
          <w:rFonts w:ascii="SimSun" w:hAnsi="SimSun" w:eastAsia="SimSun" w:cs="SimSun"/>
          <w:sz w:val="21"/>
          <w:szCs w:val="21"/>
          <w:spacing w:val="2"/>
        </w:rPr>
        <w:t>,新增落地战略新兴行业投资金额占比</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2"/>
        </w:rPr>
        <w:t>51.27%</w:t>
      </w:r>
      <w:r>
        <w:rPr>
          <w:rFonts w:ascii="SimSun" w:hAnsi="SimSun" w:eastAsia="SimSun" w:cs="SimSun"/>
          <w:sz w:val="21"/>
          <w:szCs w:val="21"/>
          <w:spacing w:val="2"/>
        </w:rPr>
        <w:t>。</w:t>
      </w:r>
    </w:p>
    <w:p>
      <w:pPr>
        <w:pStyle w:val="BodyText"/>
        <w:rPr/>
      </w:pPr>
      <w:r/>
    </w:p>
    <w:p>
      <w:pPr>
        <w:ind w:right="2" w:firstLine="430"/>
        <w:spacing w:before="69" w:line="297" w:lineRule="auto"/>
        <w:jc w:val="both"/>
        <w:rPr>
          <w:rFonts w:ascii="SimSun" w:hAnsi="SimSun" w:eastAsia="SimSun" w:cs="SimSun"/>
          <w:sz w:val="21"/>
          <w:szCs w:val="21"/>
        </w:rPr>
      </w:pPr>
      <w:r>
        <w:rPr>
          <w:rFonts w:ascii="SimSun" w:hAnsi="SimSun" w:eastAsia="SimSun" w:cs="SimSun"/>
          <w:sz w:val="21"/>
          <w:szCs w:val="21"/>
          <w:b/>
          <w:bCs/>
        </w:rPr>
        <w:t>交银国际控股有限公司</w:t>
      </w:r>
      <w:r>
        <w:rPr>
          <w:rFonts w:ascii="SimSun" w:hAnsi="SimSun" w:eastAsia="SimSun" w:cs="SimSun"/>
          <w:sz w:val="21"/>
          <w:szCs w:val="21"/>
        </w:rPr>
        <w:t xml:space="preserve">  成立于</w:t>
      </w:r>
      <w:r>
        <w:rPr>
          <w:rFonts w:ascii="SimSun" w:hAnsi="SimSun" w:eastAsia="SimSun" w:cs="SimSun"/>
          <w:sz w:val="21"/>
          <w:szCs w:val="21"/>
          <w:spacing w:val="-17"/>
        </w:rPr>
        <w:t xml:space="preserve"> </w:t>
      </w:r>
      <w:r>
        <w:rPr>
          <w:rFonts w:ascii="Times New Roman" w:hAnsi="Times New Roman" w:eastAsia="Times New Roman" w:cs="Times New Roman"/>
          <w:sz w:val="21"/>
          <w:szCs w:val="21"/>
        </w:rPr>
        <w:t>1998 </w:t>
      </w:r>
      <w:r>
        <w:rPr>
          <w:rFonts w:ascii="SimSun" w:hAnsi="SimSun" w:eastAsia="SimSun" w:cs="SimSun"/>
          <w:sz w:val="21"/>
          <w:szCs w:val="21"/>
        </w:rPr>
        <w:t>年</w:t>
      </w:r>
      <w:r>
        <w:rPr>
          <w:rFonts w:ascii="SimSun" w:hAnsi="SimSun" w:eastAsia="SimSun" w:cs="SimSun"/>
          <w:sz w:val="21"/>
          <w:szCs w:val="21"/>
          <w:spacing w:val="-41"/>
        </w:rPr>
        <w:t xml:space="preserve"> </w:t>
      </w:r>
      <w:r>
        <w:rPr>
          <w:rFonts w:ascii="Times New Roman" w:hAnsi="Times New Roman" w:eastAsia="Times New Roman" w:cs="Times New Roman"/>
          <w:sz w:val="21"/>
          <w:szCs w:val="21"/>
        </w:rPr>
        <w:t>6</w:t>
      </w:r>
      <w:r>
        <w:rPr>
          <w:rFonts w:ascii="Times New Roman" w:hAnsi="Times New Roman" w:eastAsia="Times New Roman" w:cs="Times New Roman"/>
          <w:sz w:val="21"/>
          <w:szCs w:val="21"/>
          <w:spacing w:val="16"/>
        </w:rPr>
        <w:t xml:space="preserve"> </w:t>
      </w:r>
      <w:r>
        <w:rPr>
          <w:rFonts w:ascii="SimSun" w:hAnsi="SimSun" w:eastAsia="SimSun" w:cs="SimSun"/>
          <w:sz w:val="21"/>
          <w:szCs w:val="21"/>
        </w:rPr>
        <w:t>月(原为交通证券有限公司, </w:t>
      </w:r>
      <w:r>
        <w:rPr>
          <w:rFonts w:ascii="Times New Roman" w:hAnsi="Times New Roman" w:eastAsia="Times New Roman" w:cs="Times New Roman"/>
          <w:sz w:val="21"/>
          <w:szCs w:val="21"/>
        </w:rPr>
        <w:t>2007</w:t>
      </w:r>
      <w:r>
        <w:rPr>
          <w:rFonts w:ascii="Times New Roman" w:hAnsi="Times New Roman" w:eastAsia="Times New Roman" w:cs="Times New Roman"/>
          <w:sz w:val="21"/>
          <w:szCs w:val="21"/>
          <w:spacing w:val="9"/>
        </w:rPr>
        <w:t xml:space="preserve"> </w:t>
      </w:r>
      <w:r>
        <w:rPr>
          <w:rFonts w:ascii="SimSun" w:hAnsi="SimSun" w:eastAsia="SimSun" w:cs="SimSun"/>
          <w:sz w:val="21"/>
          <w:szCs w:val="21"/>
        </w:rPr>
        <w:t>年</w:t>
      </w:r>
      <w:r>
        <w:rPr>
          <w:rFonts w:ascii="SimSun" w:hAnsi="SimSun" w:eastAsia="SimSun" w:cs="SimSun"/>
          <w:sz w:val="21"/>
          <w:szCs w:val="21"/>
          <w:spacing w:val="-39"/>
        </w:rPr>
        <w:t xml:space="preserve"> </w:t>
      </w:r>
      <w:r>
        <w:rPr>
          <w:rFonts w:ascii="Times New Roman" w:hAnsi="Times New Roman" w:eastAsia="Times New Roman" w:cs="Times New Roman"/>
          <w:sz w:val="21"/>
          <w:szCs w:val="21"/>
        </w:rPr>
        <w:t>5</w:t>
      </w:r>
      <w:r>
        <w:rPr>
          <w:rFonts w:ascii="Times New Roman" w:hAnsi="Times New Roman" w:eastAsia="Times New Roman" w:cs="Times New Roman"/>
          <w:sz w:val="21"/>
          <w:szCs w:val="21"/>
          <w:spacing w:val="16"/>
          <w:w w:val="101"/>
        </w:rPr>
        <w:t xml:space="preserve"> </w:t>
      </w:r>
      <w:r>
        <w:rPr>
          <w:rFonts w:ascii="SimSun" w:hAnsi="SimSun" w:eastAsia="SimSun" w:cs="SimSun"/>
          <w:sz w:val="21"/>
          <w:szCs w:val="21"/>
        </w:rPr>
        <w:t>月更名为交银国际 </w:t>
      </w:r>
      <w:r>
        <w:rPr>
          <w:rFonts w:ascii="SimSun" w:hAnsi="SimSun" w:eastAsia="SimSun" w:cs="SimSun"/>
          <w:sz w:val="21"/>
          <w:szCs w:val="21"/>
          <w:spacing w:val="-3"/>
        </w:rPr>
        <w:t>控股有限公司), </w:t>
      </w:r>
      <w:r>
        <w:rPr>
          <w:rFonts w:ascii="Times New Roman" w:hAnsi="Times New Roman" w:eastAsia="Times New Roman" w:cs="Times New Roman"/>
          <w:sz w:val="21"/>
          <w:szCs w:val="21"/>
          <w:spacing w:val="-3"/>
        </w:rPr>
        <w:t>2017 </w:t>
      </w:r>
      <w:r>
        <w:rPr>
          <w:rFonts w:ascii="SimSun" w:hAnsi="SimSun" w:eastAsia="SimSun" w:cs="SimSun"/>
          <w:sz w:val="21"/>
          <w:szCs w:val="21"/>
          <w:spacing w:val="-3"/>
        </w:rPr>
        <w:t>年</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3"/>
        </w:rPr>
        <w:t>5 </w:t>
      </w:r>
      <w:r>
        <w:rPr>
          <w:rFonts w:ascii="SimSun" w:hAnsi="SimSun" w:eastAsia="SimSun" w:cs="SimSun"/>
          <w:sz w:val="21"/>
          <w:szCs w:val="21"/>
          <w:spacing w:val="-3"/>
        </w:rPr>
        <w:t>月</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3"/>
        </w:rPr>
        <w:t>19  </w:t>
      </w:r>
      <w:r>
        <w:rPr>
          <w:rFonts w:ascii="SimSun" w:hAnsi="SimSun" w:eastAsia="SimSun" w:cs="SimSun"/>
          <w:sz w:val="21"/>
          <w:szCs w:val="21"/>
          <w:spacing w:val="-3"/>
        </w:rPr>
        <w:t>日在香港联交所主板挂牌上市, 主要经营证券经纪及保证金融资、企业融</w:t>
      </w:r>
      <w:r>
        <w:rPr>
          <w:rFonts w:ascii="SimSun" w:hAnsi="SimSun" w:eastAsia="SimSun" w:cs="SimSun"/>
          <w:sz w:val="21"/>
          <w:szCs w:val="21"/>
        </w:rPr>
        <w:t xml:space="preserve"> </w:t>
      </w:r>
      <w:r>
        <w:rPr>
          <w:rFonts w:ascii="SimSun" w:hAnsi="SimSun" w:eastAsia="SimSun" w:cs="SimSun"/>
          <w:sz w:val="21"/>
          <w:szCs w:val="21"/>
          <w:spacing w:val="1"/>
        </w:rPr>
        <w:t>资及承销、资产管理及顾问、投资及贷款业务。报告期末,本行对该公司持股比例为</w:t>
      </w:r>
      <w:r>
        <w:rPr>
          <w:rFonts w:ascii="SimSun" w:hAnsi="SimSun" w:eastAsia="SimSun" w:cs="SimSun"/>
          <w:sz w:val="21"/>
          <w:szCs w:val="21"/>
          <w:spacing w:val="-32"/>
        </w:rPr>
        <w:t xml:space="preserve"> </w:t>
      </w:r>
      <w:r>
        <w:rPr>
          <w:rFonts w:ascii="Times New Roman" w:hAnsi="Times New Roman" w:eastAsia="Times New Roman" w:cs="Times New Roman"/>
          <w:sz w:val="21"/>
          <w:szCs w:val="21"/>
          <w:spacing w:val="1"/>
        </w:rPr>
        <w:t>73.14%</w:t>
      </w:r>
      <w:r>
        <w:rPr>
          <w:rFonts w:ascii="Times New Roman" w:hAnsi="Times New Roman" w:eastAsia="Times New Roman" w:cs="Times New Roman"/>
          <w:sz w:val="21"/>
          <w:szCs w:val="21"/>
          <w:spacing w:val="-25"/>
        </w:rPr>
        <w:t xml:space="preserve"> </w:t>
      </w:r>
      <w:r>
        <w:rPr>
          <w:rFonts w:ascii="SimSun" w:hAnsi="SimSun" w:eastAsia="SimSun" w:cs="SimSun"/>
          <w:sz w:val="21"/>
          <w:szCs w:val="21"/>
          <w:spacing w:val="1"/>
        </w:rPr>
        <w:t>。报告期内,</w:t>
      </w:r>
      <w:r>
        <w:rPr>
          <w:rFonts w:ascii="SimSun" w:hAnsi="SimSun" w:eastAsia="SimSun" w:cs="SimSun"/>
          <w:sz w:val="21"/>
          <w:szCs w:val="21"/>
        </w:rPr>
        <w:t xml:space="preserve"> </w:t>
      </w:r>
      <w:r>
        <w:rPr>
          <w:rFonts w:ascii="SimSun" w:hAnsi="SimSun" w:eastAsia="SimSun" w:cs="SimSun"/>
          <w:sz w:val="21"/>
          <w:szCs w:val="21"/>
          <w:spacing w:val="2"/>
        </w:rPr>
        <w:t>公司聚焦国家重点区域加强业务布局,</w:t>
      </w:r>
      <w:r>
        <w:rPr>
          <w:rFonts w:ascii="SimSun" w:hAnsi="SimSun" w:eastAsia="SimSun" w:cs="SimSun"/>
          <w:sz w:val="21"/>
          <w:szCs w:val="21"/>
          <w:spacing w:val="42"/>
        </w:rPr>
        <w:t xml:space="preserve"> </w:t>
      </w:r>
      <w:r>
        <w:rPr>
          <w:rFonts w:ascii="SimSun" w:hAnsi="SimSun" w:eastAsia="SimSun" w:cs="SimSun"/>
          <w:sz w:val="21"/>
          <w:szCs w:val="21"/>
          <w:spacing w:val="2"/>
        </w:rPr>
        <w:t>为客户提供产业链一体化综合金融服务。报告期末,</w:t>
      </w:r>
      <w:r>
        <w:rPr>
          <w:rFonts w:ascii="SimSun" w:hAnsi="SimSun" w:eastAsia="SimSun" w:cs="SimSun"/>
          <w:sz w:val="21"/>
          <w:szCs w:val="21"/>
          <w:spacing w:val="39"/>
        </w:rPr>
        <w:t xml:space="preserve"> </w:t>
      </w:r>
      <w:r>
        <w:rPr>
          <w:rFonts w:ascii="SimSun" w:hAnsi="SimSun" w:eastAsia="SimSun" w:cs="SimSun"/>
          <w:sz w:val="21"/>
          <w:szCs w:val="21"/>
          <w:spacing w:val="2"/>
        </w:rPr>
        <w:t>公司总资产</w:t>
      </w:r>
      <w:r>
        <w:rPr>
          <w:rFonts w:ascii="SimSun" w:hAnsi="SimSun" w:eastAsia="SimSun" w:cs="SimSun"/>
          <w:sz w:val="21"/>
          <w:szCs w:val="21"/>
        </w:rPr>
        <w:t xml:space="preserve"> </w:t>
      </w:r>
      <w:r>
        <w:rPr>
          <w:rFonts w:ascii="Times New Roman" w:hAnsi="Times New Roman" w:eastAsia="Times New Roman" w:cs="Times New Roman"/>
          <w:sz w:val="21"/>
          <w:szCs w:val="21"/>
          <w:spacing w:val="-2"/>
        </w:rPr>
        <w:t>246.62 </w:t>
      </w:r>
      <w:r>
        <w:rPr>
          <w:rFonts w:ascii="SimSun" w:hAnsi="SimSun" w:eastAsia="SimSun" w:cs="SimSun"/>
          <w:sz w:val="21"/>
          <w:szCs w:val="21"/>
          <w:spacing w:val="-2"/>
        </w:rPr>
        <w:t>亿港元,</w:t>
      </w:r>
      <w:r>
        <w:rPr>
          <w:rFonts w:ascii="SimSun" w:hAnsi="SimSun" w:eastAsia="SimSun" w:cs="SimSun"/>
          <w:sz w:val="21"/>
          <w:szCs w:val="21"/>
          <w:spacing w:val="31"/>
        </w:rPr>
        <w:t xml:space="preserve"> </w:t>
      </w:r>
      <w:r>
        <w:rPr>
          <w:rFonts w:ascii="SimSun" w:hAnsi="SimSun" w:eastAsia="SimSun" w:cs="SimSun"/>
          <w:sz w:val="21"/>
          <w:szCs w:val="21"/>
          <w:spacing w:val="-2"/>
        </w:rPr>
        <w:t>净资产</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2"/>
        </w:rPr>
        <w:t>26.77 </w:t>
      </w:r>
      <w:r>
        <w:rPr>
          <w:rFonts w:ascii="SimSun" w:hAnsi="SimSun" w:eastAsia="SimSun" w:cs="SimSun"/>
          <w:sz w:val="21"/>
          <w:szCs w:val="21"/>
          <w:spacing w:val="-2"/>
        </w:rPr>
        <w:t>亿港元。报告期内,</w:t>
      </w:r>
      <w:r>
        <w:rPr>
          <w:rFonts w:ascii="SimSun" w:hAnsi="SimSun" w:eastAsia="SimSun" w:cs="SimSun"/>
          <w:sz w:val="21"/>
          <w:szCs w:val="21"/>
          <w:spacing w:val="33"/>
        </w:rPr>
        <w:t xml:space="preserve"> </w:t>
      </w:r>
      <w:r>
        <w:rPr>
          <w:rFonts w:ascii="SimSun" w:hAnsi="SimSun" w:eastAsia="SimSun" w:cs="SimSun"/>
          <w:sz w:val="21"/>
          <w:szCs w:val="21"/>
          <w:spacing w:val="-2"/>
        </w:rPr>
        <w:t>受不利市场条件影响,</w:t>
      </w:r>
      <w:r>
        <w:rPr>
          <w:rFonts w:ascii="SimSun" w:hAnsi="SimSun" w:eastAsia="SimSun" w:cs="SimSun"/>
          <w:sz w:val="21"/>
          <w:szCs w:val="21"/>
          <w:spacing w:val="36"/>
        </w:rPr>
        <w:t xml:space="preserve"> </w:t>
      </w:r>
      <w:r>
        <w:rPr>
          <w:rFonts w:ascii="SimSun" w:hAnsi="SimSun" w:eastAsia="SimSun" w:cs="SimSun"/>
          <w:sz w:val="21"/>
          <w:szCs w:val="21"/>
          <w:spacing w:val="-2"/>
        </w:rPr>
        <w:t>公</w:t>
      </w:r>
      <w:r>
        <w:rPr>
          <w:rFonts w:ascii="SimSun" w:hAnsi="SimSun" w:eastAsia="SimSun" w:cs="SimSun"/>
          <w:sz w:val="21"/>
          <w:szCs w:val="21"/>
          <w:spacing w:val="-3"/>
        </w:rPr>
        <w:t>司净亏损为</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29.84 </w:t>
      </w:r>
      <w:r>
        <w:rPr>
          <w:rFonts w:ascii="SimSun" w:hAnsi="SimSun" w:eastAsia="SimSun" w:cs="SimSun"/>
          <w:sz w:val="21"/>
          <w:szCs w:val="21"/>
          <w:spacing w:val="-3"/>
        </w:rPr>
        <w:t>亿港元。</w:t>
      </w:r>
    </w:p>
    <w:p>
      <w:pPr>
        <w:ind w:left="7" w:firstLine="439"/>
        <w:spacing w:before="308" w:line="298" w:lineRule="auto"/>
        <w:jc w:val="both"/>
        <w:rPr>
          <w:rFonts w:ascii="SimSun" w:hAnsi="SimSun" w:eastAsia="SimSun" w:cs="SimSun"/>
          <w:sz w:val="21"/>
          <w:szCs w:val="21"/>
        </w:rPr>
      </w:pPr>
      <w:r>
        <w:rPr>
          <w:rFonts w:ascii="SimSun" w:hAnsi="SimSun" w:eastAsia="SimSun" w:cs="SimSun"/>
          <w:sz w:val="21"/>
          <w:szCs w:val="21"/>
          <w:b/>
          <w:bCs/>
          <w:spacing w:val="-3"/>
        </w:rPr>
        <w:t>中国交银保险有限公司</w:t>
      </w:r>
      <w:r>
        <w:rPr>
          <w:rFonts w:ascii="SimSun" w:hAnsi="SimSun" w:eastAsia="SimSun" w:cs="SimSun"/>
          <w:sz w:val="21"/>
          <w:szCs w:val="21"/>
          <w:spacing w:val="-3"/>
        </w:rPr>
        <w:t xml:space="preserve"> 本行全资子公司, </w:t>
      </w:r>
      <w:r>
        <w:rPr>
          <w:rFonts w:ascii="Times New Roman" w:hAnsi="Times New Roman" w:eastAsia="Times New Roman" w:cs="Times New Roman"/>
          <w:sz w:val="21"/>
          <w:szCs w:val="21"/>
          <w:spacing w:val="-3"/>
        </w:rPr>
        <w:t>2000 </w:t>
      </w:r>
      <w:r>
        <w:rPr>
          <w:rFonts w:ascii="SimSun" w:hAnsi="SimSun" w:eastAsia="SimSun" w:cs="SimSun"/>
          <w:sz w:val="21"/>
          <w:szCs w:val="21"/>
          <w:spacing w:val="-3"/>
        </w:rPr>
        <w:t>年</w:t>
      </w:r>
      <w:r>
        <w:rPr>
          <w:rFonts w:ascii="SimSun" w:hAnsi="SimSun" w:eastAsia="SimSun" w:cs="SimSun"/>
          <w:sz w:val="21"/>
          <w:szCs w:val="21"/>
          <w:spacing w:val="-24"/>
        </w:rPr>
        <w:t xml:space="preserve"> </w:t>
      </w:r>
      <w:r>
        <w:rPr>
          <w:rFonts w:ascii="Times New Roman" w:hAnsi="Times New Roman" w:eastAsia="Times New Roman" w:cs="Times New Roman"/>
          <w:sz w:val="21"/>
          <w:szCs w:val="21"/>
          <w:spacing w:val="-3"/>
        </w:rPr>
        <w:t>11 </w:t>
      </w:r>
      <w:r>
        <w:rPr>
          <w:rFonts w:ascii="SimSun" w:hAnsi="SimSun" w:eastAsia="SimSun" w:cs="SimSun"/>
          <w:sz w:val="21"/>
          <w:szCs w:val="21"/>
          <w:spacing w:val="-3"/>
        </w:rPr>
        <w:t>月成立, 注册资本</w:t>
      </w:r>
      <w:r>
        <w:rPr>
          <w:rFonts w:ascii="SimSun" w:hAnsi="SimSun" w:eastAsia="SimSun" w:cs="SimSun"/>
          <w:sz w:val="21"/>
          <w:szCs w:val="21"/>
          <w:spacing w:val="-49"/>
        </w:rPr>
        <w:t xml:space="preserve"> </w:t>
      </w:r>
      <w:r>
        <w:rPr>
          <w:rFonts w:ascii="Times New Roman" w:hAnsi="Times New Roman" w:eastAsia="Times New Roman" w:cs="Times New Roman"/>
          <w:sz w:val="21"/>
          <w:szCs w:val="21"/>
          <w:spacing w:val="-3"/>
        </w:rPr>
        <w:t>4 </w:t>
      </w:r>
      <w:r>
        <w:rPr>
          <w:rFonts w:ascii="SimSun" w:hAnsi="SimSun" w:eastAsia="SimSun" w:cs="SimSun"/>
          <w:sz w:val="21"/>
          <w:szCs w:val="21"/>
          <w:spacing w:val="-3"/>
        </w:rPr>
        <w:t>亿港元。主要经营经香港保</w:t>
      </w:r>
      <w:r>
        <w:rPr>
          <w:rFonts w:ascii="SimSun" w:hAnsi="SimSun" w:eastAsia="SimSun" w:cs="SimSun"/>
          <w:sz w:val="21"/>
          <w:szCs w:val="21"/>
        </w:rPr>
        <w:t xml:space="preserve"> </w:t>
      </w:r>
      <w:r>
        <w:rPr>
          <w:rFonts w:ascii="SimSun" w:hAnsi="SimSun" w:eastAsia="SimSun" w:cs="SimSun"/>
          <w:sz w:val="21"/>
          <w:szCs w:val="21"/>
          <w:spacing w:val="1"/>
        </w:rPr>
        <w:t>险业监管局批准的一般保险全部 </w:t>
      </w:r>
      <w:r>
        <w:rPr>
          <w:rFonts w:ascii="Times New Roman" w:hAnsi="Times New Roman" w:eastAsia="Times New Roman" w:cs="Times New Roman"/>
          <w:sz w:val="21"/>
          <w:szCs w:val="21"/>
          <w:spacing w:val="1"/>
        </w:rPr>
        <w:t>17  </w:t>
      </w:r>
      <w:r>
        <w:rPr>
          <w:rFonts w:ascii="SimSun" w:hAnsi="SimSun" w:eastAsia="SimSun" w:cs="SimSun"/>
          <w:sz w:val="21"/>
          <w:szCs w:val="21"/>
          <w:spacing w:val="1"/>
        </w:rPr>
        <w:t>项险种。报告期内,</w:t>
      </w:r>
      <w:r>
        <w:rPr>
          <w:rFonts w:ascii="SimSun" w:hAnsi="SimSun" w:eastAsia="SimSun" w:cs="SimSun"/>
          <w:sz w:val="21"/>
          <w:szCs w:val="21"/>
          <w:spacing w:val="35"/>
        </w:rPr>
        <w:t xml:space="preserve"> </w:t>
      </w:r>
      <w:r>
        <w:rPr>
          <w:rFonts w:ascii="SimSun" w:hAnsi="SimSun" w:eastAsia="SimSun" w:cs="SimSun"/>
          <w:sz w:val="21"/>
          <w:szCs w:val="21"/>
          <w:spacing w:val="1"/>
        </w:rPr>
        <w:t>公司获</w:t>
      </w:r>
      <w:r>
        <w:rPr>
          <w:rFonts w:ascii="SimSun" w:hAnsi="SimSun" w:eastAsia="SimSun" w:cs="SimSun"/>
          <w:sz w:val="21"/>
          <w:szCs w:val="21"/>
        </w:rPr>
        <w:t>保险业界国际专业评级机构贝氏授予"</w:t>
      </w:r>
      <w:r>
        <w:rPr>
          <w:rFonts w:ascii="Times New Roman" w:hAnsi="Times New Roman" w:eastAsia="Times New Roman" w:cs="Times New Roman"/>
          <w:sz w:val="21"/>
          <w:szCs w:val="21"/>
        </w:rPr>
        <w:t>A- </w:t>
      </w:r>
      <w:r>
        <w:rPr>
          <w:rFonts w:ascii="SimSun" w:hAnsi="SimSun" w:eastAsia="SimSun" w:cs="SimSun"/>
          <w:sz w:val="21"/>
          <w:szCs w:val="21"/>
          <w:spacing w:val="5"/>
        </w:rPr>
        <w:t>级"</w:t>
      </w:r>
      <w:r>
        <w:rPr>
          <w:rFonts w:ascii="SimSun" w:hAnsi="SimSun" w:eastAsia="SimSun" w:cs="SimSun"/>
          <w:sz w:val="21"/>
          <w:szCs w:val="21"/>
          <w:spacing w:val="-21"/>
        </w:rPr>
        <w:t xml:space="preserve"> </w:t>
      </w:r>
      <w:r>
        <w:rPr>
          <w:rFonts w:ascii="Times New Roman" w:hAnsi="Times New Roman" w:eastAsia="Times New Roman" w:cs="Times New Roman"/>
          <w:sz w:val="21"/>
          <w:szCs w:val="21"/>
          <w:spacing w:val="5"/>
        </w:rPr>
        <w:t>(</w:t>
      </w:r>
      <w:r>
        <w:rPr>
          <w:rFonts w:ascii="SimSun" w:hAnsi="SimSun" w:eastAsia="SimSun" w:cs="SimSun"/>
          <w:sz w:val="21"/>
          <w:szCs w:val="21"/>
          <w:spacing w:val="5"/>
        </w:rPr>
        <w:t>优秀</w:t>
      </w:r>
      <w:r>
        <w:rPr>
          <w:rFonts w:ascii="Times New Roman" w:hAnsi="Times New Roman" w:eastAsia="Times New Roman" w:cs="Times New Roman"/>
          <w:sz w:val="21"/>
          <w:szCs w:val="21"/>
          <w:spacing w:val="5"/>
        </w:rPr>
        <w:t>)</w:t>
      </w:r>
      <w:r>
        <w:rPr>
          <w:rFonts w:ascii="SimSun" w:hAnsi="SimSun" w:eastAsia="SimSun" w:cs="SimSun"/>
          <w:sz w:val="21"/>
          <w:szCs w:val="21"/>
          <w:spacing w:val="5"/>
        </w:rPr>
        <w:t>的财务实力评级及"</w:t>
      </w:r>
      <w:r>
        <w:rPr>
          <w:rFonts w:ascii="Times New Roman" w:hAnsi="Times New Roman" w:eastAsia="Times New Roman" w:cs="Times New Roman"/>
          <w:sz w:val="21"/>
          <w:szCs w:val="21"/>
          <w:spacing w:val="5"/>
        </w:rPr>
        <w:t>a-</w:t>
      </w:r>
      <w:r>
        <w:rPr>
          <w:rFonts w:ascii="SimSun" w:hAnsi="SimSun" w:eastAsia="SimSun" w:cs="SimSun"/>
          <w:sz w:val="21"/>
          <w:szCs w:val="21"/>
          <w:spacing w:val="5"/>
        </w:rPr>
        <w:t>级"</w:t>
      </w:r>
      <w:r>
        <w:rPr>
          <w:rFonts w:ascii="SimSun" w:hAnsi="SimSun" w:eastAsia="SimSun" w:cs="SimSun"/>
          <w:sz w:val="21"/>
          <w:szCs w:val="21"/>
          <w:spacing w:val="-24"/>
        </w:rPr>
        <w:t xml:space="preserve"> </w:t>
      </w:r>
      <w:r>
        <w:rPr>
          <w:rFonts w:ascii="Times New Roman" w:hAnsi="Times New Roman" w:eastAsia="Times New Roman" w:cs="Times New Roman"/>
          <w:sz w:val="21"/>
          <w:szCs w:val="21"/>
          <w:spacing w:val="5"/>
        </w:rPr>
        <w:t>(</w:t>
      </w:r>
      <w:r>
        <w:rPr>
          <w:rFonts w:ascii="SimSun" w:hAnsi="SimSun" w:eastAsia="SimSun" w:cs="SimSun"/>
          <w:sz w:val="21"/>
          <w:szCs w:val="21"/>
          <w:spacing w:val="5"/>
        </w:rPr>
        <w:t>优秀</w:t>
      </w:r>
      <w:r>
        <w:rPr>
          <w:rFonts w:ascii="Times New Roman" w:hAnsi="Times New Roman" w:eastAsia="Times New Roman" w:cs="Times New Roman"/>
          <w:sz w:val="21"/>
          <w:szCs w:val="21"/>
          <w:spacing w:val="5"/>
        </w:rPr>
        <w:t>)</w:t>
      </w:r>
      <w:r>
        <w:rPr>
          <w:rFonts w:ascii="SimSun" w:hAnsi="SimSun" w:eastAsia="SimSun" w:cs="SimSun"/>
          <w:sz w:val="21"/>
          <w:szCs w:val="21"/>
          <w:spacing w:val="5"/>
        </w:rPr>
        <w:t>的长期发行人信用等级,  评等展望均为"稳定"。报告期</w:t>
      </w:r>
      <w:r>
        <w:rPr>
          <w:rFonts w:ascii="SimSun" w:hAnsi="SimSun" w:eastAsia="SimSun" w:cs="SimSun"/>
          <w:sz w:val="21"/>
          <w:szCs w:val="21"/>
          <w:spacing w:val="4"/>
        </w:rPr>
        <w:t>末,</w:t>
      </w:r>
      <w:r>
        <w:rPr>
          <w:rFonts w:ascii="SimSun" w:hAnsi="SimSun" w:eastAsia="SimSun" w:cs="SimSun"/>
          <w:sz w:val="21"/>
          <w:szCs w:val="21"/>
        </w:rPr>
        <w:t xml:space="preserve"> </w:t>
      </w:r>
      <w:r>
        <w:rPr>
          <w:rFonts w:ascii="SimSun" w:hAnsi="SimSun" w:eastAsia="SimSun" w:cs="SimSun"/>
          <w:sz w:val="21"/>
          <w:szCs w:val="21"/>
          <w:spacing w:val="-2"/>
        </w:rPr>
        <w:t>公司总资产</w:t>
      </w:r>
      <w:r>
        <w:rPr>
          <w:rFonts w:ascii="SimSun" w:hAnsi="SimSun" w:eastAsia="SimSun" w:cs="SimSun"/>
          <w:sz w:val="21"/>
          <w:szCs w:val="21"/>
          <w:spacing w:val="-39"/>
        </w:rPr>
        <w:t xml:space="preserve"> </w:t>
      </w:r>
      <w:r>
        <w:rPr>
          <w:rFonts w:ascii="Times New Roman" w:hAnsi="Times New Roman" w:eastAsia="Times New Roman" w:cs="Times New Roman"/>
          <w:sz w:val="21"/>
          <w:szCs w:val="21"/>
          <w:spacing w:val="-2"/>
        </w:rPr>
        <w:t>8.74 </w:t>
      </w:r>
      <w:r>
        <w:rPr>
          <w:rFonts w:ascii="SimSun" w:hAnsi="SimSun" w:eastAsia="SimSun" w:cs="SimSun"/>
          <w:sz w:val="21"/>
          <w:szCs w:val="21"/>
          <w:spacing w:val="-2"/>
        </w:rPr>
        <w:t>亿港元,</w:t>
      </w:r>
      <w:r>
        <w:rPr>
          <w:rFonts w:ascii="SimSun" w:hAnsi="SimSun" w:eastAsia="SimSun" w:cs="SimSun"/>
          <w:sz w:val="21"/>
          <w:szCs w:val="21"/>
          <w:spacing w:val="26"/>
        </w:rPr>
        <w:t xml:space="preserve"> </w:t>
      </w:r>
      <w:r>
        <w:rPr>
          <w:rFonts w:ascii="SimSun" w:hAnsi="SimSun" w:eastAsia="SimSun" w:cs="SimSun"/>
          <w:sz w:val="21"/>
          <w:szCs w:val="21"/>
          <w:spacing w:val="-2"/>
        </w:rPr>
        <w:t>净资产</w:t>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2"/>
        </w:rPr>
        <w:t>5.38 </w:t>
      </w:r>
      <w:r>
        <w:rPr>
          <w:rFonts w:ascii="SimSun" w:hAnsi="SimSun" w:eastAsia="SimSun" w:cs="SimSun"/>
          <w:sz w:val="21"/>
          <w:szCs w:val="21"/>
          <w:spacing w:val="-2"/>
        </w:rPr>
        <w:t>亿港元。受</w:t>
      </w:r>
      <w:r>
        <w:rPr>
          <w:rFonts w:ascii="SimSun" w:hAnsi="SimSun" w:eastAsia="SimSun" w:cs="SimSun"/>
          <w:sz w:val="21"/>
          <w:szCs w:val="21"/>
          <w:spacing w:val="-3"/>
        </w:rPr>
        <w:t>资本市场波动、赔付支出增加等因素影响,</w:t>
      </w:r>
      <w:r>
        <w:rPr>
          <w:rFonts w:ascii="SimSun" w:hAnsi="SimSun" w:eastAsia="SimSun" w:cs="SimSun"/>
          <w:sz w:val="21"/>
          <w:szCs w:val="21"/>
          <w:spacing w:val="29"/>
        </w:rPr>
        <w:t xml:space="preserve"> </w:t>
      </w:r>
      <w:r>
        <w:rPr>
          <w:rFonts w:ascii="SimSun" w:hAnsi="SimSun" w:eastAsia="SimSun" w:cs="SimSun"/>
          <w:sz w:val="21"/>
          <w:szCs w:val="21"/>
          <w:spacing w:val="-3"/>
        </w:rPr>
        <w:t>净亏损</w:t>
      </w:r>
      <w:r>
        <w:rPr>
          <w:rFonts w:ascii="SimSun" w:hAnsi="SimSun" w:eastAsia="SimSun" w:cs="SimSun"/>
          <w:sz w:val="21"/>
          <w:szCs w:val="21"/>
          <w:spacing w:val="-30"/>
        </w:rPr>
        <w:t xml:space="preserve"> </w:t>
      </w:r>
      <w:r>
        <w:rPr>
          <w:rFonts w:ascii="Times New Roman" w:hAnsi="Times New Roman" w:eastAsia="Times New Roman" w:cs="Times New Roman"/>
          <w:sz w:val="21"/>
          <w:szCs w:val="21"/>
          <w:spacing w:val="-3"/>
        </w:rPr>
        <w:t>1,174</w:t>
      </w:r>
      <w:r>
        <w:rPr>
          <w:rFonts w:ascii="Times New Roman" w:hAnsi="Times New Roman" w:eastAsia="Times New Roman" w:cs="Times New Roman"/>
          <w:sz w:val="21"/>
          <w:szCs w:val="21"/>
        </w:rPr>
        <w:t xml:space="preserve"> </w:t>
      </w:r>
      <w:r>
        <w:rPr>
          <w:rFonts w:ascii="SimSun" w:hAnsi="SimSun" w:eastAsia="SimSun" w:cs="SimSun"/>
          <w:sz w:val="21"/>
          <w:szCs w:val="21"/>
          <w:spacing w:val="-3"/>
        </w:rPr>
        <w:t>万港元。</w:t>
      </w:r>
    </w:p>
    <w:p>
      <w:pPr>
        <w:ind w:left="3" w:firstLine="418"/>
        <w:spacing w:before="308" w:line="284" w:lineRule="auto"/>
        <w:jc w:val="both"/>
        <w:rPr>
          <w:rFonts w:ascii="SimSun" w:hAnsi="SimSun" w:eastAsia="SimSun" w:cs="SimSun"/>
          <w:sz w:val="21"/>
          <w:szCs w:val="21"/>
        </w:rPr>
      </w:pPr>
      <w:r>
        <w:rPr>
          <w:rFonts w:ascii="SimSun" w:hAnsi="SimSun" w:eastAsia="SimSun" w:cs="SimSun"/>
          <w:sz w:val="21"/>
          <w:szCs w:val="21"/>
        </w:rPr>
        <w:t>报告期内,公司充分发挥一般保险全牌照优势,推进保险产品创新优化,持续提升客户体验,获</w:t>
      </w:r>
      <w:r>
        <w:rPr>
          <w:rFonts w:ascii="SimSun" w:hAnsi="SimSun" w:eastAsia="SimSun" w:cs="SimSun"/>
          <w:sz w:val="21"/>
          <w:szCs w:val="21"/>
          <w:spacing w:val="-46"/>
        </w:rPr>
        <w:t xml:space="preserve"> </w:t>
      </w:r>
      <w:r>
        <w:rPr>
          <w:rFonts w:ascii="Times New Roman" w:hAnsi="Times New Roman" w:eastAsia="Times New Roman" w:cs="Times New Roman"/>
          <w:sz w:val="21"/>
          <w:szCs w:val="21"/>
        </w:rPr>
        <w:t>ISO9</w:t>
      </w:r>
      <w:r>
        <w:rPr>
          <w:rFonts w:ascii="Times New Roman" w:hAnsi="Times New Roman" w:eastAsia="Times New Roman" w:cs="Times New Roman"/>
          <w:sz w:val="21"/>
          <w:szCs w:val="21"/>
          <w:spacing w:val="-1"/>
        </w:rPr>
        <w:t>001</w:t>
      </w:r>
      <w:r>
        <w:rPr>
          <w:rFonts w:ascii="Times New Roman" w:hAnsi="Times New Roman" w:eastAsia="Times New Roman" w:cs="Times New Roman"/>
          <w:sz w:val="21"/>
          <w:szCs w:val="21"/>
        </w:rPr>
        <w:t xml:space="preserve"> </w:t>
      </w:r>
      <w:r>
        <w:rPr>
          <w:rFonts w:ascii="SimSun" w:hAnsi="SimSun" w:eastAsia="SimSun" w:cs="SimSun"/>
          <w:sz w:val="21"/>
          <w:szCs w:val="21"/>
          <w:spacing w:val="1"/>
        </w:rPr>
        <w:t>认证,</w:t>
      </w:r>
      <w:r>
        <w:rPr>
          <w:rFonts w:ascii="SimSun" w:hAnsi="SimSun" w:eastAsia="SimSun" w:cs="SimSun"/>
          <w:sz w:val="21"/>
          <w:szCs w:val="21"/>
          <w:spacing w:val="34"/>
        </w:rPr>
        <w:t xml:space="preserve"> </w:t>
      </w:r>
      <w:r>
        <w:rPr>
          <w:rFonts w:ascii="SimSun" w:hAnsi="SimSun" w:eastAsia="SimSun" w:cs="SimSun"/>
          <w:sz w:val="21"/>
          <w:szCs w:val="21"/>
          <w:spacing w:val="1"/>
        </w:rPr>
        <w:t>实现毛保费收入</w:t>
      </w:r>
      <w:r>
        <w:rPr>
          <w:rFonts w:ascii="SimSun" w:hAnsi="SimSun" w:eastAsia="SimSun" w:cs="SimSun"/>
          <w:sz w:val="21"/>
          <w:szCs w:val="21"/>
          <w:spacing w:val="-46"/>
        </w:rPr>
        <w:t xml:space="preserve"> </w:t>
      </w:r>
      <w:r>
        <w:rPr>
          <w:rFonts w:ascii="Times New Roman" w:hAnsi="Times New Roman" w:eastAsia="Times New Roman" w:cs="Times New Roman"/>
          <w:sz w:val="21"/>
          <w:szCs w:val="21"/>
          <w:spacing w:val="1"/>
        </w:rPr>
        <w:t>2.8 </w:t>
      </w:r>
      <w:r>
        <w:rPr>
          <w:rFonts w:ascii="SimSun" w:hAnsi="SimSun" w:eastAsia="SimSun" w:cs="SimSun"/>
          <w:sz w:val="21"/>
          <w:szCs w:val="21"/>
          <w:spacing w:val="1"/>
        </w:rPr>
        <w:t>亿港元,</w:t>
      </w:r>
      <w:r>
        <w:rPr>
          <w:rFonts w:ascii="SimSun" w:hAnsi="SimSun" w:eastAsia="SimSun" w:cs="SimSun"/>
          <w:sz w:val="21"/>
          <w:szCs w:val="21"/>
          <w:spacing w:val="50"/>
        </w:rPr>
        <w:t xml:space="preserve"> </w:t>
      </w:r>
      <w:r>
        <w:rPr>
          <w:rFonts w:ascii="SimSun" w:hAnsi="SimSun" w:eastAsia="SimSun" w:cs="SimSun"/>
          <w:sz w:val="21"/>
          <w:szCs w:val="21"/>
          <w:spacing w:val="1"/>
        </w:rPr>
        <w:t>同比增长</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1"/>
        </w:rPr>
        <w:t>14.38%</w:t>
      </w:r>
      <w:r>
        <w:rPr>
          <w:rFonts w:ascii="SimSun" w:hAnsi="SimSun" w:eastAsia="SimSun" w:cs="SimSun"/>
          <w:sz w:val="21"/>
          <w:szCs w:val="21"/>
          <w:spacing w:val="1"/>
        </w:rPr>
        <w:t>,创历史</w:t>
      </w:r>
      <w:r>
        <w:rPr>
          <w:rFonts w:ascii="SimSun" w:hAnsi="SimSun" w:eastAsia="SimSun" w:cs="SimSun"/>
          <w:sz w:val="21"/>
          <w:szCs w:val="21"/>
        </w:rPr>
        <w:t>新高;支出前承保利润</w:t>
      </w:r>
      <w:r>
        <w:rPr>
          <w:rFonts w:ascii="SimSun" w:hAnsi="SimSun" w:eastAsia="SimSun" w:cs="SimSun"/>
          <w:sz w:val="21"/>
          <w:szCs w:val="21"/>
          <w:spacing w:val="-25"/>
        </w:rPr>
        <w:t xml:space="preserve"> </w:t>
      </w:r>
      <w:r>
        <w:rPr>
          <w:rFonts w:ascii="Times New Roman" w:hAnsi="Times New Roman" w:eastAsia="Times New Roman" w:cs="Times New Roman"/>
          <w:sz w:val="21"/>
          <w:szCs w:val="21"/>
        </w:rPr>
        <w:t>1,845</w:t>
      </w:r>
      <w:r>
        <w:rPr>
          <w:rFonts w:ascii="Times New Roman" w:hAnsi="Times New Roman" w:eastAsia="Times New Roman" w:cs="Times New Roman"/>
          <w:sz w:val="21"/>
          <w:szCs w:val="21"/>
          <w:spacing w:val="14"/>
        </w:rPr>
        <w:t xml:space="preserve"> </w:t>
      </w:r>
      <w:r>
        <w:rPr>
          <w:rFonts w:ascii="SimSun" w:hAnsi="SimSun" w:eastAsia="SimSun" w:cs="SimSun"/>
          <w:sz w:val="21"/>
          <w:szCs w:val="21"/>
        </w:rPr>
        <w:t>万港元;</w:t>
      </w:r>
      <w:r>
        <w:rPr>
          <w:rFonts w:ascii="SimSun" w:hAnsi="SimSun" w:eastAsia="SimSun" w:cs="SimSun"/>
          <w:sz w:val="21"/>
          <w:szCs w:val="21"/>
          <w:spacing w:val="31"/>
        </w:rPr>
        <w:t xml:space="preserve"> </w:t>
      </w:r>
      <w:r>
        <w:rPr>
          <w:rFonts w:ascii="SimSun" w:hAnsi="SimSun" w:eastAsia="SimSun" w:cs="SimSun"/>
          <w:sz w:val="21"/>
          <w:szCs w:val="21"/>
        </w:rPr>
        <w:t>净赔 </w:t>
      </w:r>
      <w:r>
        <w:rPr>
          <w:rFonts w:ascii="SimSun" w:hAnsi="SimSun" w:eastAsia="SimSun" w:cs="SimSun"/>
          <w:sz w:val="21"/>
          <w:szCs w:val="21"/>
          <w:spacing w:val="4"/>
        </w:rPr>
        <w:t>付率</w:t>
      </w:r>
      <w:r>
        <w:rPr>
          <w:rFonts w:ascii="SimSun" w:hAnsi="SimSun" w:eastAsia="SimSun" w:cs="SimSun"/>
          <w:sz w:val="21"/>
          <w:szCs w:val="21"/>
          <w:spacing w:val="-33"/>
        </w:rPr>
        <w:t xml:space="preserve"> </w:t>
      </w:r>
      <w:r>
        <w:rPr>
          <w:rFonts w:ascii="Times New Roman" w:hAnsi="Times New Roman" w:eastAsia="Times New Roman" w:cs="Times New Roman"/>
          <w:sz w:val="21"/>
          <w:szCs w:val="21"/>
          <w:spacing w:val="4"/>
        </w:rPr>
        <w:t>31.30%</w:t>
      </w:r>
      <w:r>
        <w:rPr>
          <w:rFonts w:ascii="SimSun" w:hAnsi="SimSun" w:eastAsia="SimSun" w:cs="SimSun"/>
          <w:sz w:val="21"/>
          <w:szCs w:val="21"/>
          <w:spacing w:val="4"/>
        </w:rPr>
        <w:t>,保持良好水平。</w:t>
      </w:r>
    </w:p>
    <w:p>
      <w:pPr>
        <w:pStyle w:val="BodyText"/>
        <w:spacing w:line="241" w:lineRule="auto"/>
        <w:rPr/>
      </w:pPr>
      <w:r/>
    </w:p>
    <w:p>
      <w:pPr>
        <w:ind w:left="537"/>
        <w:spacing w:before="68" w:line="221" w:lineRule="auto"/>
        <w:rPr>
          <w:rFonts w:ascii="SimSun" w:hAnsi="SimSun" w:eastAsia="SimSun" w:cs="SimSun"/>
          <w:sz w:val="21"/>
          <w:szCs w:val="21"/>
        </w:rPr>
      </w:pPr>
      <w:r>
        <w:rPr>
          <w:rFonts w:ascii="SimSun" w:hAnsi="SimSun" w:eastAsia="SimSun" w:cs="SimSun"/>
          <w:sz w:val="21"/>
          <w:szCs w:val="21"/>
          <w:b/>
          <w:bCs/>
          <w:spacing w:val="9"/>
        </w:rPr>
        <w:t>(六)全球服务能力</w:t>
      </w:r>
    </w:p>
    <w:p>
      <w:pPr>
        <w:ind w:right="35" w:firstLine="438"/>
        <w:spacing w:before="308" w:line="282" w:lineRule="auto"/>
        <w:rPr>
          <w:rFonts w:ascii="SimSun" w:hAnsi="SimSun" w:eastAsia="SimSun" w:cs="SimSun"/>
          <w:sz w:val="21"/>
          <w:szCs w:val="21"/>
        </w:rPr>
      </w:pPr>
      <w:r>
        <w:rPr>
          <w:rFonts w:ascii="SimSun" w:hAnsi="SimSun" w:eastAsia="SimSun" w:cs="SimSun"/>
          <w:sz w:val="21"/>
          <w:szCs w:val="21"/>
          <w:spacing w:val="-2"/>
        </w:rPr>
        <w:t>◆本集团形成了覆盖主要国际金融中心,</w:t>
      </w:r>
      <w:r>
        <w:rPr>
          <w:rFonts w:ascii="SimSun" w:hAnsi="SimSun" w:eastAsia="SimSun" w:cs="SimSun"/>
          <w:sz w:val="21"/>
          <w:szCs w:val="21"/>
          <w:spacing w:val="28"/>
        </w:rPr>
        <w:t xml:space="preserve"> </w:t>
      </w:r>
      <w:r>
        <w:rPr>
          <w:rFonts w:ascii="SimSun" w:hAnsi="SimSun" w:eastAsia="SimSun" w:cs="SimSun"/>
          <w:sz w:val="21"/>
          <w:szCs w:val="21"/>
          <w:spacing w:val="-2"/>
        </w:rPr>
        <w:t>横跨五大洲的境外经营网络,</w:t>
      </w:r>
      <w:r>
        <w:rPr>
          <w:rFonts w:ascii="SimSun" w:hAnsi="SimSun" w:eastAsia="SimSun" w:cs="SimSun"/>
          <w:sz w:val="21"/>
          <w:szCs w:val="21"/>
          <w:spacing w:val="28"/>
        </w:rPr>
        <w:t xml:space="preserve"> </w:t>
      </w:r>
      <w:r>
        <w:rPr>
          <w:rFonts w:ascii="SimSun" w:hAnsi="SimSun" w:eastAsia="SimSun" w:cs="SimSun"/>
          <w:sz w:val="21"/>
          <w:szCs w:val="21"/>
          <w:spacing w:val="-2"/>
        </w:rPr>
        <w:t>在全球</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2"/>
        </w:rPr>
        <w:t>18 </w:t>
      </w:r>
      <w:r>
        <w:rPr>
          <w:rFonts w:ascii="SimSun" w:hAnsi="SimSun" w:eastAsia="SimSun" w:cs="SimSun"/>
          <w:sz w:val="21"/>
          <w:szCs w:val="21"/>
          <w:spacing w:val="-2"/>
        </w:rPr>
        <w:t>个国</w:t>
      </w:r>
      <w:r>
        <w:rPr>
          <w:rFonts w:ascii="SimSun" w:hAnsi="SimSun" w:eastAsia="SimSun" w:cs="SimSun"/>
          <w:sz w:val="21"/>
          <w:szCs w:val="21"/>
          <w:spacing w:val="-3"/>
        </w:rPr>
        <w:t>家和地区设有</w:t>
      </w:r>
      <w:r>
        <w:rPr>
          <w:rFonts w:ascii="SimSun" w:hAnsi="SimSun" w:eastAsia="SimSun" w:cs="SimSun"/>
          <w:sz w:val="21"/>
          <w:szCs w:val="21"/>
        </w:rPr>
        <w:t xml:space="preserve"> </w:t>
      </w:r>
      <w:r>
        <w:rPr>
          <w:rFonts w:ascii="Times New Roman" w:hAnsi="Times New Roman" w:eastAsia="Times New Roman" w:cs="Times New Roman"/>
          <w:sz w:val="21"/>
          <w:szCs w:val="21"/>
        </w:rPr>
        <w:t>23 </w:t>
      </w:r>
      <w:r>
        <w:rPr>
          <w:rFonts w:ascii="SimSun" w:hAnsi="SimSun" w:eastAsia="SimSun" w:cs="SimSun"/>
          <w:sz w:val="21"/>
          <w:szCs w:val="21"/>
        </w:rPr>
        <w:t>家境外分(子) 行及代表处,</w:t>
      </w:r>
      <w:r>
        <w:rPr>
          <w:rFonts w:ascii="SimSun" w:hAnsi="SimSun" w:eastAsia="SimSun" w:cs="SimSun"/>
          <w:sz w:val="21"/>
          <w:szCs w:val="21"/>
          <w:spacing w:val="30"/>
        </w:rPr>
        <w:t xml:space="preserve"> </w:t>
      </w:r>
      <w:r>
        <w:rPr>
          <w:rFonts w:ascii="SimSun" w:hAnsi="SimSun" w:eastAsia="SimSun" w:cs="SimSun"/>
          <w:sz w:val="21"/>
          <w:szCs w:val="21"/>
        </w:rPr>
        <w:t>境外经营网点</w:t>
      </w:r>
      <w:r>
        <w:rPr>
          <w:rFonts w:ascii="SimSun" w:hAnsi="SimSun" w:eastAsia="SimSun" w:cs="SimSun"/>
          <w:sz w:val="21"/>
          <w:szCs w:val="21"/>
          <w:spacing w:val="-43"/>
        </w:rPr>
        <w:t xml:space="preserve"> </w:t>
      </w:r>
      <w:r>
        <w:rPr>
          <w:rFonts w:ascii="Times New Roman" w:hAnsi="Times New Roman" w:eastAsia="Times New Roman" w:cs="Times New Roman"/>
          <w:sz w:val="21"/>
          <w:szCs w:val="21"/>
        </w:rPr>
        <w:t>69 </w:t>
      </w:r>
      <w:r>
        <w:rPr>
          <w:rFonts w:ascii="SimSun" w:hAnsi="SimSun" w:eastAsia="SimSun" w:cs="SimSun"/>
          <w:sz w:val="21"/>
          <w:szCs w:val="21"/>
        </w:rPr>
        <w:t>个。报告期内,</w:t>
      </w:r>
      <w:r>
        <w:rPr>
          <w:rFonts w:ascii="SimSun" w:hAnsi="SimSun" w:eastAsia="SimSun" w:cs="SimSun"/>
          <w:sz w:val="21"/>
          <w:szCs w:val="21"/>
          <w:spacing w:val="32"/>
        </w:rPr>
        <w:t xml:space="preserve"> </w:t>
      </w:r>
      <w:r>
        <w:rPr>
          <w:rFonts w:ascii="SimSun" w:hAnsi="SimSun" w:eastAsia="SimSun" w:cs="SimSun"/>
          <w:sz w:val="21"/>
          <w:szCs w:val="21"/>
        </w:rPr>
        <w:t>境外银行机构实现净</w:t>
      </w:r>
      <w:r>
        <w:rPr>
          <w:rFonts w:ascii="SimSun" w:hAnsi="SimSun" w:eastAsia="SimSun" w:cs="SimSun"/>
          <w:sz w:val="21"/>
          <w:szCs w:val="21"/>
          <w:spacing w:val="-1"/>
        </w:rPr>
        <w:t>利润</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1"/>
        </w:rPr>
        <w:t>51.11 </w:t>
      </w:r>
      <w:r>
        <w:rPr>
          <w:rFonts w:ascii="SimSun" w:hAnsi="SimSun" w:eastAsia="SimSun" w:cs="SimSun"/>
          <w:sz w:val="21"/>
          <w:szCs w:val="21"/>
          <w:spacing w:val="-1"/>
        </w:rPr>
        <w:t>亿元,  </w:t>
      </w:r>
      <w:r>
        <w:rPr>
          <w:rFonts w:ascii="SimSun" w:hAnsi="SimSun" w:eastAsia="SimSun" w:cs="SimSun"/>
          <w:sz w:val="21"/>
          <w:szCs w:val="21"/>
          <w:spacing w:val="-4"/>
        </w:rPr>
        <w:t>占集团净利润比例</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4"/>
        </w:rPr>
        <w:t>5.55%</w:t>
      </w:r>
      <w:r>
        <w:rPr>
          <w:rFonts w:ascii="SimSun" w:hAnsi="SimSun" w:eastAsia="SimSun" w:cs="SimSun"/>
          <w:sz w:val="21"/>
          <w:szCs w:val="21"/>
          <w:spacing w:val="-4"/>
        </w:rPr>
        <w:t>。报告期末,</w:t>
      </w:r>
      <w:r>
        <w:rPr>
          <w:rFonts w:ascii="SimSun" w:hAnsi="SimSun" w:eastAsia="SimSun" w:cs="SimSun"/>
          <w:sz w:val="21"/>
          <w:szCs w:val="21"/>
          <w:spacing w:val="-56"/>
        </w:rPr>
        <w:t xml:space="preserve"> </w:t>
      </w:r>
      <w:r>
        <w:rPr>
          <w:rFonts w:ascii="SimSun" w:hAnsi="SimSun" w:eastAsia="SimSun" w:cs="SimSun"/>
          <w:sz w:val="21"/>
          <w:szCs w:val="21"/>
          <w:spacing w:val="-4"/>
        </w:rPr>
        <w:t>境外</w:t>
      </w:r>
      <w:r>
        <w:rPr>
          <w:rFonts w:ascii="SimSun" w:hAnsi="SimSun" w:eastAsia="SimSun" w:cs="SimSun"/>
          <w:sz w:val="21"/>
          <w:szCs w:val="21"/>
          <w:spacing w:val="-5"/>
        </w:rPr>
        <w:t>银行机构资产总额</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5"/>
        </w:rPr>
        <w:t>12,629.18 </w:t>
      </w:r>
      <w:r>
        <w:rPr>
          <w:rFonts w:ascii="SimSun" w:hAnsi="SimSun" w:eastAsia="SimSun" w:cs="SimSun"/>
          <w:sz w:val="21"/>
          <w:szCs w:val="21"/>
          <w:spacing w:val="-5"/>
        </w:rPr>
        <w:t>亿元,</w:t>
      </w:r>
      <w:r>
        <w:rPr>
          <w:rFonts w:ascii="SimSun" w:hAnsi="SimSun" w:eastAsia="SimSun" w:cs="SimSun"/>
          <w:sz w:val="21"/>
          <w:szCs w:val="21"/>
          <w:spacing w:val="-26"/>
        </w:rPr>
        <w:t xml:space="preserve"> </w:t>
      </w:r>
      <w:r>
        <w:rPr>
          <w:rFonts w:ascii="SimSun" w:hAnsi="SimSun" w:eastAsia="SimSun" w:cs="SimSun"/>
          <w:sz w:val="21"/>
          <w:szCs w:val="21"/>
          <w:spacing w:val="-5"/>
        </w:rPr>
        <w:t>占集团资产总额比例</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5"/>
        </w:rPr>
        <w:t>9.72%</w:t>
      </w:r>
      <w:r>
        <w:rPr>
          <w:rFonts w:ascii="SimSun" w:hAnsi="SimSun" w:eastAsia="SimSun" w:cs="SimSun"/>
          <w:sz w:val="21"/>
          <w:szCs w:val="21"/>
          <w:spacing w:val="-5"/>
        </w:rPr>
        <w:t>。</w:t>
      </w:r>
    </w:p>
    <w:p>
      <w:pPr>
        <w:pStyle w:val="BodyText"/>
        <w:spacing w:line="248" w:lineRule="auto"/>
        <w:rPr/>
      </w:pPr>
      <w:r/>
    </w:p>
    <w:p>
      <w:pPr>
        <w:ind w:left="8" w:firstLine="429"/>
        <w:spacing w:before="69" w:line="286" w:lineRule="auto"/>
        <w:jc w:val="both"/>
        <w:rPr>
          <w:rFonts w:ascii="SimSun" w:hAnsi="SimSun" w:eastAsia="SimSun" w:cs="SimSun"/>
          <w:sz w:val="21"/>
          <w:szCs w:val="21"/>
        </w:rPr>
      </w:pPr>
      <w:r>
        <w:rPr>
          <w:rFonts w:ascii="SimSun" w:hAnsi="SimSun" w:eastAsia="SimSun" w:cs="SimSun"/>
          <w:sz w:val="21"/>
          <w:szCs w:val="21"/>
          <w:spacing w:val="-2"/>
        </w:rPr>
        <w:t>◆加强贸易便利化与数字化人民币跨境场景建设, 提升外资外贸领域金融服务水平。报告期内,</w:t>
      </w:r>
      <w:r>
        <w:rPr>
          <w:rFonts w:ascii="SimSun" w:hAnsi="SimSun" w:eastAsia="SimSun" w:cs="SimSun"/>
          <w:sz w:val="21"/>
          <w:szCs w:val="21"/>
          <w:spacing w:val="51"/>
        </w:rPr>
        <w:t xml:space="preserve"> </w:t>
      </w:r>
      <w:r>
        <w:rPr>
          <w:rFonts w:ascii="SimSun" w:hAnsi="SimSun" w:eastAsia="SimSun" w:cs="SimSun"/>
          <w:sz w:val="21"/>
          <w:szCs w:val="21"/>
          <w:spacing w:val="-2"/>
        </w:rPr>
        <w:t>国际</w:t>
      </w:r>
      <w:r>
        <w:rPr>
          <w:rFonts w:ascii="SimSun" w:hAnsi="SimSun" w:eastAsia="SimSun" w:cs="SimSun"/>
          <w:sz w:val="21"/>
          <w:szCs w:val="21"/>
        </w:rPr>
        <w:t xml:space="preserve"> </w:t>
      </w:r>
      <w:r>
        <w:rPr>
          <w:rFonts w:ascii="SimSun" w:hAnsi="SimSun" w:eastAsia="SimSun" w:cs="SimSun"/>
          <w:sz w:val="21"/>
          <w:szCs w:val="21"/>
          <w:spacing w:val="-3"/>
        </w:rPr>
        <w:t>结算量同比增长</w:t>
      </w:r>
      <w:r>
        <w:rPr>
          <w:rFonts w:ascii="SimSun" w:hAnsi="SimSun" w:eastAsia="SimSun" w:cs="SimSun"/>
          <w:sz w:val="21"/>
          <w:szCs w:val="21"/>
          <w:spacing w:val="-21"/>
        </w:rPr>
        <w:t xml:space="preserve"> </w:t>
      </w:r>
      <w:r>
        <w:rPr>
          <w:rFonts w:ascii="Times New Roman" w:hAnsi="Times New Roman" w:eastAsia="Times New Roman" w:cs="Times New Roman"/>
          <w:sz w:val="21"/>
          <w:szCs w:val="21"/>
          <w:spacing w:val="-3"/>
        </w:rPr>
        <w:t>11.5%</w:t>
      </w:r>
      <w:r>
        <w:rPr>
          <w:rFonts w:ascii="SimSun" w:hAnsi="SimSun" w:eastAsia="SimSun" w:cs="SimSun"/>
          <w:sz w:val="21"/>
          <w:szCs w:val="21"/>
          <w:spacing w:val="-3"/>
        </w:rPr>
        <w:t>, 跨境人民币结算量同比增长</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26.84%</w:t>
      </w:r>
      <w:r>
        <w:rPr>
          <w:rFonts w:ascii="Times New Roman" w:hAnsi="Times New Roman" w:eastAsia="Times New Roman" w:cs="Times New Roman"/>
          <w:sz w:val="21"/>
          <w:szCs w:val="21"/>
          <w:spacing w:val="-30"/>
        </w:rPr>
        <w:t xml:space="preserve"> </w:t>
      </w:r>
      <w:r>
        <w:rPr>
          <w:rFonts w:ascii="SimSun" w:hAnsi="SimSun" w:eastAsia="SimSun" w:cs="SimSun"/>
          <w:sz w:val="21"/>
          <w:szCs w:val="21"/>
          <w:spacing w:val="-3"/>
        </w:rPr>
        <w:t>,</w:t>
      </w:r>
      <w:r>
        <w:rPr>
          <w:rFonts w:ascii="SimSun" w:hAnsi="SimSun" w:eastAsia="SimSun" w:cs="SimSun"/>
          <w:sz w:val="21"/>
          <w:szCs w:val="21"/>
          <w:spacing w:val="33"/>
        </w:rPr>
        <w:t xml:space="preserve"> </w:t>
      </w:r>
      <w:r>
        <w:rPr>
          <w:rFonts w:ascii="SimSun" w:hAnsi="SimSun" w:eastAsia="SimSun" w:cs="SimSun"/>
          <w:sz w:val="21"/>
          <w:szCs w:val="21"/>
          <w:spacing w:val="-3"/>
        </w:rPr>
        <w:t>国际业务线上结算、融资产品累计业务量同</w:t>
      </w:r>
      <w:r>
        <w:rPr>
          <w:rFonts w:ascii="SimSun" w:hAnsi="SimSun" w:eastAsia="SimSun" w:cs="SimSun"/>
          <w:sz w:val="21"/>
          <w:szCs w:val="21"/>
        </w:rPr>
        <w:t xml:space="preserve"> </w:t>
      </w:r>
      <w:r>
        <w:rPr>
          <w:rFonts w:ascii="SimSun" w:hAnsi="SimSun" w:eastAsia="SimSun" w:cs="SimSun"/>
          <w:sz w:val="21"/>
          <w:szCs w:val="21"/>
          <w:spacing w:val="-3"/>
        </w:rPr>
        <w:t>比翻番。</w:t>
      </w:r>
    </w:p>
    <w:p>
      <w:pPr>
        <w:ind w:left="432"/>
        <w:spacing w:before="305" w:line="222"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7"/>
        </w:rPr>
        <w:t>1.</w:t>
      </w:r>
      <w:r>
        <w:rPr>
          <w:rFonts w:ascii="Times New Roman" w:hAnsi="Times New Roman" w:eastAsia="Times New Roman" w:cs="Times New Roman"/>
          <w:sz w:val="21"/>
          <w:szCs w:val="21"/>
          <w:b/>
          <w:bCs/>
          <w:spacing w:val="-21"/>
        </w:rPr>
        <w:t xml:space="preserve"> </w:t>
      </w:r>
      <w:r>
        <w:rPr>
          <w:rFonts w:ascii="SimSun" w:hAnsi="SimSun" w:eastAsia="SimSun" w:cs="SimSun"/>
          <w:sz w:val="21"/>
          <w:szCs w:val="21"/>
          <w:b/>
          <w:bCs/>
          <w:spacing w:val="-7"/>
        </w:rPr>
        <w:t>国际化发展</w:t>
      </w:r>
    </w:p>
    <w:p>
      <w:pPr>
        <w:ind w:left="3" w:right="5" w:firstLine="421"/>
        <w:spacing w:before="306" w:line="292" w:lineRule="auto"/>
        <w:jc w:val="both"/>
        <w:rPr>
          <w:rFonts w:ascii="SimSun" w:hAnsi="SimSun" w:eastAsia="SimSun" w:cs="SimSun"/>
          <w:sz w:val="21"/>
          <w:szCs w:val="21"/>
        </w:rPr>
      </w:pPr>
      <w:r>
        <w:rPr>
          <w:rFonts w:ascii="SimSun" w:hAnsi="SimSun" w:eastAsia="SimSun" w:cs="SimSun"/>
          <w:sz w:val="21"/>
          <w:szCs w:val="21"/>
          <w:spacing w:val="-2"/>
        </w:rPr>
        <w:t>本集团积极应对内外部形势变化,</w:t>
      </w:r>
      <w:r>
        <w:rPr>
          <w:rFonts w:ascii="SimSun" w:hAnsi="SimSun" w:eastAsia="SimSun" w:cs="SimSun"/>
          <w:sz w:val="21"/>
          <w:szCs w:val="21"/>
          <w:spacing w:val="-33"/>
        </w:rPr>
        <w:t xml:space="preserve"> </w:t>
      </w:r>
      <w:r>
        <w:rPr>
          <w:rFonts w:ascii="SimSun" w:hAnsi="SimSun" w:eastAsia="SimSun" w:cs="SimSun"/>
          <w:sz w:val="21"/>
          <w:szCs w:val="21"/>
          <w:spacing w:val="-2"/>
        </w:rPr>
        <w:t>境外银行机构密切跟踪全球市场变化,</w:t>
      </w:r>
      <w:r>
        <w:rPr>
          <w:rFonts w:ascii="SimSun" w:hAnsi="SimSun" w:eastAsia="SimSun" w:cs="SimSun"/>
          <w:sz w:val="21"/>
          <w:szCs w:val="21"/>
          <w:spacing w:val="-33"/>
        </w:rPr>
        <w:t xml:space="preserve"> </w:t>
      </w:r>
      <w:r>
        <w:rPr>
          <w:rFonts w:ascii="SimSun" w:hAnsi="SimSun" w:eastAsia="SimSun" w:cs="SimSun"/>
          <w:sz w:val="21"/>
          <w:szCs w:val="21"/>
          <w:spacing w:val="-2"/>
        </w:rPr>
        <w:t>稳妥有序开展经营管理工作,</w:t>
      </w:r>
      <w:r>
        <w:rPr>
          <w:rFonts w:ascii="SimSun" w:hAnsi="SimSun" w:eastAsia="SimSun" w:cs="SimSun"/>
          <w:sz w:val="21"/>
          <w:szCs w:val="21"/>
        </w:rPr>
        <w:t xml:space="preserve"> </w:t>
      </w:r>
      <w:r>
        <w:rPr>
          <w:rFonts w:ascii="SimSun" w:hAnsi="SimSun" w:eastAsia="SimSun" w:cs="SimSun"/>
          <w:sz w:val="21"/>
          <w:szCs w:val="21"/>
          <w:spacing w:val="-2"/>
        </w:rPr>
        <w:t>加强结构性动态调整,</w:t>
      </w:r>
      <w:r>
        <w:rPr>
          <w:rFonts w:ascii="SimSun" w:hAnsi="SimSun" w:eastAsia="SimSun" w:cs="SimSun"/>
          <w:sz w:val="21"/>
          <w:szCs w:val="21"/>
          <w:spacing w:val="29"/>
        </w:rPr>
        <w:t xml:space="preserve"> </w:t>
      </w:r>
      <w:r>
        <w:rPr>
          <w:rFonts w:ascii="SimSun" w:hAnsi="SimSun" w:eastAsia="SimSun" w:cs="SimSun"/>
          <w:sz w:val="21"/>
          <w:szCs w:val="21"/>
          <w:spacing w:val="-2"/>
        </w:rPr>
        <w:t>统筹发展与安全。积</w:t>
      </w:r>
      <w:r>
        <w:rPr>
          <w:rFonts w:ascii="SimSun" w:hAnsi="SimSun" w:eastAsia="SimSun" w:cs="SimSun"/>
          <w:sz w:val="21"/>
          <w:szCs w:val="21"/>
          <w:spacing w:val="-3"/>
        </w:rPr>
        <w:t>极服务新一轮高水平对外开放,</w:t>
      </w:r>
      <w:r>
        <w:rPr>
          <w:rFonts w:ascii="SimSun" w:hAnsi="SimSun" w:eastAsia="SimSun" w:cs="SimSun"/>
          <w:sz w:val="21"/>
          <w:szCs w:val="21"/>
          <w:spacing w:val="34"/>
        </w:rPr>
        <w:t xml:space="preserve"> </w:t>
      </w:r>
      <w:r>
        <w:rPr>
          <w:rFonts w:ascii="SimSun" w:hAnsi="SimSun" w:eastAsia="SimSun" w:cs="SimSun"/>
          <w:sz w:val="21"/>
          <w:szCs w:val="21"/>
          <w:spacing w:val="-3"/>
        </w:rPr>
        <w:t>畅通国际国内双循环,</w:t>
      </w:r>
      <w:r>
        <w:rPr>
          <w:rFonts w:ascii="SimSun" w:hAnsi="SimSun" w:eastAsia="SimSun" w:cs="SimSun"/>
          <w:sz w:val="21"/>
          <w:szCs w:val="21"/>
          <w:spacing w:val="26"/>
        </w:rPr>
        <w:t xml:space="preserve"> </w:t>
      </w:r>
      <w:r>
        <w:rPr>
          <w:rFonts w:ascii="SimSun" w:hAnsi="SimSun" w:eastAsia="SimSun" w:cs="SimSun"/>
          <w:sz w:val="21"/>
          <w:szCs w:val="21"/>
          <w:spacing w:val="-3"/>
        </w:rPr>
        <w:t>为符合</w:t>
      </w:r>
      <w:r>
        <w:rPr>
          <w:rFonts w:ascii="SimSun" w:hAnsi="SimSun" w:eastAsia="SimSun" w:cs="SimSun"/>
          <w:sz w:val="21"/>
          <w:szCs w:val="21"/>
        </w:rPr>
        <w:t xml:space="preserve"> </w:t>
      </w:r>
      <w:r>
        <w:rPr>
          <w:rFonts w:ascii="SimSun" w:hAnsi="SimSun" w:eastAsia="SimSun" w:cs="SimSun"/>
          <w:sz w:val="21"/>
          <w:szCs w:val="21"/>
          <w:spacing w:val="6"/>
        </w:rPr>
        <w:t>国家战略、"走出去"的中资企业提供金融服务,积极搭建联通内外的金融桥梁。根据形势变化不断完善 </w:t>
      </w:r>
      <w:r>
        <w:rPr>
          <w:rFonts w:ascii="SimSun" w:hAnsi="SimSun" w:eastAsia="SimSun" w:cs="SimSun"/>
          <w:sz w:val="21"/>
          <w:szCs w:val="21"/>
          <w:spacing w:val="-2"/>
        </w:rPr>
        <w:t>应急保障预案,</w:t>
      </w:r>
      <w:r>
        <w:rPr>
          <w:rFonts w:ascii="SimSun" w:hAnsi="SimSun" w:eastAsia="SimSun" w:cs="SimSun"/>
          <w:sz w:val="21"/>
          <w:szCs w:val="21"/>
          <w:spacing w:val="29"/>
        </w:rPr>
        <w:t xml:space="preserve"> </w:t>
      </w:r>
      <w:r>
        <w:rPr>
          <w:rFonts w:ascii="SimSun" w:hAnsi="SimSun" w:eastAsia="SimSun" w:cs="SimSun"/>
          <w:sz w:val="21"/>
          <w:szCs w:val="21"/>
          <w:spacing w:val="-2"/>
        </w:rPr>
        <w:t>加强风险防范,</w:t>
      </w:r>
      <w:r>
        <w:rPr>
          <w:rFonts w:ascii="SimSun" w:hAnsi="SimSun" w:eastAsia="SimSun" w:cs="SimSun"/>
          <w:sz w:val="21"/>
          <w:szCs w:val="21"/>
          <w:spacing w:val="30"/>
        </w:rPr>
        <w:t xml:space="preserve"> </w:t>
      </w:r>
      <w:r>
        <w:rPr>
          <w:rFonts w:ascii="SimSun" w:hAnsi="SimSun" w:eastAsia="SimSun" w:cs="SimSun"/>
          <w:sz w:val="21"/>
          <w:szCs w:val="21"/>
          <w:spacing w:val="-2"/>
        </w:rPr>
        <w:t>筑牢境外行可持续高质量发展根</w:t>
      </w:r>
      <w:r>
        <w:rPr>
          <w:rFonts w:ascii="SimSun" w:hAnsi="SimSun" w:eastAsia="SimSun" w:cs="SimSun"/>
          <w:sz w:val="21"/>
          <w:szCs w:val="21"/>
          <w:spacing w:val="-3"/>
        </w:rPr>
        <w:t>基。</w:t>
      </w:r>
    </w:p>
    <w:p>
      <w:pPr>
        <w:pStyle w:val="BodyText"/>
        <w:spacing w:line="243" w:lineRule="auto"/>
        <w:rPr/>
      </w:pPr>
      <w:r/>
    </w:p>
    <w:p>
      <w:pPr>
        <w:ind w:left="423"/>
        <w:spacing w:before="69"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2.</w:t>
      </w:r>
      <w:r>
        <w:rPr>
          <w:rFonts w:ascii="SimSun" w:hAnsi="SimSun" w:eastAsia="SimSun" w:cs="SimSun"/>
          <w:sz w:val="21"/>
          <w:szCs w:val="21"/>
          <w:b/>
          <w:bCs/>
          <w:spacing w:val="-2"/>
        </w:rPr>
        <w:t>国际结算与贸易融资</w:t>
      </w:r>
    </w:p>
    <w:p>
      <w:pPr>
        <w:spacing w:before="308" w:line="218" w:lineRule="auto"/>
        <w:jc w:val="right"/>
        <w:rPr>
          <w:rFonts w:ascii="SimSun" w:hAnsi="SimSun" w:eastAsia="SimSun" w:cs="SimSun"/>
          <w:sz w:val="21"/>
          <w:szCs w:val="21"/>
        </w:rPr>
      </w:pPr>
      <w:r>
        <w:rPr>
          <w:rFonts w:ascii="SimSun" w:hAnsi="SimSun" w:eastAsia="SimSun" w:cs="SimSun"/>
          <w:sz w:val="21"/>
          <w:szCs w:val="21"/>
        </w:rPr>
        <w:t>服务高水平对外开放, 支持制造业、批发零售</w:t>
      </w:r>
      <w:r>
        <w:rPr>
          <w:rFonts w:ascii="SimSun" w:hAnsi="SimSun" w:eastAsia="SimSun" w:cs="SimSun"/>
          <w:sz w:val="21"/>
          <w:szCs w:val="21"/>
          <w:spacing w:val="-1"/>
        </w:rPr>
        <w:t>等行业客群跨境金融需求, 加大对小微外贸企业支持力</w:t>
      </w:r>
    </w:p>
    <w:p>
      <w:pPr>
        <w:spacing w:line="218" w:lineRule="auto"/>
        <w:sectPr>
          <w:footerReference w:type="default" r:id="rId43"/>
          <w:pgSz w:w="11907" w:h="16839"/>
          <w:pgMar w:top="1196" w:right="1127" w:bottom="1375" w:left="1137" w:header="0" w:footer="1211" w:gutter="0"/>
        </w:sectPr>
        <w:rPr>
          <w:rFonts w:ascii="SimSun" w:hAnsi="SimSun" w:eastAsia="SimSun" w:cs="SimSun"/>
          <w:sz w:val="21"/>
          <w:szCs w:val="21"/>
        </w:rPr>
      </w:pPr>
    </w:p>
    <w:p>
      <w:pPr>
        <w:ind w:left="66" w:right="57" w:firstLine="2"/>
        <w:spacing w:before="43" w:line="302" w:lineRule="auto"/>
        <w:jc w:val="both"/>
        <w:rPr>
          <w:rFonts w:ascii="SimSun" w:hAnsi="SimSun" w:eastAsia="SimSun" w:cs="SimSun"/>
          <w:sz w:val="21"/>
          <w:szCs w:val="21"/>
        </w:rPr>
      </w:pPr>
      <w:r>
        <w:rPr>
          <w:rFonts w:ascii="SimSun" w:hAnsi="SimSun" w:eastAsia="SimSun" w:cs="SimSun"/>
          <w:sz w:val="21"/>
          <w:szCs w:val="21"/>
          <w:spacing w:val="2"/>
        </w:rPr>
        <w:t>度。推出"数字贸服"</w:t>
      </w:r>
      <w:r>
        <w:rPr>
          <w:rFonts w:ascii="SimSun" w:hAnsi="SimSun" w:eastAsia="SimSun" w:cs="SimSun"/>
          <w:sz w:val="21"/>
          <w:szCs w:val="21"/>
          <w:spacing w:val="-29"/>
        </w:rPr>
        <w:t xml:space="preserve"> </w:t>
      </w:r>
      <w:r>
        <w:rPr>
          <w:rFonts w:ascii="SimSun" w:hAnsi="SimSun" w:eastAsia="SimSun" w:cs="SimSun"/>
          <w:sz w:val="21"/>
          <w:szCs w:val="21"/>
          <w:spacing w:val="2"/>
        </w:rPr>
        <w:t>线上化、智能化贸易金融</w:t>
      </w:r>
      <w:r>
        <w:rPr>
          <w:rFonts w:ascii="SimSun" w:hAnsi="SimSun" w:eastAsia="SimSun" w:cs="SimSun"/>
          <w:sz w:val="21"/>
          <w:szCs w:val="21"/>
          <w:spacing w:val="1"/>
        </w:rPr>
        <w:t>产品, 涵盖外贸新业态、场景金融、</w:t>
      </w:r>
      <w:r>
        <w:rPr>
          <w:rFonts w:ascii="Times New Roman" w:hAnsi="Times New Roman" w:eastAsia="Times New Roman" w:cs="Times New Roman"/>
          <w:sz w:val="21"/>
          <w:szCs w:val="21"/>
        </w:rPr>
        <w:t>Easy</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系列、大客户平</w:t>
      </w:r>
      <w:r>
        <w:rPr>
          <w:rFonts w:ascii="SimSun" w:hAnsi="SimSun" w:eastAsia="SimSun" w:cs="SimSun"/>
          <w:sz w:val="21"/>
          <w:szCs w:val="21"/>
        </w:rPr>
        <w:t xml:space="preserve"> </w:t>
      </w:r>
      <w:r>
        <w:rPr>
          <w:rFonts w:ascii="SimSun" w:hAnsi="SimSun" w:eastAsia="SimSun" w:cs="SimSun"/>
          <w:sz w:val="21"/>
          <w:szCs w:val="21"/>
          <w:spacing w:val="-2"/>
        </w:rPr>
        <w:t>台、</w:t>
      </w:r>
      <w:r>
        <w:rPr>
          <w:rFonts w:ascii="SimSun" w:hAnsi="SimSun" w:eastAsia="SimSun" w:cs="SimSun"/>
          <w:sz w:val="21"/>
          <w:szCs w:val="21"/>
          <w:spacing w:val="-30"/>
        </w:rPr>
        <w:t xml:space="preserve"> </w:t>
      </w:r>
      <w:r>
        <w:rPr>
          <w:rFonts w:ascii="SimSun" w:hAnsi="SimSun" w:eastAsia="SimSun" w:cs="SimSun"/>
          <w:sz w:val="21"/>
          <w:szCs w:val="21"/>
          <w:spacing w:val="-2"/>
        </w:rPr>
        <w:t>银政对接五大模块, 切实服务贸易强国建设。融入航运物流、资本项目数字化服务试点等场景, 提升</w:t>
      </w:r>
      <w:r>
        <w:rPr>
          <w:rFonts w:ascii="SimSun" w:hAnsi="SimSun" w:eastAsia="SimSun" w:cs="SimSun"/>
          <w:sz w:val="21"/>
          <w:szCs w:val="21"/>
        </w:rPr>
        <w:t xml:space="preserve"> </w:t>
      </w:r>
      <w:r>
        <w:rPr>
          <w:rFonts w:ascii="SimSun" w:hAnsi="SimSun" w:eastAsia="SimSun" w:cs="SimSun"/>
          <w:sz w:val="21"/>
          <w:szCs w:val="21"/>
          <w:spacing w:val="1"/>
        </w:rPr>
        <w:t>配套金融服务质效。优化 </w:t>
      </w:r>
      <w:r>
        <w:rPr>
          <w:rFonts w:ascii="Times New Roman" w:hAnsi="Times New Roman" w:eastAsia="Times New Roman" w:cs="Times New Roman"/>
          <w:sz w:val="21"/>
          <w:szCs w:val="21"/>
        </w:rPr>
        <w:t>Easy</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系列线上化结算、融资产品功能,服务客户数和业务量持续倍数增长,</w:t>
      </w:r>
      <w:r>
        <w:rPr>
          <w:rFonts w:ascii="SimSun" w:hAnsi="SimSun" w:eastAsia="SimSun" w:cs="SimSun"/>
          <w:sz w:val="21"/>
          <w:szCs w:val="21"/>
          <w:spacing w:val="48"/>
        </w:rPr>
        <w:t xml:space="preserve"> </w:t>
      </w:r>
      <w:r>
        <w:rPr>
          <w:rFonts w:ascii="SimSun" w:hAnsi="SimSun" w:eastAsia="SimSun" w:cs="SimSun"/>
          <w:sz w:val="21"/>
          <w:szCs w:val="21"/>
          <w:spacing w:val="1"/>
        </w:rPr>
        <w:t>金</w:t>
      </w:r>
      <w:r>
        <w:rPr>
          <w:rFonts w:ascii="SimSun" w:hAnsi="SimSun" w:eastAsia="SimSun" w:cs="SimSun"/>
          <w:sz w:val="21"/>
          <w:szCs w:val="21"/>
        </w:rPr>
        <w:t xml:space="preserve"> </w:t>
      </w:r>
      <w:r>
        <w:rPr>
          <w:rFonts w:ascii="SimSun" w:hAnsi="SimSun" w:eastAsia="SimSun" w:cs="SimSun"/>
          <w:sz w:val="21"/>
          <w:szCs w:val="21"/>
          <w:spacing w:val="-1"/>
        </w:rPr>
        <w:t>融服务数字化水平不断提升。支持外贸新业态发展,</w:t>
      </w:r>
      <w:r>
        <w:rPr>
          <w:rFonts w:ascii="SimSun" w:hAnsi="SimSun" w:eastAsia="SimSun" w:cs="SimSun"/>
          <w:sz w:val="21"/>
          <w:szCs w:val="21"/>
          <w:spacing w:val="26"/>
        </w:rPr>
        <w:t xml:space="preserve"> </w:t>
      </w:r>
      <w:r>
        <w:rPr>
          <w:rFonts w:ascii="SimSun" w:hAnsi="SimSun" w:eastAsia="SimSun" w:cs="SimSun"/>
          <w:sz w:val="21"/>
          <w:szCs w:val="21"/>
          <w:spacing w:val="-1"/>
        </w:rPr>
        <w:t>跨境电商、外贸综合服务、市场采购贸易业</w:t>
      </w:r>
      <w:r>
        <w:rPr>
          <w:rFonts w:ascii="SimSun" w:hAnsi="SimSun" w:eastAsia="SimSun" w:cs="SimSun"/>
          <w:sz w:val="21"/>
          <w:szCs w:val="21"/>
          <w:spacing w:val="-2"/>
        </w:rPr>
        <w:t>务量合计</w:t>
      </w:r>
      <w:r>
        <w:rPr>
          <w:rFonts w:ascii="SimSun" w:hAnsi="SimSun" w:eastAsia="SimSun" w:cs="SimSun"/>
          <w:sz w:val="21"/>
          <w:szCs w:val="21"/>
        </w:rPr>
        <w:t xml:space="preserve"> </w:t>
      </w:r>
      <w:r>
        <w:rPr>
          <w:rFonts w:ascii="Times New Roman" w:hAnsi="Times New Roman" w:eastAsia="Times New Roman" w:cs="Times New Roman"/>
          <w:sz w:val="21"/>
          <w:szCs w:val="21"/>
          <w:spacing w:val="7"/>
        </w:rPr>
        <w:t>282.1  </w:t>
      </w:r>
      <w:r>
        <w:rPr>
          <w:rFonts w:ascii="SimSun" w:hAnsi="SimSun" w:eastAsia="SimSun" w:cs="SimSun"/>
          <w:sz w:val="21"/>
          <w:szCs w:val="21"/>
          <w:spacing w:val="7"/>
        </w:rPr>
        <w:t>亿元。推进科技赋能,丰富国际业务大客户平台,开展多边央行数字货币桥试点,创</w:t>
      </w:r>
      <w:r>
        <w:rPr>
          <w:rFonts w:ascii="SimSun" w:hAnsi="SimSun" w:eastAsia="SimSun" w:cs="SimSun"/>
          <w:sz w:val="21"/>
          <w:szCs w:val="21"/>
          <w:spacing w:val="6"/>
        </w:rPr>
        <w:t>新推出人民币</w:t>
      </w:r>
      <w:r>
        <w:rPr>
          <w:rFonts w:ascii="SimSun" w:hAnsi="SimSun" w:eastAsia="SimSun" w:cs="SimSun"/>
          <w:sz w:val="21"/>
          <w:szCs w:val="21"/>
        </w:rPr>
        <w:t xml:space="preserve"> </w:t>
      </w:r>
      <w:r>
        <w:rPr>
          <w:rFonts w:ascii="SimSun" w:hAnsi="SimSun" w:eastAsia="SimSun" w:cs="SimSun"/>
          <w:sz w:val="21"/>
          <w:szCs w:val="21"/>
          <w:spacing w:val="-3"/>
        </w:rPr>
        <w:t>跨境支付系统信用证业务。报告期内, 本行国际结算量</w:t>
      </w:r>
      <w:r>
        <w:rPr>
          <w:rFonts w:ascii="SimSun" w:hAnsi="SimSun" w:eastAsia="SimSun" w:cs="SimSun"/>
          <w:sz w:val="21"/>
          <w:szCs w:val="21"/>
          <w:spacing w:val="-31"/>
        </w:rPr>
        <w:t xml:space="preserve"> </w:t>
      </w:r>
      <w:r>
        <w:rPr>
          <w:rFonts w:ascii="Times New Roman" w:hAnsi="Times New Roman" w:eastAsia="Times New Roman" w:cs="Times New Roman"/>
          <w:sz w:val="21"/>
          <w:szCs w:val="21"/>
          <w:spacing w:val="-3"/>
        </w:rPr>
        <w:t>5,387.7 </w:t>
      </w:r>
      <w:r>
        <w:rPr>
          <w:rFonts w:ascii="SimSun" w:hAnsi="SimSun" w:eastAsia="SimSun" w:cs="SimSun"/>
          <w:sz w:val="21"/>
          <w:szCs w:val="21"/>
          <w:spacing w:val="-3"/>
        </w:rPr>
        <w:t>亿美元,</w:t>
      </w:r>
      <w:r>
        <w:rPr>
          <w:rFonts w:ascii="SimSun" w:hAnsi="SimSun" w:eastAsia="SimSun" w:cs="SimSun"/>
          <w:sz w:val="21"/>
          <w:szCs w:val="21"/>
          <w:spacing w:val="28"/>
        </w:rPr>
        <w:t xml:space="preserve"> </w:t>
      </w:r>
      <w:r>
        <w:rPr>
          <w:rFonts w:ascii="SimSun" w:hAnsi="SimSun" w:eastAsia="SimSun" w:cs="SimSun"/>
          <w:sz w:val="21"/>
          <w:szCs w:val="21"/>
          <w:spacing w:val="-3"/>
        </w:rPr>
        <w:t>同比增长</w:t>
      </w:r>
      <w:r>
        <w:rPr>
          <w:rFonts w:ascii="SimSun" w:hAnsi="SimSun" w:eastAsia="SimSun" w:cs="SimSun"/>
          <w:sz w:val="21"/>
          <w:szCs w:val="21"/>
          <w:spacing w:val="-30"/>
        </w:rPr>
        <w:t xml:space="preserve"> </w:t>
      </w:r>
      <w:r>
        <w:rPr>
          <w:rFonts w:ascii="Times New Roman" w:hAnsi="Times New Roman" w:eastAsia="Times New Roman" w:cs="Times New Roman"/>
          <w:sz w:val="21"/>
          <w:szCs w:val="21"/>
          <w:spacing w:val="-3"/>
        </w:rPr>
        <w:t>11.5%</w:t>
      </w:r>
      <w:r>
        <w:rPr>
          <w:rFonts w:ascii="SimSun" w:hAnsi="SimSun" w:eastAsia="SimSun" w:cs="SimSun"/>
          <w:sz w:val="21"/>
          <w:szCs w:val="21"/>
          <w:spacing w:val="-3"/>
        </w:rPr>
        <w:t>; 跨境贸易融资投</w:t>
      </w:r>
      <w:r>
        <w:rPr>
          <w:rFonts w:ascii="SimSun" w:hAnsi="SimSun" w:eastAsia="SimSun" w:cs="SimSun"/>
          <w:sz w:val="21"/>
          <w:szCs w:val="21"/>
        </w:rPr>
        <w:t xml:space="preserve"> </w:t>
      </w:r>
      <w:r>
        <w:rPr>
          <w:rFonts w:ascii="SimSun" w:hAnsi="SimSun" w:eastAsia="SimSun" w:cs="SimSun"/>
          <w:sz w:val="21"/>
          <w:szCs w:val="21"/>
          <w:spacing w:val="-4"/>
        </w:rPr>
        <w:t>放量</w:t>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4"/>
        </w:rPr>
        <w:t>2,204.9 </w:t>
      </w:r>
      <w:r>
        <w:rPr>
          <w:rFonts w:ascii="SimSun" w:hAnsi="SimSun" w:eastAsia="SimSun" w:cs="SimSun"/>
          <w:sz w:val="21"/>
          <w:szCs w:val="21"/>
          <w:spacing w:val="-4"/>
        </w:rPr>
        <w:t>亿元,</w:t>
      </w:r>
      <w:r>
        <w:rPr>
          <w:rFonts w:ascii="SimSun" w:hAnsi="SimSun" w:eastAsia="SimSun" w:cs="SimSun"/>
          <w:sz w:val="21"/>
          <w:szCs w:val="21"/>
          <w:spacing w:val="50"/>
        </w:rPr>
        <w:t xml:space="preserve"> </w:t>
      </w:r>
      <w:r>
        <w:rPr>
          <w:rFonts w:ascii="SimSun" w:hAnsi="SimSun" w:eastAsia="SimSun" w:cs="SimSun"/>
          <w:sz w:val="21"/>
          <w:szCs w:val="21"/>
          <w:spacing w:val="-4"/>
        </w:rPr>
        <w:t>同比增长</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4"/>
        </w:rPr>
        <w:t>1.8%</w:t>
      </w:r>
      <w:r>
        <w:rPr>
          <w:rFonts w:ascii="SimSun" w:hAnsi="SimSun" w:eastAsia="SimSun" w:cs="SimSun"/>
          <w:sz w:val="21"/>
          <w:szCs w:val="21"/>
          <w:spacing w:val="-4"/>
        </w:rPr>
        <w:t>。</w:t>
      </w:r>
    </w:p>
    <w:p>
      <w:pPr>
        <w:pStyle w:val="BodyText"/>
        <w:spacing w:line="249" w:lineRule="auto"/>
        <w:rPr/>
      </w:pPr>
      <w:r/>
    </w:p>
    <w:p>
      <w:pPr>
        <w:ind w:left="488"/>
        <w:spacing w:before="68"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3.</w:t>
      </w:r>
      <w:r>
        <w:rPr>
          <w:rFonts w:ascii="SimSun" w:hAnsi="SimSun" w:eastAsia="SimSun" w:cs="SimSun"/>
          <w:sz w:val="21"/>
          <w:szCs w:val="21"/>
          <w:b/>
          <w:bCs/>
          <w:spacing w:val="-2"/>
        </w:rPr>
        <w:t>境外服务网络</w:t>
      </w:r>
    </w:p>
    <w:p>
      <w:pPr>
        <w:pStyle w:val="BodyText"/>
        <w:rPr/>
      </w:pPr>
      <w:r/>
    </w:p>
    <w:p>
      <w:pPr>
        <w:ind w:left="70" w:right="59" w:firstLine="421"/>
        <w:spacing w:before="68" w:line="297" w:lineRule="auto"/>
        <w:rPr>
          <w:rFonts w:ascii="SimSun" w:hAnsi="SimSun" w:eastAsia="SimSun" w:cs="SimSun"/>
          <w:sz w:val="21"/>
          <w:szCs w:val="21"/>
        </w:rPr>
      </w:pPr>
      <w:r>
        <w:rPr>
          <w:rFonts w:ascii="SimSun" w:hAnsi="SimSun" w:eastAsia="SimSun" w:cs="SimSun"/>
          <w:sz w:val="21"/>
          <w:szCs w:val="21"/>
          <w:spacing w:val="-5"/>
        </w:rPr>
        <w:t>境外服务网络布局稳步推进。截至报告期末, 本集团在香港、纽约、伦敦、新加坡、</w:t>
      </w:r>
      <w:r>
        <w:rPr>
          <w:rFonts w:ascii="SimSun" w:hAnsi="SimSun" w:eastAsia="SimSun" w:cs="SimSun"/>
          <w:sz w:val="21"/>
          <w:szCs w:val="21"/>
          <w:spacing w:val="-6"/>
        </w:rPr>
        <w:t>东京、法兰克福、</w:t>
      </w:r>
      <w:r>
        <w:rPr>
          <w:rFonts w:ascii="SimSun" w:hAnsi="SimSun" w:eastAsia="SimSun" w:cs="SimSun"/>
          <w:sz w:val="21"/>
          <w:szCs w:val="21"/>
        </w:rPr>
        <w:t xml:space="preserve"> </w:t>
      </w:r>
      <w:r>
        <w:rPr>
          <w:rFonts w:ascii="SimSun" w:hAnsi="SimSun" w:eastAsia="SimSun" w:cs="SimSun"/>
          <w:sz w:val="21"/>
          <w:szCs w:val="21"/>
          <w:spacing w:val="3"/>
        </w:rPr>
        <w:t>卢森堡、悉尼等地设有 </w:t>
      </w:r>
      <w:r>
        <w:rPr>
          <w:rFonts w:ascii="Times New Roman" w:hAnsi="Times New Roman" w:eastAsia="Times New Roman" w:cs="Times New Roman"/>
          <w:sz w:val="21"/>
          <w:szCs w:val="21"/>
          <w:spacing w:val="3"/>
        </w:rPr>
        <w:t>23</w:t>
      </w:r>
      <w:r>
        <w:rPr>
          <w:rFonts w:ascii="Times New Roman" w:hAnsi="Times New Roman" w:eastAsia="Times New Roman" w:cs="Times New Roman"/>
          <w:sz w:val="21"/>
          <w:szCs w:val="21"/>
          <w:spacing w:val="51"/>
        </w:rPr>
        <w:t xml:space="preserve"> </w:t>
      </w:r>
      <w:r>
        <w:rPr>
          <w:rFonts w:ascii="SimSun" w:hAnsi="SimSun" w:eastAsia="SimSun" w:cs="SimSun"/>
          <w:sz w:val="21"/>
          <w:szCs w:val="21"/>
          <w:spacing w:val="3"/>
        </w:rPr>
        <w:t>家境外分(子)行及代表处,</w:t>
      </w:r>
      <w:r>
        <w:rPr>
          <w:rFonts w:ascii="SimSun" w:hAnsi="SimSun" w:eastAsia="SimSun" w:cs="SimSun"/>
          <w:sz w:val="21"/>
          <w:szCs w:val="21"/>
          <w:spacing w:val="31"/>
        </w:rPr>
        <w:t xml:space="preserve"> </w:t>
      </w:r>
      <w:r>
        <w:rPr>
          <w:rFonts w:ascii="SimSun" w:hAnsi="SimSun" w:eastAsia="SimSun" w:cs="SimSun"/>
          <w:sz w:val="21"/>
          <w:szCs w:val="21"/>
          <w:spacing w:val="3"/>
        </w:rPr>
        <w:t>为客户提</w:t>
      </w:r>
      <w:r>
        <w:rPr>
          <w:rFonts w:ascii="SimSun" w:hAnsi="SimSun" w:eastAsia="SimSun" w:cs="SimSun"/>
          <w:sz w:val="21"/>
          <w:szCs w:val="21"/>
          <w:spacing w:val="2"/>
        </w:rPr>
        <w:t>供存款、贷款、国际结算、贸易融资、</w:t>
      </w:r>
      <w:r>
        <w:rPr>
          <w:rFonts w:ascii="SimSun" w:hAnsi="SimSun" w:eastAsia="SimSun" w:cs="SimSun"/>
          <w:sz w:val="21"/>
          <w:szCs w:val="21"/>
        </w:rPr>
        <w:t xml:space="preserve"> </w:t>
      </w:r>
      <w:r>
        <w:rPr>
          <w:rFonts w:ascii="SimSun" w:hAnsi="SimSun" w:eastAsia="SimSun" w:cs="SimSun"/>
          <w:sz w:val="21"/>
          <w:szCs w:val="21"/>
          <w:spacing w:val="-3"/>
        </w:rPr>
        <w:t>外汇兑换等金融服务;</w:t>
      </w:r>
      <w:r>
        <w:rPr>
          <w:rFonts w:ascii="SimSun" w:hAnsi="SimSun" w:eastAsia="SimSun" w:cs="SimSun"/>
          <w:sz w:val="21"/>
          <w:szCs w:val="21"/>
          <w:spacing w:val="48"/>
        </w:rPr>
        <w:t xml:space="preserve"> </w:t>
      </w:r>
      <w:r>
        <w:rPr>
          <w:rFonts w:ascii="SimSun" w:hAnsi="SimSun" w:eastAsia="SimSun" w:cs="SimSun"/>
          <w:sz w:val="21"/>
          <w:szCs w:val="21"/>
          <w:spacing w:val="-3"/>
        </w:rPr>
        <w:t>与全球 </w:t>
      </w:r>
      <w:r>
        <w:rPr>
          <w:rFonts w:ascii="Times New Roman" w:hAnsi="Times New Roman" w:eastAsia="Times New Roman" w:cs="Times New Roman"/>
          <w:sz w:val="21"/>
          <w:szCs w:val="21"/>
          <w:spacing w:val="-3"/>
        </w:rPr>
        <w:t>127</w:t>
      </w:r>
      <w:r>
        <w:rPr>
          <w:rFonts w:ascii="Times New Roman" w:hAnsi="Times New Roman" w:eastAsia="Times New Roman" w:cs="Times New Roman"/>
          <w:sz w:val="21"/>
          <w:szCs w:val="21"/>
          <w:spacing w:val="23"/>
          <w:w w:val="101"/>
        </w:rPr>
        <w:t xml:space="preserve"> </w:t>
      </w:r>
      <w:r>
        <w:rPr>
          <w:rFonts w:ascii="SimSun" w:hAnsi="SimSun" w:eastAsia="SimSun" w:cs="SimSun"/>
          <w:sz w:val="21"/>
          <w:szCs w:val="21"/>
          <w:spacing w:val="-3"/>
        </w:rPr>
        <w:t>个国家和地区的 </w:t>
      </w:r>
      <w:r>
        <w:rPr>
          <w:rFonts w:ascii="Times New Roman" w:hAnsi="Times New Roman" w:eastAsia="Times New Roman" w:cs="Times New Roman"/>
          <w:sz w:val="21"/>
          <w:szCs w:val="21"/>
          <w:spacing w:val="-3"/>
        </w:rPr>
        <w:t>1,010</w:t>
      </w:r>
      <w:r>
        <w:rPr>
          <w:rFonts w:ascii="Times New Roman" w:hAnsi="Times New Roman" w:eastAsia="Times New Roman" w:cs="Times New Roman"/>
          <w:sz w:val="21"/>
          <w:szCs w:val="21"/>
          <w:spacing w:val="25"/>
        </w:rPr>
        <w:t xml:space="preserve"> </w:t>
      </w:r>
      <w:r>
        <w:rPr>
          <w:rFonts w:ascii="SimSun" w:hAnsi="SimSun" w:eastAsia="SimSun" w:cs="SimSun"/>
          <w:sz w:val="21"/>
          <w:szCs w:val="21"/>
          <w:spacing w:val="-3"/>
        </w:rPr>
        <w:t>家银行建立境外银行服务网络,</w:t>
      </w:r>
      <w:r>
        <w:rPr>
          <w:rFonts w:ascii="SimSun" w:hAnsi="SimSun" w:eastAsia="SimSun" w:cs="SimSun"/>
          <w:sz w:val="21"/>
          <w:szCs w:val="21"/>
          <w:spacing w:val="31"/>
        </w:rPr>
        <w:t xml:space="preserve"> </w:t>
      </w:r>
      <w:r>
        <w:rPr>
          <w:rFonts w:ascii="SimSun" w:hAnsi="SimSun" w:eastAsia="SimSun" w:cs="SimSun"/>
          <w:sz w:val="21"/>
          <w:szCs w:val="21"/>
          <w:spacing w:val="-3"/>
        </w:rPr>
        <w:t>为</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3"/>
        </w:rPr>
        <w:t>32</w:t>
      </w:r>
      <w:r>
        <w:rPr>
          <w:rFonts w:ascii="Times New Roman" w:hAnsi="Times New Roman" w:eastAsia="Times New Roman" w:cs="Times New Roman"/>
          <w:sz w:val="21"/>
          <w:szCs w:val="21"/>
          <w:spacing w:val="26"/>
        </w:rPr>
        <w:t xml:space="preserve"> </w:t>
      </w:r>
      <w:r>
        <w:rPr>
          <w:rFonts w:ascii="SimSun" w:hAnsi="SimSun" w:eastAsia="SimSun" w:cs="SimSun"/>
          <w:sz w:val="21"/>
          <w:szCs w:val="21"/>
          <w:spacing w:val="-3"/>
        </w:rPr>
        <w:t>个国家和</w:t>
      </w:r>
      <w:r>
        <w:rPr>
          <w:rFonts w:ascii="SimSun" w:hAnsi="SimSun" w:eastAsia="SimSun" w:cs="SimSun"/>
          <w:sz w:val="21"/>
          <w:szCs w:val="21"/>
        </w:rPr>
        <w:t xml:space="preserve"> </w:t>
      </w:r>
      <w:r>
        <w:rPr>
          <w:rFonts w:ascii="SimSun" w:hAnsi="SimSun" w:eastAsia="SimSun" w:cs="SimSun"/>
          <w:sz w:val="21"/>
          <w:szCs w:val="21"/>
          <w:spacing w:val="-2"/>
        </w:rPr>
        <w:t>地区的</w:t>
      </w:r>
      <w:r>
        <w:rPr>
          <w:rFonts w:ascii="SimSun" w:hAnsi="SimSun" w:eastAsia="SimSun" w:cs="SimSun"/>
          <w:sz w:val="21"/>
          <w:szCs w:val="21"/>
          <w:spacing w:val="-20"/>
        </w:rPr>
        <w:t xml:space="preserve"> </w:t>
      </w:r>
      <w:r>
        <w:rPr>
          <w:rFonts w:ascii="Times New Roman" w:hAnsi="Times New Roman" w:eastAsia="Times New Roman" w:cs="Times New Roman"/>
          <w:sz w:val="21"/>
          <w:szCs w:val="21"/>
          <w:spacing w:val="-2"/>
        </w:rPr>
        <w:t>100</w:t>
      </w:r>
      <w:r>
        <w:rPr>
          <w:rFonts w:ascii="Times New Roman" w:hAnsi="Times New Roman" w:eastAsia="Times New Roman" w:cs="Times New Roman"/>
          <w:sz w:val="21"/>
          <w:szCs w:val="21"/>
          <w:spacing w:val="17"/>
          <w:w w:val="101"/>
        </w:rPr>
        <w:t xml:space="preserve"> </w:t>
      </w:r>
      <w:r>
        <w:rPr>
          <w:rFonts w:ascii="SimSun" w:hAnsi="SimSun" w:eastAsia="SimSun" w:cs="SimSun"/>
          <w:sz w:val="21"/>
          <w:szCs w:val="21"/>
          <w:spacing w:val="-2"/>
        </w:rPr>
        <w:t>家境外人民币参加行开立</w:t>
      </w:r>
      <w:r>
        <w:rPr>
          <w:rFonts w:ascii="SimSun" w:hAnsi="SimSun" w:eastAsia="SimSun" w:cs="SimSun"/>
          <w:sz w:val="21"/>
          <w:szCs w:val="21"/>
          <w:spacing w:val="-40"/>
        </w:rPr>
        <w:t xml:space="preserve"> </w:t>
      </w:r>
      <w:r>
        <w:rPr>
          <w:rFonts w:ascii="Times New Roman" w:hAnsi="Times New Roman" w:eastAsia="Times New Roman" w:cs="Times New Roman"/>
          <w:sz w:val="21"/>
          <w:szCs w:val="21"/>
          <w:spacing w:val="-2"/>
        </w:rPr>
        <w:t>235</w:t>
      </w:r>
      <w:r>
        <w:rPr>
          <w:rFonts w:ascii="Times New Roman" w:hAnsi="Times New Roman" w:eastAsia="Times New Roman" w:cs="Times New Roman"/>
          <w:sz w:val="21"/>
          <w:szCs w:val="21"/>
          <w:spacing w:val="15"/>
          <w:w w:val="101"/>
        </w:rPr>
        <w:t xml:space="preserve"> </w:t>
      </w:r>
      <w:r>
        <w:rPr>
          <w:rFonts w:ascii="SimSun" w:hAnsi="SimSun" w:eastAsia="SimSun" w:cs="SimSun"/>
          <w:sz w:val="21"/>
          <w:szCs w:val="21"/>
          <w:spacing w:val="-2"/>
        </w:rPr>
        <w:t>个跨境人民币账户</w:t>
      </w:r>
      <w:r>
        <w:rPr>
          <w:rFonts w:ascii="SimSun" w:hAnsi="SimSun" w:eastAsia="SimSun" w:cs="SimSun"/>
          <w:sz w:val="21"/>
          <w:szCs w:val="21"/>
          <w:spacing w:val="-3"/>
        </w:rPr>
        <w:t>;</w:t>
      </w:r>
      <w:r>
        <w:rPr>
          <w:rFonts w:ascii="SimSun" w:hAnsi="SimSun" w:eastAsia="SimSun" w:cs="SimSun"/>
          <w:sz w:val="21"/>
          <w:szCs w:val="21"/>
          <w:spacing w:val="28"/>
        </w:rPr>
        <w:t xml:space="preserve"> </w:t>
      </w:r>
      <w:r>
        <w:rPr>
          <w:rFonts w:ascii="SimSun" w:hAnsi="SimSun" w:eastAsia="SimSun" w:cs="SimSun"/>
          <w:sz w:val="21"/>
          <w:szCs w:val="21"/>
          <w:spacing w:val="-3"/>
        </w:rPr>
        <w:t>在</w:t>
      </w:r>
      <w:r>
        <w:rPr>
          <w:rFonts w:ascii="SimSun" w:hAnsi="SimSun" w:eastAsia="SimSun" w:cs="SimSun"/>
          <w:sz w:val="21"/>
          <w:szCs w:val="21"/>
          <w:spacing w:val="-37"/>
        </w:rPr>
        <w:t xml:space="preserve"> </w:t>
      </w:r>
      <w:r>
        <w:rPr>
          <w:rFonts w:ascii="Times New Roman" w:hAnsi="Times New Roman" w:eastAsia="Times New Roman" w:cs="Times New Roman"/>
          <w:sz w:val="21"/>
          <w:szCs w:val="21"/>
          <w:spacing w:val="-3"/>
        </w:rPr>
        <w:t>31</w:t>
      </w:r>
      <w:r>
        <w:rPr>
          <w:rFonts w:ascii="Times New Roman" w:hAnsi="Times New Roman" w:eastAsia="Times New Roman" w:cs="Times New Roman"/>
          <w:sz w:val="21"/>
          <w:szCs w:val="21"/>
          <w:spacing w:val="16"/>
        </w:rPr>
        <w:t xml:space="preserve"> </w:t>
      </w:r>
      <w:r>
        <w:rPr>
          <w:rFonts w:ascii="SimSun" w:hAnsi="SimSun" w:eastAsia="SimSun" w:cs="SimSun"/>
          <w:sz w:val="21"/>
          <w:szCs w:val="21"/>
          <w:spacing w:val="-3"/>
        </w:rPr>
        <w:t>个国家和地区的</w:t>
      </w:r>
      <w:r>
        <w:rPr>
          <w:rFonts w:ascii="SimSun" w:hAnsi="SimSun" w:eastAsia="SimSun" w:cs="SimSun"/>
          <w:sz w:val="21"/>
          <w:szCs w:val="21"/>
          <w:spacing w:val="-36"/>
        </w:rPr>
        <w:t xml:space="preserve"> </w:t>
      </w:r>
      <w:r>
        <w:rPr>
          <w:rFonts w:ascii="Times New Roman" w:hAnsi="Times New Roman" w:eastAsia="Times New Roman" w:cs="Times New Roman"/>
          <w:sz w:val="21"/>
          <w:szCs w:val="21"/>
          <w:spacing w:val="-3"/>
        </w:rPr>
        <w:t>63</w:t>
      </w:r>
      <w:r>
        <w:rPr>
          <w:rFonts w:ascii="Times New Roman" w:hAnsi="Times New Roman" w:eastAsia="Times New Roman" w:cs="Times New Roman"/>
          <w:sz w:val="21"/>
          <w:szCs w:val="21"/>
          <w:spacing w:val="15"/>
          <w:w w:val="101"/>
        </w:rPr>
        <w:t xml:space="preserve"> </w:t>
      </w:r>
      <w:r>
        <w:rPr>
          <w:rFonts w:ascii="SimSun" w:hAnsi="SimSun" w:eastAsia="SimSun" w:cs="SimSun"/>
          <w:sz w:val="21"/>
          <w:szCs w:val="21"/>
          <w:spacing w:val="-3"/>
        </w:rPr>
        <w:t>家银行开立</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3"/>
        </w:rPr>
        <w:t>27</w:t>
      </w:r>
      <w:r>
        <w:rPr>
          <w:rFonts w:ascii="Times New Roman" w:hAnsi="Times New Roman" w:eastAsia="Times New Roman" w:cs="Times New Roman"/>
          <w:sz w:val="21"/>
          <w:szCs w:val="21"/>
          <w:spacing w:val="13"/>
          <w:w w:val="101"/>
        </w:rPr>
        <w:t xml:space="preserve"> </w:t>
      </w:r>
      <w:r>
        <w:rPr>
          <w:rFonts w:ascii="SimSun" w:hAnsi="SimSun" w:eastAsia="SimSun" w:cs="SimSun"/>
          <w:sz w:val="21"/>
          <w:szCs w:val="21"/>
          <w:spacing w:val="-3"/>
        </w:rPr>
        <w:t>个</w:t>
      </w:r>
      <w:r>
        <w:rPr>
          <w:rFonts w:ascii="SimSun" w:hAnsi="SimSun" w:eastAsia="SimSun" w:cs="SimSun"/>
          <w:sz w:val="21"/>
          <w:szCs w:val="21"/>
        </w:rPr>
        <w:t xml:space="preserve"> </w:t>
      </w:r>
      <w:r>
        <w:rPr>
          <w:rFonts w:ascii="SimSun" w:hAnsi="SimSun" w:eastAsia="SimSun" w:cs="SimSun"/>
          <w:sz w:val="21"/>
          <w:szCs w:val="21"/>
          <w:spacing w:val="-2"/>
        </w:rPr>
        <w:t>币种共</w:t>
      </w:r>
      <w:r>
        <w:rPr>
          <w:rFonts w:ascii="SimSun" w:hAnsi="SimSun" w:eastAsia="SimSun" w:cs="SimSun"/>
          <w:sz w:val="21"/>
          <w:szCs w:val="21"/>
          <w:spacing w:val="-32"/>
        </w:rPr>
        <w:t xml:space="preserve"> </w:t>
      </w:r>
      <w:r>
        <w:rPr>
          <w:rFonts w:ascii="Times New Roman" w:hAnsi="Times New Roman" w:eastAsia="Times New Roman" w:cs="Times New Roman"/>
          <w:sz w:val="21"/>
          <w:szCs w:val="21"/>
          <w:spacing w:val="-2"/>
        </w:rPr>
        <w:t>82 </w:t>
      </w:r>
      <w:r>
        <w:rPr>
          <w:rFonts w:ascii="SimSun" w:hAnsi="SimSun" w:eastAsia="SimSun" w:cs="SimSun"/>
          <w:sz w:val="21"/>
          <w:szCs w:val="21"/>
          <w:spacing w:val="-2"/>
        </w:rPr>
        <w:t>个外币清算账户。</w:t>
      </w:r>
    </w:p>
    <w:p>
      <w:pPr>
        <w:ind w:left="490"/>
        <w:spacing w:before="307"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4.</w:t>
      </w:r>
      <w:r>
        <w:rPr>
          <w:rFonts w:ascii="SimSun" w:hAnsi="SimSun" w:eastAsia="SimSun" w:cs="SimSun"/>
          <w:sz w:val="21"/>
          <w:szCs w:val="21"/>
          <w:b/>
          <w:bCs/>
          <w:spacing w:val="-2"/>
        </w:rPr>
        <w:t>跨境人民币业务</w:t>
      </w:r>
    </w:p>
    <w:p>
      <w:pPr>
        <w:pStyle w:val="BodyText"/>
        <w:spacing w:line="241" w:lineRule="auto"/>
        <w:rPr/>
      </w:pPr>
      <w:r/>
    </w:p>
    <w:p>
      <w:pPr>
        <w:ind w:left="74" w:right="58" w:firstLine="419"/>
        <w:spacing w:before="69" w:line="282" w:lineRule="auto"/>
        <w:jc w:val="both"/>
        <w:rPr>
          <w:rFonts w:ascii="SimSun" w:hAnsi="SimSun" w:eastAsia="SimSun" w:cs="SimSun"/>
          <w:sz w:val="21"/>
          <w:szCs w:val="21"/>
        </w:rPr>
      </w:pPr>
      <w:r>
        <w:rPr>
          <w:rFonts w:ascii="SimSun" w:hAnsi="SimSun" w:eastAsia="SimSun" w:cs="SimSun"/>
          <w:sz w:val="21"/>
          <w:szCs w:val="21"/>
          <w:spacing w:val="-2"/>
        </w:rPr>
        <w:t>持续推进人民币跨境支付场景建设,</w:t>
      </w:r>
      <w:r>
        <w:rPr>
          <w:rFonts w:ascii="SimSun" w:hAnsi="SimSun" w:eastAsia="SimSun" w:cs="SimSun"/>
          <w:sz w:val="21"/>
          <w:szCs w:val="21"/>
          <w:spacing w:val="31"/>
        </w:rPr>
        <w:t xml:space="preserve"> </w:t>
      </w:r>
      <w:r>
        <w:rPr>
          <w:rFonts w:ascii="SimSun" w:hAnsi="SimSun" w:eastAsia="SimSun" w:cs="SimSun"/>
          <w:sz w:val="21"/>
          <w:szCs w:val="21"/>
          <w:spacing w:val="-2"/>
        </w:rPr>
        <w:t>加强与跨境结算、跨境投融资等产品的组合运用。报告期末,</w:t>
      </w:r>
      <w:r>
        <w:rPr>
          <w:rFonts w:ascii="SimSun" w:hAnsi="SimSun" w:eastAsia="SimSun" w:cs="SimSun"/>
          <w:sz w:val="21"/>
          <w:szCs w:val="21"/>
          <w:spacing w:val="27"/>
        </w:rPr>
        <w:t xml:space="preserve"> </w:t>
      </w:r>
      <w:r>
        <w:rPr>
          <w:rFonts w:ascii="SimSun" w:hAnsi="SimSun" w:eastAsia="SimSun" w:cs="SimSun"/>
          <w:sz w:val="21"/>
          <w:szCs w:val="21"/>
          <w:spacing w:val="-2"/>
        </w:rPr>
        <w:t>本</w:t>
      </w:r>
      <w:r>
        <w:rPr>
          <w:rFonts w:ascii="SimSun" w:hAnsi="SimSun" w:eastAsia="SimSun" w:cs="SimSun"/>
          <w:sz w:val="21"/>
          <w:szCs w:val="21"/>
        </w:rPr>
        <w:t xml:space="preserve"> </w:t>
      </w:r>
      <w:r>
        <w:rPr>
          <w:rFonts w:ascii="SimSun" w:hAnsi="SimSun" w:eastAsia="SimSun" w:cs="SimSun"/>
          <w:sz w:val="21"/>
          <w:szCs w:val="21"/>
        </w:rPr>
        <w:t>行上线人民币跨境支付系统标准收发器企业</w:t>
      </w:r>
      <w:r>
        <w:rPr>
          <w:rFonts w:ascii="SimSun" w:hAnsi="SimSun" w:eastAsia="SimSun" w:cs="SimSun"/>
          <w:sz w:val="21"/>
          <w:szCs w:val="21"/>
          <w:spacing w:val="-1"/>
        </w:rPr>
        <w:t>客户数居市场前列。持续扩大人民币跨境使用, 推动跨境人民</w:t>
      </w:r>
      <w:r>
        <w:rPr>
          <w:rFonts w:ascii="SimSun" w:hAnsi="SimSun" w:eastAsia="SimSun" w:cs="SimSun"/>
          <w:sz w:val="21"/>
          <w:szCs w:val="21"/>
        </w:rPr>
        <w:t xml:space="preserve"> </w:t>
      </w:r>
      <w:r>
        <w:rPr>
          <w:rFonts w:ascii="SimSun" w:hAnsi="SimSun" w:eastAsia="SimSun" w:cs="SimSun"/>
          <w:sz w:val="21"/>
          <w:szCs w:val="21"/>
        </w:rPr>
        <w:t>币结算规模稳步增长。报告期末,境内银行机构跨境人民币结算量</w:t>
      </w:r>
      <w:r>
        <w:rPr>
          <w:rFonts w:ascii="SimSun" w:hAnsi="SimSun" w:eastAsia="SimSun" w:cs="SimSun"/>
          <w:sz w:val="21"/>
          <w:szCs w:val="21"/>
          <w:spacing w:val="-9"/>
        </w:rPr>
        <w:t xml:space="preserve"> </w:t>
      </w:r>
      <w:r>
        <w:rPr>
          <w:rFonts w:ascii="Times New Roman" w:hAnsi="Times New Roman" w:eastAsia="Times New Roman" w:cs="Times New Roman"/>
          <w:sz w:val="21"/>
          <w:szCs w:val="21"/>
        </w:rPr>
        <w:t>15,374.48 </w:t>
      </w:r>
      <w:r>
        <w:rPr>
          <w:rFonts w:ascii="SimSun" w:hAnsi="SimSun" w:eastAsia="SimSun" w:cs="SimSun"/>
          <w:sz w:val="21"/>
          <w:szCs w:val="21"/>
        </w:rPr>
        <w:t>亿元,</w:t>
      </w:r>
      <w:r>
        <w:rPr>
          <w:rFonts w:ascii="SimSun" w:hAnsi="SimSun" w:eastAsia="SimSun" w:cs="SimSun"/>
          <w:sz w:val="21"/>
          <w:szCs w:val="21"/>
          <w:spacing w:val="50"/>
        </w:rPr>
        <w:t xml:space="preserve"> </w:t>
      </w:r>
      <w:r>
        <w:rPr>
          <w:rFonts w:ascii="SimSun" w:hAnsi="SimSun" w:eastAsia="SimSun" w:cs="SimSun"/>
          <w:sz w:val="21"/>
          <w:szCs w:val="21"/>
        </w:rPr>
        <w:t>同比增长</w:t>
      </w:r>
      <w:r>
        <w:rPr>
          <w:rFonts w:ascii="SimSun" w:hAnsi="SimSun" w:eastAsia="SimSun" w:cs="SimSun"/>
          <w:sz w:val="21"/>
          <w:szCs w:val="21"/>
          <w:spacing w:val="-47"/>
        </w:rPr>
        <w:t xml:space="preserve"> </w:t>
      </w:r>
      <w:r>
        <w:rPr>
          <w:rFonts w:ascii="Times New Roman" w:hAnsi="Times New Roman" w:eastAsia="Times New Roman" w:cs="Times New Roman"/>
          <w:sz w:val="21"/>
          <w:szCs w:val="21"/>
        </w:rPr>
        <w:t>26.84%</w:t>
      </w:r>
      <w:r>
        <w:rPr>
          <w:rFonts w:ascii="SimSun" w:hAnsi="SimSun" w:eastAsia="SimSun" w:cs="SimSun"/>
          <w:sz w:val="21"/>
          <w:szCs w:val="21"/>
        </w:rPr>
        <w:t>。</w:t>
      </w:r>
    </w:p>
    <w:p>
      <w:pPr>
        <w:pStyle w:val="BodyText"/>
        <w:spacing w:line="247" w:lineRule="auto"/>
        <w:rPr/>
      </w:pPr>
      <w:r/>
    </w:p>
    <w:p>
      <w:pPr>
        <w:ind w:left="492"/>
        <w:spacing w:before="68"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3"/>
        </w:rPr>
        <w:t>5.</w:t>
      </w:r>
      <w:r>
        <w:rPr>
          <w:rFonts w:ascii="SimSun" w:hAnsi="SimSun" w:eastAsia="SimSun" w:cs="SimSun"/>
          <w:sz w:val="21"/>
          <w:szCs w:val="21"/>
          <w:b/>
          <w:bCs/>
          <w:spacing w:val="-3"/>
        </w:rPr>
        <w:t>离岸业务</w:t>
      </w:r>
    </w:p>
    <w:p>
      <w:pPr>
        <w:ind w:left="71" w:right="57" w:firstLine="419"/>
        <w:spacing w:before="309" w:line="267" w:lineRule="auto"/>
        <w:rPr>
          <w:rFonts w:ascii="SimSun" w:hAnsi="SimSun" w:eastAsia="SimSun" w:cs="SimSun"/>
          <w:sz w:val="21"/>
          <w:szCs w:val="21"/>
        </w:rPr>
      </w:pPr>
      <w:r>
        <w:rPr>
          <w:rFonts w:ascii="SimSun" w:hAnsi="SimSun" w:eastAsia="SimSun" w:cs="SimSun"/>
          <w:sz w:val="21"/>
          <w:szCs w:val="21"/>
        </w:rPr>
        <w:t>深化离在岸业务一体化发展和非居民账户一体</w:t>
      </w:r>
      <w:r>
        <w:rPr>
          <w:rFonts w:ascii="SimSun" w:hAnsi="SimSun" w:eastAsia="SimSun" w:cs="SimSun"/>
          <w:sz w:val="21"/>
          <w:szCs w:val="21"/>
          <w:spacing w:val="-1"/>
        </w:rPr>
        <w:t>化经营, 充分挖掘长三角一体化、上海自由贸易区临港</w:t>
      </w:r>
      <w:r>
        <w:rPr>
          <w:rFonts w:ascii="SimSun" w:hAnsi="SimSun" w:eastAsia="SimSun" w:cs="SimSun"/>
          <w:sz w:val="21"/>
          <w:szCs w:val="21"/>
        </w:rPr>
        <w:t xml:space="preserve"> </w:t>
      </w:r>
      <w:r>
        <w:rPr>
          <w:rFonts w:ascii="SimSun" w:hAnsi="SimSun" w:eastAsia="SimSun" w:cs="SimSun"/>
          <w:sz w:val="21"/>
          <w:szCs w:val="21"/>
          <w:spacing w:val="-3"/>
        </w:rPr>
        <w:t>新片区等业务潜力。报告期末, 离岸业务资产余</w:t>
      </w:r>
      <w:r>
        <w:rPr>
          <w:rFonts w:ascii="SimSun" w:hAnsi="SimSun" w:eastAsia="SimSun" w:cs="SimSun"/>
          <w:sz w:val="21"/>
          <w:szCs w:val="21"/>
          <w:spacing w:val="-4"/>
        </w:rPr>
        <w:t>额</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4"/>
        </w:rPr>
        <w:t>169.36 </w:t>
      </w:r>
      <w:r>
        <w:rPr>
          <w:rFonts w:ascii="SimSun" w:hAnsi="SimSun" w:eastAsia="SimSun" w:cs="SimSun"/>
          <w:sz w:val="21"/>
          <w:szCs w:val="21"/>
          <w:spacing w:val="-4"/>
        </w:rPr>
        <w:t>亿美元, 较上年末增加</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4"/>
        </w:rPr>
        <w:t>10 </w:t>
      </w:r>
      <w:r>
        <w:rPr>
          <w:rFonts w:ascii="SimSun" w:hAnsi="SimSun" w:eastAsia="SimSun" w:cs="SimSun"/>
          <w:sz w:val="21"/>
          <w:szCs w:val="21"/>
          <w:spacing w:val="-4"/>
        </w:rPr>
        <w:t>亿美元, 增幅</w:t>
      </w:r>
      <w:r>
        <w:rPr>
          <w:rFonts w:ascii="SimSun" w:hAnsi="SimSun" w:eastAsia="SimSun" w:cs="SimSun"/>
          <w:sz w:val="21"/>
          <w:szCs w:val="21"/>
          <w:spacing w:val="-45"/>
        </w:rPr>
        <w:t xml:space="preserve"> </w:t>
      </w:r>
      <w:r>
        <w:rPr>
          <w:rFonts w:ascii="Times New Roman" w:hAnsi="Times New Roman" w:eastAsia="Times New Roman" w:cs="Times New Roman"/>
          <w:sz w:val="21"/>
          <w:szCs w:val="21"/>
          <w:spacing w:val="-4"/>
        </w:rPr>
        <w:t>6.27%</w:t>
      </w:r>
      <w:r>
        <w:rPr>
          <w:rFonts w:ascii="SimSun" w:hAnsi="SimSun" w:eastAsia="SimSun" w:cs="SimSun"/>
          <w:sz w:val="21"/>
          <w:szCs w:val="21"/>
          <w:spacing w:val="-4"/>
        </w:rPr>
        <w:t>。</w:t>
      </w:r>
    </w:p>
    <w:p>
      <w:pPr>
        <w:spacing w:line="206" w:lineRule="exact"/>
        <w:rPr/>
      </w:pPr>
      <w:r/>
    </w:p>
    <w:tbl>
      <w:tblPr>
        <w:tblStyle w:val="TableNormal"/>
        <w:tblW w:w="976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760"/>
      </w:tblGrid>
      <w:tr>
        <w:trPr>
          <w:trHeight w:val="551" w:hRule="atLeast"/>
        </w:trPr>
        <w:tc>
          <w:tcPr>
            <w:shd w:val="clear" w:fill="DBE5F1"/>
            <w:tcW w:w="9760" w:type="dxa"/>
            <w:vAlign w:val="top"/>
          </w:tcPr>
          <w:p>
            <w:pPr>
              <w:pStyle w:val="TableText"/>
              <w:ind w:left="4011"/>
              <w:spacing w:before="104" w:line="222" w:lineRule="auto"/>
              <w:rPr/>
            </w:pPr>
            <w:r>
              <w:rPr>
                <w:b/>
                <w:bCs/>
                <w:spacing w:val="-3"/>
              </w:rPr>
              <w:t>交行</w:t>
            </w:r>
            <w:r>
              <w:rPr>
                <w:rFonts w:ascii="Times New Roman" w:hAnsi="Times New Roman" w:eastAsia="Times New Roman" w:cs="Times New Roman"/>
                <w:b/>
                <w:bCs/>
                <w:spacing w:val="-3"/>
              </w:rPr>
              <w:t>-</w:t>
            </w:r>
            <w:r>
              <w:rPr>
                <w:b/>
                <w:bCs/>
                <w:spacing w:val="-3"/>
              </w:rPr>
              <w:t>汇丰战略合作</w:t>
            </w:r>
          </w:p>
        </w:tc>
      </w:tr>
      <w:tr>
        <w:trPr>
          <w:trHeight w:val="5041" w:hRule="atLeast"/>
        </w:trPr>
        <w:tc>
          <w:tcPr>
            <w:tcW w:w="9760" w:type="dxa"/>
            <w:vAlign w:val="top"/>
          </w:tcPr>
          <w:p>
            <w:pPr>
              <w:pStyle w:val="TableText"/>
              <w:ind w:left="423"/>
              <w:spacing w:before="191" w:line="217" w:lineRule="auto"/>
              <w:rPr>
                <w:sz w:val="18"/>
                <w:szCs w:val="18"/>
              </w:rPr>
            </w:pPr>
            <w:r>
              <w:rPr>
                <w:sz w:val="18"/>
                <w:szCs w:val="18"/>
                <w:spacing w:val="4"/>
              </w:rPr>
              <w:t>报告期内,本行与汇丰在双方战略合作机制</w:t>
            </w:r>
            <w:r>
              <w:rPr>
                <w:sz w:val="18"/>
                <w:szCs w:val="18"/>
                <w:spacing w:val="3"/>
              </w:rPr>
              <w:t>框架下全力推进各领域合作,巩固互利双赢合作局面。</w:t>
            </w:r>
          </w:p>
          <w:p>
            <w:pPr>
              <w:spacing w:line="261" w:lineRule="auto"/>
              <w:rPr>
                <w:rFonts w:ascii="Arial"/>
                <w:sz w:val="21"/>
              </w:rPr>
            </w:pPr>
            <w:r/>
          </w:p>
          <w:p>
            <w:pPr>
              <w:pStyle w:val="TableText"/>
              <w:ind w:left="65" w:right="54" w:firstLine="359"/>
              <w:spacing w:before="58" w:line="307" w:lineRule="auto"/>
              <w:rPr>
                <w:sz w:val="18"/>
                <w:szCs w:val="18"/>
              </w:rPr>
            </w:pPr>
            <w:r>
              <w:rPr>
                <w:sz w:val="18"/>
                <w:szCs w:val="18"/>
                <w:spacing w:val="2"/>
              </w:rPr>
              <w:t>沟通机制保持顺畅。双方通过线上渠道召开董事长</w:t>
            </w:r>
            <w:r>
              <w:rPr>
                <w:rFonts w:ascii="Times New Roman" w:hAnsi="Times New Roman" w:eastAsia="Times New Roman" w:cs="Times New Roman"/>
                <w:sz w:val="18"/>
                <w:szCs w:val="18"/>
                <w:spacing w:val="2"/>
              </w:rPr>
              <w:t>/</w:t>
            </w:r>
            <w:r>
              <w:rPr>
                <w:sz w:val="18"/>
                <w:szCs w:val="18"/>
                <w:spacing w:val="2"/>
              </w:rPr>
              <w:t>集团主席层面的最</w:t>
            </w:r>
            <w:r>
              <w:rPr>
                <w:sz w:val="18"/>
                <w:szCs w:val="18"/>
                <w:spacing w:val="1"/>
              </w:rPr>
              <w:t>高层会晤,建立和推进行长</w:t>
            </w:r>
            <w:r>
              <w:rPr>
                <w:rFonts w:ascii="Times New Roman" w:hAnsi="Times New Roman" w:eastAsia="Times New Roman" w:cs="Times New Roman"/>
                <w:sz w:val="18"/>
                <w:szCs w:val="18"/>
                <w:spacing w:val="1"/>
              </w:rPr>
              <w:t>/</w:t>
            </w:r>
            <w:r>
              <w:rPr>
                <w:sz w:val="18"/>
                <w:szCs w:val="18"/>
                <w:spacing w:val="1"/>
              </w:rPr>
              <w:t>集团行政总裁对话机</w:t>
            </w:r>
            <w:r>
              <w:rPr>
                <w:sz w:val="18"/>
                <w:szCs w:val="18"/>
              </w:rPr>
              <w:t xml:space="preserve"> </w:t>
            </w:r>
            <w:r>
              <w:rPr>
                <w:sz w:val="18"/>
                <w:szCs w:val="18"/>
                <w:spacing w:val="6"/>
              </w:rPr>
              <w:t>制,及时沟通经营发展重要事项,谋定合作方</w:t>
            </w:r>
            <w:r>
              <w:rPr>
                <w:sz w:val="18"/>
                <w:szCs w:val="18"/>
                <w:spacing w:val="5"/>
              </w:rPr>
              <w:t>向与路径。</w:t>
            </w:r>
          </w:p>
          <w:p>
            <w:pPr>
              <w:spacing w:line="287" w:lineRule="auto"/>
              <w:rPr>
                <w:rFonts w:ascii="Arial"/>
                <w:sz w:val="21"/>
              </w:rPr>
            </w:pPr>
            <w:r/>
          </w:p>
          <w:p>
            <w:pPr>
              <w:pStyle w:val="TableText"/>
              <w:ind w:left="67" w:right="59" w:firstLine="358"/>
              <w:spacing w:before="58" w:line="369" w:lineRule="auto"/>
              <w:jc w:val="both"/>
              <w:rPr>
                <w:sz w:val="18"/>
                <w:szCs w:val="18"/>
              </w:rPr>
            </w:pPr>
            <w:r>
              <w:rPr>
                <w:sz w:val="18"/>
                <w:szCs w:val="18"/>
                <w:spacing w:val="-1"/>
              </w:rPr>
              <w:t>合作规模持续扩大。双方团队依据市场化原则稳步推进</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spacing w:val="-16"/>
              </w:rPr>
              <w:t xml:space="preserve"> </w:t>
            </w:r>
            <w:r>
              <w:rPr>
                <w:rFonts w:ascii="Times New Roman" w:hAnsi="Times New Roman" w:eastAsia="Times New Roman" w:cs="Times New Roman"/>
                <w:sz w:val="18"/>
                <w:szCs w:val="18"/>
                <w:spacing w:val="-1"/>
              </w:rPr>
              <w:t>1+1 </w:t>
            </w:r>
            <w:r>
              <w:rPr>
                <w:sz w:val="18"/>
                <w:szCs w:val="18"/>
                <w:spacing w:val="-1"/>
              </w:rPr>
              <w:t>全球金融服务</w:t>
            </w:r>
            <w:r>
              <w:rPr>
                <w:rFonts w:ascii="Times New Roman" w:hAnsi="Times New Roman" w:eastAsia="Times New Roman" w:cs="Times New Roman"/>
                <w:sz w:val="18"/>
                <w:szCs w:val="18"/>
                <w:spacing w:val="-1"/>
              </w:rPr>
              <w:t>"</w:t>
            </w:r>
            <w:r>
              <w:rPr>
                <w:sz w:val="18"/>
                <w:szCs w:val="18"/>
                <w:spacing w:val="-1"/>
              </w:rPr>
              <w:t>统一框架下各业务领域合作。携手服务中国</w:t>
            </w:r>
            <w:r>
              <w:rPr>
                <w:sz w:val="18"/>
                <w:szCs w:val="18"/>
              </w:rPr>
              <w:t xml:space="preserve"> </w:t>
            </w:r>
            <w:r>
              <w:rPr>
                <w:sz w:val="18"/>
                <w:szCs w:val="18"/>
                <w:spacing w:val="-5"/>
              </w:rPr>
              <w:t>企业</w:t>
            </w:r>
            <w:r>
              <w:rPr>
                <w:rFonts w:ascii="Times New Roman" w:hAnsi="Times New Roman" w:eastAsia="Times New Roman" w:cs="Times New Roman"/>
                <w:sz w:val="18"/>
                <w:szCs w:val="18"/>
                <w:spacing w:val="-5"/>
              </w:rPr>
              <w:t>"</w:t>
            </w:r>
            <w:r>
              <w:rPr>
                <w:sz w:val="18"/>
                <w:szCs w:val="18"/>
                <w:spacing w:val="-5"/>
              </w:rPr>
              <w:t>走出去</w:t>
            </w:r>
            <w:r>
              <w:rPr>
                <w:rFonts w:ascii="Times New Roman" w:hAnsi="Times New Roman" w:eastAsia="Times New Roman" w:cs="Times New Roman"/>
                <w:sz w:val="18"/>
                <w:szCs w:val="18"/>
                <w:spacing w:val="-5"/>
              </w:rPr>
              <w:t>"</w:t>
            </w:r>
            <w:r>
              <w:rPr>
                <w:rFonts w:ascii="Times New Roman" w:hAnsi="Times New Roman" w:eastAsia="Times New Roman" w:cs="Times New Roman"/>
                <w:sz w:val="18"/>
                <w:szCs w:val="18"/>
                <w:spacing w:val="-26"/>
              </w:rPr>
              <w:t xml:space="preserve"> </w:t>
            </w:r>
            <w:r>
              <w:rPr>
                <w:sz w:val="18"/>
                <w:szCs w:val="18"/>
                <w:spacing w:val="-5"/>
              </w:rPr>
              <w:t>,</w:t>
            </w:r>
            <w:r>
              <w:rPr>
                <w:sz w:val="18"/>
                <w:szCs w:val="18"/>
                <w:spacing w:val="25"/>
              </w:rPr>
              <w:t xml:space="preserve"> </w:t>
            </w:r>
            <w:r>
              <w:rPr>
                <w:sz w:val="18"/>
                <w:szCs w:val="18"/>
                <w:spacing w:val="-5"/>
              </w:rPr>
              <w:t>合作</w:t>
            </w:r>
            <w:r>
              <w:rPr>
                <w:sz w:val="18"/>
                <w:szCs w:val="18"/>
                <w:spacing w:val="-41"/>
              </w:rPr>
              <w:t xml:space="preserve"> </w:t>
            </w:r>
            <w:r>
              <w:rPr>
                <w:rFonts w:ascii="Times New Roman" w:hAnsi="Times New Roman" w:eastAsia="Times New Roman" w:cs="Times New Roman"/>
                <w:sz w:val="18"/>
                <w:szCs w:val="18"/>
                <w:spacing w:val="-5"/>
              </w:rPr>
              <w:t>2</w:t>
            </w:r>
            <w:r>
              <w:rPr>
                <w:rFonts w:ascii="Times New Roman" w:hAnsi="Times New Roman" w:eastAsia="Times New Roman" w:cs="Times New Roman"/>
                <w:sz w:val="18"/>
                <w:szCs w:val="18"/>
                <w:spacing w:val="12"/>
              </w:rPr>
              <w:t xml:space="preserve"> </w:t>
            </w:r>
            <w:r>
              <w:rPr>
                <w:sz w:val="18"/>
                <w:szCs w:val="18"/>
                <w:spacing w:val="-5"/>
              </w:rPr>
              <w:t>笔银团贷款;</w:t>
            </w:r>
            <w:r>
              <w:rPr>
                <w:sz w:val="18"/>
                <w:szCs w:val="18"/>
                <w:spacing w:val="25"/>
              </w:rPr>
              <w:t xml:space="preserve"> </w:t>
            </w:r>
            <w:r>
              <w:rPr>
                <w:sz w:val="18"/>
                <w:szCs w:val="18"/>
                <w:spacing w:val="-5"/>
              </w:rPr>
              <w:t>香港地区合作份额进一步提升,</w:t>
            </w:r>
            <w:r>
              <w:rPr>
                <w:sz w:val="18"/>
                <w:szCs w:val="18"/>
                <w:spacing w:val="24"/>
              </w:rPr>
              <w:t xml:space="preserve"> </w:t>
            </w:r>
            <w:r>
              <w:rPr>
                <w:sz w:val="18"/>
                <w:szCs w:val="18"/>
                <w:spacing w:val="-5"/>
              </w:rPr>
              <w:t>合</w:t>
            </w:r>
            <w:r>
              <w:rPr>
                <w:sz w:val="18"/>
                <w:szCs w:val="18"/>
                <w:spacing w:val="-6"/>
              </w:rPr>
              <w:t>作</w:t>
            </w:r>
            <w:r>
              <w:rPr>
                <w:sz w:val="18"/>
                <w:szCs w:val="18"/>
                <w:spacing w:val="-35"/>
              </w:rPr>
              <w:t xml:space="preserve"> </w:t>
            </w:r>
            <w:r>
              <w:rPr>
                <w:rFonts w:ascii="Times New Roman" w:hAnsi="Times New Roman" w:eastAsia="Times New Roman" w:cs="Times New Roman"/>
                <w:sz w:val="18"/>
                <w:szCs w:val="18"/>
                <w:spacing w:val="-6"/>
              </w:rPr>
              <w:t>57</w:t>
            </w:r>
            <w:r>
              <w:rPr>
                <w:rFonts w:ascii="Times New Roman" w:hAnsi="Times New Roman" w:eastAsia="Times New Roman" w:cs="Times New Roman"/>
                <w:sz w:val="18"/>
                <w:szCs w:val="18"/>
                <w:spacing w:val="12"/>
              </w:rPr>
              <w:t xml:space="preserve"> </w:t>
            </w:r>
            <w:r>
              <w:rPr>
                <w:sz w:val="18"/>
                <w:szCs w:val="18"/>
                <w:spacing w:val="-6"/>
              </w:rPr>
              <w:t>笔债券承销、</w:t>
            </w:r>
            <w:r>
              <w:rPr>
                <w:sz w:val="18"/>
                <w:szCs w:val="18"/>
                <w:spacing w:val="25"/>
              </w:rPr>
              <w:t xml:space="preserve"> </w:t>
            </w:r>
            <w:r>
              <w:rPr>
                <w:rFonts w:ascii="Times New Roman" w:hAnsi="Times New Roman" w:eastAsia="Times New Roman" w:cs="Times New Roman"/>
                <w:sz w:val="18"/>
                <w:szCs w:val="18"/>
                <w:spacing w:val="-6"/>
              </w:rPr>
              <w:t>20</w:t>
            </w:r>
            <w:r>
              <w:rPr>
                <w:rFonts w:ascii="Times New Roman" w:hAnsi="Times New Roman" w:eastAsia="Times New Roman" w:cs="Times New Roman"/>
                <w:sz w:val="18"/>
                <w:szCs w:val="18"/>
                <w:spacing w:val="12"/>
              </w:rPr>
              <w:t xml:space="preserve"> </w:t>
            </w:r>
            <w:r>
              <w:rPr>
                <w:sz w:val="18"/>
                <w:szCs w:val="18"/>
                <w:spacing w:val="-6"/>
              </w:rPr>
              <w:t>笔银团贷款;</w:t>
            </w:r>
            <w:r>
              <w:rPr>
                <w:sz w:val="18"/>
                <w:szCs w:val="18"/>
                <w:spacing w:val="30"/>
              </w:rPr>
              <w:t xml:space="preserve"> </w:t>
            </w:r>
            <w:r>
              <w:rPr>
                <w:sz w:val="18"/>
                <w:szCs w:val="18"/>
                <w:spacing w:val="-6"/>
              </w:rPr>
              <w:t>贸易融资、跨境</w:t>
            </w:r>
          </w:p>
          <w:p>
            <w:pPr>
              <w:pStyle w:val="TableText"/>
              <w:ind w:left="65"/>
              <w:spacing w:line="219" w:lineRule="auto"/>
              <w:rPr>
                <w:sz w:val="18"/>
                <w:szCs w:val="18"/>
              </w:rPr>
            </w:pPr>
            <w:r>
              <w:rPr>
                <w:sz w:val="18"/>
                <w:szCs w:val="18"/>
                <w:spacing w:val="4"/>
              </w:rPr>
              <w:t>人民币结算持续深化;投行及银行间债券交易</w:t>
            </w:r>
            <w:r>
              <w:rPr>
                <w:sz w:val="18"/>
                <w:szCs w:val="18"/>
                <w:spacing w:val="3"/>
              </w:rPr>
              <w:t>业务合作持续推进;基金代销合作规模稳中有升。</w:t>
            </w:r>
          </w:p>
          <w:p>
            <w:pPr>
              <w:spacing w:line="287" w:lineRule="auto"/>
              <w:rPr>
                <w:rFonts w:ascii="Arial"/>
                <w:sz w:val="21"/>
              </w:rPr>
            </w:pPr>
            <w:r/>
          </w:p>
          <w:p>
            <w:pPr>
              <w:pStyle w:val="TableText"/>
              <w:ind w:left="63" w:right="58" w:firstLine="362"/>
              <w:spacing w:before="60" w:line="369" w:lineRule="auto"/>
              <w:jc w:val="both"/>
              <w:rPr>
                <w:sz w:val="18"/>
                <w:szCs w:val="18"/>
              </w:rPr>
            </w:pPr>
            <w:r>
              <w:rPr>
                <w:sz w:val="18"/>
                <w:szCs w:val="18"/>
              </w:rPr>
              <w:t>经验分享继续推进。双方在</w:t>
            </w:r>
            <w:r>
              <w:rPr>
                <w:rFonts w:ascii="Times New Roman" w:hAnsi="Times New Roman" w:eastAsia="Times New Roman" w:cs="Times New Roman"/>
                <w:sz w:val="18"/>
                <w:szCs w:val="18"/>
              </w:rPr>
              <w:t>"</w:t>
            </w:r>
            <w:r>
              <w:rPr>
                <w:sz w:val="18"/>
                <w:szCs w:val="18"/>
              </w:rPr>
              <w:t>资源和经验共享(</w:t>
            </w:r>
            <w:r>
              <w:rPr>
                <w:rFonts w:ascii="Times New Roman" w:hAnsi="Times New Roman" w:eastAsia="Times New Roman" w:cs="Times New Roman"/>
                <w:sz w:val="18"/>
                <w:szCs w:val="18"/>
              </w:rPr>
              <w:t>RES</w:t>
            </w:r>
            <w:r>
              <w:rPr>
                <w:sz w:val="18"/>
                <w:szCs w:val="18"/>
              </w:rPr>
              <w:t>) </w:t>
            </w:r>
            <w:r>
              <w:rPr>
                <w:rFonts w:ascii="Times New Roman" w:hAnsi="Times New Roman" w:eastAsia="Times New Roman" w:cs="Times New Roman"/>
                <w:sz w:val="18"/>
                <w:szCs w:val="18"/>
              </w:rPr>
              <w:t>"</w:t>
            </w:r>
            <w:r>
              <w:rPr>
                <w:sz w:val="18"/>
                <w:szCs w:val="18"/>
              </w:rPr>
              <w:t>框架下,</w:t>
            </w:r>
            <w:r>
              <w:rPr>
                <w:sz w:val="18"/>
                <w:szCs w:val="18"/>
                <w:spacing w:val="38"/>
              </w:rPr>
              <w:t xml:space="preserve"> </w:t>
            </w:r>
            <w:r>
              <w:rPr>
                <w:sz w:val="18"/>
                <w:szCs w:val="18"/>
              </w:rPr>
              <w:t>聚焦转型发展、业务创新等议题,</w:t>
            </w:r>
            <w:r>
              <w:rPr>
                <w:sz w:val="18"/>
                <w:szCs w:val="18"/>
                <w:spacing w:val="24"/>
              </w:rPr>
              <w:t xml:space="preserve"> </w:t>
            </w:r>
            <w:r>
              <w:rPr>
                <w:sz w:val="18"/>
                <w:szCs w:val="18"/>
              </w:rPr>
              <w:t>持续开展双向培训和 </w:t>
            </w:r>
            <w:r>
              <w:rPr>
                <w:sz w:val="18"/>
                <w:szCs w:val="18"/>
                <w:spacing w:val="-1"/>
              </w:rPr>
              <w:t>业务经验交流。报告期内, 双方成功续签</w:t>
            </w:r>
            <w:r>
              <w:rPr>
                <w:sz w:val="18"/>
                <w:szCs w:val="18"/>
                <w:spacing w:val="-41"/>
              </w:rPr>
              <w:t xml:space="preserve"> </w:t>
            </w:r>
            <w:r>
              <w:rPr>
                <w:rFonts w:ascii="Times New Roman" w:hAnsi="Times New Roman" w:eastAsia="Times New Roman" w:cs="Times New Roman"/>
                <w:sz w:val="18"/>
                <w:szCs w:val="18"/>
                <w:spacing w:val="-1"/>
              </w:rPr>
              <w:t>RES </w:t>
            </w:r>
            <w:r>
              <w:rPr>
                <w:sz w:val="18"/>
                <w:szCs w:val="18"/>
                <w:spacing w:val="-1"/>
              </w:rPr>
              <w:t>新三年合作协议, 将围绕转</w:t>
            </w:r>
            <w:r>
              <w:rPr>
                <w:sz w:val="18"/>
                <w:szCs w:val="18"/>
                <w:spacing w:val="-2"/>
              </w:rPr>
              <w:t>型发展关键性议题加大资源分享和经验交流力度,</w:t>
            </w:r>
          </w:p>
          <w:p>
            <w:pPr>
              <w:pStyle w:val="TableText"/>
              <w:ind w:left="65"/>
              <w:spacing w:line="220" w:lineRule="auto"/>
              <w:rPr>
                <w:sz w:val="18"/>
                <w:szCs w:val="18"/>
              </w:rPr>
            </w:pPr>
            <w:r>
              <w:rPr>
                <w:sz w:val="18"/>
                <w:szCs w:val="18"/>
                <w:spacing w:val="-4"/>
              </w:rPr>
              <w:t>赋能高质量发展。</w:t>
            </w:r>
          </w:p>
          <w:p>
            <w:pPr>
              <w:spacing w:line="284" w:lineRule="auto"/>
              <w:rPr>
                <w:rFonts w:ascii="Arial"/>
                <w:sz w:val="21"/>
              </w:rPr>
            </w:pPr>
            <w:r/>
          </w:p>
          <w:p>
            <w:pPr>
              <w:pStyle w:val="TableText"/>
              <w:ind w:left="427"/>
              <w:spacing w:before="59" w:line="358" w:lineRule="exact"/>
              <w:rPr>
                <w:sz w:val="18"/>
                <w:szCs w:val="18"/>
              </w:rPr>
            </w:pPr>
            <w:r>
              <w:rPr>
                <w:sz w:val="18"/>
                <w:szCs w:val="18"/>
                <w:spacing w:val="6"/>
                <w:position w:val="13"/>
              </w:rPr>
              <w:t>未来,本行将与汇丰一道,积极探索双方战略契合点,聚焦共同服务国家战略、绿色金融等重点领域,深挖合作潜力,</w:t>
            </w:r>
          </w:p>
          <w:p>
            <w:pPr>
              <w:pStyle w:val="TableText"/>
              <w:ind w:left="84"/>
              <w:spacing w:line="218" w:lineRule="auto"/>
              <w:rPr>
                <w:sz w:val="18"/>
                <w:szCs w:val="18"/>
              </w:rPr>
            </w:pPr>
            <w:r>
              <w:rPr>
                <w:sz w:val="18"/>
                <w:szCs w:val="18"/>
                <w:spacing w:val="-5"/>
              </w:rPr>
              <w:t>以务实合作创造更多价值。</w:t>
            </w:r>
          </w:p>
        </w:tc>
      </w:tr>
    </w:tbl>
    <w:p>
      <w:pPr>
        <w:pStyle w:val="BodyText"/>
        <w:spacing w:line="111" w:lineRule="exact"/>
        <w:rPr>
          <w:sz w:val="9"/>
        </w:rPr>
      </w:pPr>
      <w:r/>
    </w:p>
    <w:p>
      <w:pPr>
        <w:spacing w:line="111" w:lineRule="exact"/>
        <w:sectPr>
          <w:footerReference w:type="default" r:id="rId44"/>
          <w:pgSz w:w="11907" w:h="16839"/>
          <w:pgMar w:top="1194" w:right="1070" w:bottom="1374" w:left="1070" w:header="0" w:footer="1211" w:gutter="0"/>
        </w:sectPr>
        <w:rPr>
          <w:sz w:val="9"/>
          <w:szCs w:val="9"/>
        </w:rPr>
      </w:pPr>
    </w:p>
    <w:p>
      <w:pPr>
        <w:ind w:left="535"/>
        <w:spacing w:before="42" w:line="221" w:lineRule="auto"/>
        <w:rPr>
          <w:rFonts w:ascii="SimSun" w:hAnsi="SimSun" w:eastAsia="SimSun" w:cs="SimSun"/>
          <w:sz w:val="21"/>
          <w:szCs w:val="21"/>
        </w:rPr>
      </w:pPr>
      <w:r>
        <w:rPr>
          <w:rFonts w:ascii="SimSun" w:hAnsi="SimSun" w:eastAsia="SimSun" w:cs="SimSun"/>
          <w:sz w:val="21"/>
          <w:szCs w:val="21"/>
          <w:b/>
          <w:bCs/>
          <w:spacing w:val="11"/>
        </w:rPr>
        <w:t>(七)渠道建设</w:t>
      </w:r>
    </w:p>
    <w:p>
      <w:pPr>
        <w:pStyle w:val="BodyText"/>
        <w:rPr/>
      </w:pPr>
      <w:r/>
    </w:p>
    <w:p>
      <w:pPr>
        <w:ind w:left="429"/>
        <w:spacing w:before="68"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3"/>
        </w:rPr>
        <w:t>1.</w:t>
      </w:r>
      <w:r>
        <w:rPr>
          <w:rFonts w:ascii="SimSun" w:hAnsi="SimSun" w:eastAsia="SimSun" w:cs="SimSun"/>
          <w:sz w:val="21"/>
          <w:szCs w:val="21"/>
          <w:b/>
          <w:bCs/>
          <w:spacing w:val="-3"/>
        </w:rPr>
        <w:t>企业网银及企业手机银行</w:t>
      </w:r>
    </w:p>
    <w:p>
      <w:pPr>
        <w:ind w:right="70" w:firstLine="444"/>
        <w:spacing w:before="307" w:line="284" w:lineRule="auto"/>
        <w:rPr>
          <w:rFonts w:ascii="SimSun" w:hAnsi="SimSun" w:eastAsia="SimSun" w:cs="SimSun"/>
          <w:sz w:val="21"/>
          <w:szCs w:val="21"/>
        </w:rPr>
      </w:pPr>
      <w:r>
        <w:rPr>
          <w:rFonts w:ascii="SimSun" w:hAnsi="SimSun" w:eastAsia="SimSun" w:cs="SimSun"/>
          <w:sz w:val="21"/>
          <w:szCs w:val="21"/>
          <w:spacing w:val="-2"/>
        </w:rPr>
        <w:t>以客户为中心,</w:t>
      </w:r>
      <w:r>
        <w:rPr>
          <w:rFonts w:ascii="SimSun" w:hAnsi="SimSun" w:eastAsia="SimSun" w:cs="SimSun"/>
          <w:sz w:val="21"/>
          <w:szCs w:val="21"/>
          <w:spacing w:val="35"/>
        </w:rPr>
        <w:t xml:space="preserve"> </w:t>
      </w:r>
      <w:r>
        <w:rPr>
          <w:rFonts w:ascii="SimSun" w:hAnsi="SimSun" w:eastAsia="SimSun" w:cs="SimSun"/>
          <w:sz w:val="21"/>
          <w:szCs w:val="21"/>
          <w:spacing w:val="-2"/>
        </w:rPr>
        <w:t>聚焦线上安全、体验、效率,</w:t>
      </w:r>
      <w:r>
        <w:rPr>
          <w:rFonts w:ascii="SimSun" w:hAnsi="SimSun" w:eastAsia="SimSun" w:cs="SimSun"/>
          <w:sz w:val="21"/>
          <w:szCs w:val="21"/>
          <w:spacing w:val="27"/>
        </w:rPr>
        <w:t xml:space="preserve"> </w:t>
      </w:r>
      <w:r>
        <w:rPr>
          <w:rFonts w:ascii="SimSun" w:hAnsi="SimSun" w:eastAsia="SimSun" w:cs="SimSun"/>
          <w:sz w:val="21"/>
          <w:szCs w:val="21"/>
          <w:spacing w:val="-2"/>
        </w:rPr>
        <w:t>打</w:t>
      </w:r>
      <w:r>
        <w:rPr>
          <w:rFonts w:ascii="SimSun" w:hAnsi="SimSun" w:eastAsia="SimSun" w:cs="SimSun"/>
          <w:sz w:val="21"/>
          <w:szCs w:val="21"/>
          <w:spacing w:val="-3"/>
        </w:rPr>
        <w:t>造全新版本的企业网银以及企业手机银行并逐步推广</w:t>
      </w:r>
      <w:r>
        <w:rPr>
          <w:rFonts w:ascii="SimSun" w:hAnsi="SimSun" w:eastAsia="SimSun" w:cs="SimSun"/>
          <w:sz w:val="21"/>
          <w:szCs w:val="21"/>
        </w:rPr>
        <w:t xml:space="preserve"> </w:t>
      </w:r>
      <w:r>
        <w:rPr>
          <w:rFonts w:ascii="SimSun" w:hAnsi="SimSun" w:eastAsia="SimSun" w:cs="SimSun"/>
          <w:sz w:val="21"/>
          <w:szCs w:val="21"/>
          <w:spacing w:val="-3"/>
        </w:rPr>
        <w:t>应用。报告期末,</w:t>
      </w:r>
      <w:r>
        <w:rPr>
          <w:rFonts w:ascii="SimSun" w:hAnsi="SimSun" w:eastAsia="SimSun" w:cs="SimSun"/>
          <w:sz w:val="21"/>
          <w:szCs w:val="21"/>
          <w:spacing w:val="-37"/>
        </w:rPr>
        <w:t xml:space="preserve"> </w:t>
      </w:r>
      <w:r>
        <w:rPr>
          <w:rFonts w:ascii="SimSun" w:hAnsi="SimSun" w:eastAsia="SimSun" w:cs="SimSun"/>
          <w:sz w:val="21"/>
          <w:szCs w:val="21"/>
          <w:spacing w:val="-3"/>
        </w:rPr>
        <w:t>企业网银(银企直联)签约客户数较上年末增长</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3"/>
        </w:rPr>
        <w:t>12.82%</w:t>
      </w:r>
      <w:r>
        <w:rPr>
          <w:rFonts w:ascii="SimSun" w:hAnsi="SimSun" w:eastAsia="SimSun" w:cs="SimSun"/>
          <w:sz w:val="21"/>
          <w:szCs w:val="21"/>
          <w:spacing w:val="-3"/>
        </w:rPr>
        <w:t>,</w:t>
      </w:r>
      <w:r>
        <w:rPr>
          <w:rFonts w:ascii="SimSun" w:hAnsi="SimSun" w:eastAsia="SimSun" w:cs="SimSun"/>
          <w:sz w:val="21"/>
          <w:szCs w:val="21"/>
          <w:spacing w:val="-44"/>
        </w:rPr>
        <w:t xml:space="preserve"> </w:t>
      </w:r>
      <w:r>
        <w:rPr>
          <w:rFonts w:ascii="SimSun" w:hAnsi="SimSun" w:eastAsia="SimSun" w:cs="SimSun"/>
          <w:sz w:val="21"/>
          <w:szCs w:val="21"/>
          <w:spacing w:val="-3"/>
        </w:rPr>
        <w:t>年累计交易额同比增长</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3"/>
        </w:rPr>
        <w:t>13.96%</w:t>
      </w:r>
      <w:r>
        <w:rPr>
          <w:rFonts w:ascii="SimSun" w:hAnsi="SimSun" w:eastAsia="SimSun" w:cs="SimSun"/>
          <w:sz w:val="21"/>
          <w:szCs w:val="21"/>
          <w:spacing w:val="-3"/>
        </w:rPr>
        <w:t>;</w:t>
      </w:r>
      <w:r>
        <w:rPr>
          <w:rFonts w:ascii="SimSun" w:hAnsi="SimSun" w:eastAsia="SimSun" w:cs="SimSun"/>
          <w:sz w:val="21"/>
          <w:szCs w:val="21"/>
        </w:rPr>
        <w:t xml:space="preserve">  </w:t>
      </w:r>
      <w:r>
        <w:rPr>
          <w:rFonts w:ascii="SimSun" w:hAnsi="SimSun" w:eastAsia="SimSun" w:cs="SimSun"/>
          <w:sz w:val="21"/>
          <w:szCs w:val="21"/>
          <w:spacing w:val="2"/>
        </w:rPr>
        <w:t>企业手机银行签约客户数较上年末增长</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2"/>
        </w:rPr>
        <w:t>19.15%</w:t>
      </w:r>
      <w:r>
        <w:rPr>
          <w:rFonts w:ascii="SimSun" w:hAnsi="SimSun" w:eastAsia="SimSun" w:cs="SimSun"/>
          <w:sz w:val="21"/>
          <w:szCs w:val="21"/>
          <w:spacing w:val="2"/>
        </w:rPr>
        <w:t>,</w:t>
      </w:r>
      <w:r>
        <w:rPr>
          <w:rFonts w:ascii="SimSun" w:hAnsi="SimSun" w:eastAsia="SimSun" w:cs="SimSun"/>
          <w:sz w:val="21"/>
          <w:szCs w:val="21"/>
          <w:spacing w:val="1"/>
        </w:rPr>
        <w:t>年累计交易额同比增长</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1"/>
        </w:rPr>
        <w:t>31.03%</w:t>
      </w:r>
      <w:r>
        <w:rPr>
          <w:rFonts w:ascii="SimSun" w:hAnsi="SimSun" w:eastAsia="SimSun" w:cs="SimSun"/>
          <w:sz w:val="21"/>
          <w:szCs w:val="21"/>
          <w:spacing w:val="1"/>
        </w:rPr>
        <w:t>。</w:t>
      </w:r>
    </w:p>
    <w:p>
      <w:pPr>
        <w:pStyle w:val="BodyText"/>
        <w:rPr/>
      </w:pPr>
      <w:r/>
    </w:p>
    <w:p>
      <w:pPr>
        <w:ind w:left="420"/>
        <w:spacing w:before="68"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2.</w:t>
      </w:r>
      <w:r>
        <w:rPr>
          <w:rFonts w:ascii="SimSun" w:hAnsi="SimSun" w:eastAsia="SimSun" w:cs="SimSun"/>
          <w:sz w:val="21"/>
          <w:szCs w:val="21"/>
          <w:b/>
          <w:bCs/>
          <w:spacing w:val="-2"/>
        </w:rPr>
        <w:t>个人手机银行</w:t>
      </w:r>
    </w:p>
    <w:p>
      <w:pPr>
        <w:pStyle w:val="BodyText"/>
        <w:spacing w:line="241" w:lineRule="auto"/>
        <w:rPr/>
      </w:pPr>
      <w:r/>
    </w:p>
    <w:p>
      <w:pPr>
        <w:ind w:left="1" w:right="70" w:firstLine="438"/>
        <w:spacing w:before="69" w:line="282" w:lineRule="auto"/>
        <w:jc w:val="both"/>
        <w:rPr>
          <w:rFonts w:ascii="SimSun" w:hAnsi="SimSun" w:eastAsia="SimSun" w:cs="SimSun"/>
          <w:sz w:val="21"/>
          <w:szCs w:val="21"/>
        </w:rPr>
      </w:pPr>
      <w:r>
        <w:rPr>
          <w:rFonts w:ascii="SimSun" w:hAnsi="SimSun" w:eastAsia="SimSun" w:cs="SimSun"/>
          <w:sz w:val="21"/>
          <w:szCs w:val="21"/>
          <w:spacing w:val="5"/>
        </w:rPr>
        <w:t>围绕"轻松一点"理念,</w:t>
      </w:r>
      <w:r>
        <w:rPr>
          <w:rFonts w:ascii="SimSun" w:hAnsi="SimSun" w:eastAsia="SimSun" w:cs="SimSun"/>
          <w:sz w:val="21"/>
          <w:szCs w:val="21"/>
          <w:spacing w:val="37"/>
        </w:rPr>
        <w:t xml:space="preserve"> </w:t>
      </w:r>
      <w:r>
        <w:rPr>
          <w:rFonts w:ascii="SimSun" w:hAnsi="SimSun" w:eastAsia="SimSun" w:cs="SimSun"/>
          <w:sz w:val="21"/>
          <w:szCs w:val="21"/>
          <w:spacing w:val="5"/>
        </w:rPr>
        <w:t>聚焦客户体验,</w:t>
      </w:r>
      <w:r>
        <w:rPr>
          <w:rFonts w:ascii="SimSun" w:hAnsi="SimSun" w:eastAsia="SimSun" w:cs="SimSun"/>
          <w:sz w:val="21"/>
          <w:szCs w:val="21"/>
          <w:spacing w:val="32"/>
        </w:rPr>
        <w:t xml:space="preserve"> </w:t>
      </w:r>
      <w:r>
        <w:rPr>
          <w:rFonts w:ascii="SimSun" w:hAnsi="SimSun" w:eastAsia="SimSun" w:cs="SimSun"/>
          <w:sz w:val="21"/>
          <w:szCs w:val="21"/>
          <w:spacing w:val="5"/>
        </w:rPr>
        <w:t>发布个人手机银行</w:t>
      </w:r>
      <w:r>
        <w:rPr>
          <w:rFonts w:ascii="SimSun" w:hAnsi="SimSun" w:eastAsia="SimSun" w:cs="SimSun"/>
          <w:sz w:val="21"/>
          <w:szCs w:val="21"/>
          <w:spacing w:val="-29"/>
        </w:rPr>
        <w:t xml:space="preserve"> </w:t>
      </w:r>
      <w:r>
        <w:rPr>
          <w:rFonts w:ascii="Times New Roman" w:hAnsi="Times New Roman" w:eastAsia="Times New Roman" w:cs="Times New Roman"/>
          <w:sz w:val="21"/>
          <w:szCs w:val="21"/>
          <w:spacing w:val="5"/>
        </w:rPr>
        <w:t>7.0</w:t>
      </w:r>
      <w:r>
        <w:rPr>
          <w:rFonts w:ascii="Times New Roman" w:hAnsi="Times New Roman" w:eastAsia="Times New Roman" w:cs="Times New Roman"/>
          <w:sz w:val="21"/>
          <w:szCs w:val="21"/>
          <w:spacing w:val="21"/>
        </w:rPr>
        <w:t xml:space="preserve"> </w:t>
      </w:r>
      <w:r>
        <w:rPr>
          <w:rFonts w:ascii="SimSun" w:hAnsi="SimSun" w:eastAsia="SimSun" w:cs="SimSun"/>
          <w:sz w:val="21"/>
          <w:szCs w:val="21"/>
          <w:spacing w:val="5"/>
        </w:rPr>
        <w:t>版</w:t>
      </w:r>
      <w:r>
        <w:rPr>
          <w:rFonts w:ascii="SimSun" w:hAnsi="SimSun" w:eastAsia="SimSun" w:cs="SimSun"/>
          <w:sz w:val="21"/>
          <w:szCs w:val="21"/>
          <w:spacing w:val="4"/>
        </w:rPr>
        <w:t>本,在财富投资、信贷融资、场景</w:t>
      </w:r>
      <w:r>
        <w:rPr>
          <w:rFonts w:ascii="SimSun" w:hAnsi="SimSun" w:eastAsia="SimSun" w:cs="SimSun"/>
          <w:sz w:val="21"/>
          <w:szCs w:val="21"/>
        </w:rPr>
        <w:t xml:space="preserve"> </w:t>
      </w:r>
      <w:r>
        <w:rPr>
          <w:rFonts w:ascii="SimSun" w:hAnsi="SimSun" w:eastAsia="SimSun" w:cs="SimSun"/>
          <w:sz w:val="21"/>
          <w:szCs w:val="21"/>
          <w:spacing w:val="-1"/>
        </w:rPr>
        <w:t>金融、数字安全等方面进行流程重塑和功能升级,</w:t>
      </w:r>
      <w:r>
        <w:rPr>
          <w:rFonts w:ascii="SimSun" w:hAnsi="SimSun" w:eastAsia="SimSun" w:cs="SimSun"/>
          <w:sz w:val="21"/>
          <w:szCs w:val="21"/>
          <w:spacing w:val="26"/>
        </w:rPr>
        <w:t xml:space="preserve"> </w:t>
      </w:r>
      <w:r>
        <w:rPr>
          <w:rFonts w:ascii="SimSun" w:hAnsi="SimSun" w:eastAsia="SimSun" w:cs="SimSun"/>
          <w:sz w:val="21"/>
          <w:szCs w:val="21"/>
          <w:spacing w:val="-1"/>
        </w:rPr>
        <w:t>为客户提供更智能化、便捷化的移</w:t>
      </w:r>
      <w:r>
        <w:rPr>
          <w:rFonts w:ascii="SimSun" w:hAnsi="SimSun" w:eastAsia="SimSun" w:cs="SimSun"/>
          <w:sz w:val="21"/>
          <w:szCs w:val="21"/>
          <w:spacing w:val="-2"/>
        </w:rPr>
        <w:t>动服务, 借助金融科</w:t>
      </w:r>
      <w:r>
        <w:rPr>
          <w:rFonts w:ascii="SimSun" w:hAnsi="SimSun" w:eastAsia="SimSun" w:cs="SimSun"/>
          <w:sz w:val="21"/>
          <w:szCs w:val="21"/>
        </w:rPr>
        <w:t xml:space="preserve"> </w:t>
      </w:r>
      <w:r>
        <w:rPr>
          <w:rFonts w:ascii="SimSun" w:hAnsi="SimSun" w:eastAsia="SimSun" w:cs="SimSun"/>
          <w:sz w:val="21"/>
          <w:szCs w:val="21"/>
          <w:spacing w:val="1"/>
        </w:rPr>
        <w:t>技实现客户体验的跃升。报告期末,</w:t>
      </w:r>
      <w:r>
        <w:rPr>
          <w:rFonts w:ascii="SimSun" w:hAnsi="SimSun" w:eastAsia="SimSun" w:cs="SimSun"/>
          <w:sz w:val="21"/>
          <w:szCs w:val="21"/>
          <w:spacing w:val="29"/>
        </w:rPr>
        <w:t xml:space="preserve"> </w:t>
      </w:r>
      <w:r>
        <w:rPr>
          <w:rFonts w:ascii="SimSun" w:hAnsi="SimSun" w:eastAsia="SimSun" w:cs="SimSun"/>
          <w:sz w:val="21"/>
          <w:szCs w:val="21"/>
          <w:spacing w:val="1"/>
        </w:rPr>
        <w:t>手机银行月度活跃客户数</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MAU</w:t>
      </w:r>
      <w:r>
        <w:rPr>
          <w:rFonts w:ascii="Times New Roman" w:hAnsi="Times New Roman" w:eastAsia="Times New Roman" w:cs="Times New Roman"/>
          <w:sz w:val="21"/>
          <w:szCs w:val="21"/>
          <w:spacing w:val="1"/>
        </w:rPr>
        <w:t>)4,548.3</w:t>
      </w:r>
      <w:r>
        <w:rPr>
          <w:rFonts w:ascii="Times New Roman" w:hAnsi="Times New Roman" w:eastAsia="Times New Roman" w:cs="Times New Roman"/>
          <w:sz w:val="21"/>
          <w:szCs w:val="21"/>
        </w:rPr>
        <w:t>3</w:t>
      </w:r>
      <w:r>
        <w:rPr>
          <w:rFonts w:ascii="Times New Roman" w:hAnsi="Times New Roman" w:eastAsia="Times New Roman" w:cs="Times New Roman"/>
          <w:sz w:val="21"/>
          <w:szCs w:val="21"/>
          <w:spacing w:val="14"/>
        </w:rPr>
        <w:t xml:space="preserve"> </w:t>
      </w:r>
      <w:r>
        <w:rPr>
          <w:rFonts w:ascii="SimSun" w:hAnsi="SimSun" w:eastAsia="SimSun" w:cs="SimSun"/>
          <w:sz w:val="21"/>
          <w:szCs w:val="21"/>
        </w:rPr>
        <w:t>万户,全年增长</w:t>
      </w:r>
      <w:r>
        <w:rPr>
          <w:rFonts w:ascii="SimSun" w:hAnsi="SimSun" w:eastAsia="SimSun" w:cs="SimSun"/>
          <w:sz w:val="21"/>
          <w:szCs w:val="21"/>
          <w:spacing w:val="-28"/>
        </w:rPr>
        <w:t xml:space="preserve"> </w:t>
      </w:r>
      <w:r>
        <w:rPr>
          <w:rFonts w:ascii="Times New Roman" w:hAnsi="Times New Roman" w:eastAsia="Times New Roman" w:cs="Times New Roman"/>
          <w:sz w:val="21"/>
          <w:szCs w:val="21"/>
        </w:rPr>
        <w:t>19.35%</w:t>
      </w:r>
      <w:r>
        <w:rPr>
          <w:rFonts w:ascii="SimSun" w:hAnsi="SimSun" w:eastAsia="SimSun" w:cs="SimSun"/>
          <w:sz w:val="21"/>
          <w:szCs w:val="21"/>
        </w:rPr>
        <w:t>。</w:t>
      </w:r>
    </w:p>
    <w:p>
      <w:pPr>
        <w:pStyle w:val="BodyText"/>
        <w:spacing w:line="246" w:lineRule="auto"/>
        <w:rPr/>
      </w:pPr>
      <w:r/>
    </w:p>
    <w:p>
      <w:pPr>
        <w:ind w:left="418"/>
        <w:spacing w:before="69" w:line="222"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3.</w:t>
      </w:r>
      <w:r>
        <w:rPr>
          <w:rFonts w:ascii="SimSun" w:hAnsi="SimSun" w:eastAsia="SimSun" w:cs="SimSun"/>
          <w:sz w:val="21"/>
          <w:szCs w:val="21"/>
          <w:b/>
          <w:bCs/>
          <w:spacing w:val="-2"/>
        </w:rPr>
        <w:t>买单吧</w:t>
      </w:r>
    </w:p>
    <w:p>
      <w:pPr>
        <w:ind w:right="257" w:firstLine="426"/>
        <w:spacing w:before="305" w:line="293" w:lineRule="auto"/>
        <w:jc w:val="both"/>
        <w:rPr>
          <w:rFonts w:ascii="SimSun" w:hAnsi="SimSun" w:eastAsia="SimSun" w:cs="SimSun"/>
          <w:sz w:val="21"/>
          <w:szCs w:val="21"/>
        </w:rPr>
      </w:pPr>
      <w:r>
        <w:rPr>
          <w:rFonts w:ascii="SimSun" w:hAnsi="SimSun" w:eastAsia="SimSun" w:cs="SimSun"/>
          <w:sz w:val="21"/>
          <w:szCs w:val="21"/>
          <w:spacing w:val="4"/>
        </w:rPr>
        <w:t>贯彻高质量发展战略,深入推进数字化转型。升级和发布买单吧 </w:t>
      </w:r>
      <w:r>
        <w:rPr>
          <w:rFonts w:ascii="Times New Roman" w:hAnsi="Times New Roman" w:eastAsia="Times New Roman" w:cs="Times New Roman"/>
          <w:sz w:val="21"/>
          <w:szCs w:val="21"/>
        </w:rPr>
        <w:t>APP</w:t>
      </w:r>
      <w:r>
        <w:rPr>
          <w:rFonts w:ascii="Times New Roman" w:hAnsi="Times New Roman" w:eastAsia="Times New Roman" w:cs="Times New Roman"/>
          <w:sz w:val="21"/>
          <w:szCs w:val="21"/>
          <w:spacing w:val="4"/>
        </w:rPr>
        <w:t>6.0</w:t>
      </w:r>
      <w:r>
        <w:rPr>
          <w:rFonts w:ascii="Times New Roman" w:hAnsi="Times New Roman" w:eastAsia="Times New Roman" w:cs="Times New Roman"/>
          <w:sz w:val="21"/>
          <w:szCs w:val="21"/>
          <w:spacing w:val="6"/>
        </w:rPr>
        <w:t xml:space="preserve">  </w:t>
      </w:r>
      <w:r>
        <w:rPr>
          <w:rFonts w:ascii="SimSun" w:hAnsi="SimSun" w:eastAsia="SimSun" w:cs="SimSun"/>
          <w:sz w:val="21"/>
          <w:szCs w:val="21"/>
          <w:spacing w:val="4"/>
        </w:rPr>
        <w:t>版本,新增乡村振兴、严</w:t>
      </w:r>
      <w:r>
        <w:rPr>
          <w:rFonts w:ascii="SimSun" w:hAnsi="SimSun" w:eastAsia="SimSun" w:cs="SimSun"/>
          <w:sz w:val="21"/>
          <w:szCs w:val="21"/>
          <w:spacing w:val="1"/>
        </w:rPr>
        <w:t xml:space="preserve"> </w:t>
      </w:r>
      <w:r>
        <w:rPr>
          <w:rFonts w:ascii="SimSun" w:hAnsi="SimSun" w:eastAsia="SimSun" w:cs="SimSun"/>
          <w:sz w:val="21"/>
          <w:szCs w:val="21"/>
          <w:spacing w:val="4"/>
        </w:rPr>
        <w:t>选惠购等一系列民生场景,进一步便捷千万用户线上消费,助力城乡发展,</w:t>
      </w:r>
      <w:r>
        <w:rPr>
          <w:rFonts w:ascii="SimSun" w:hAnsi="SimSun" w:eastAsia="SimSun" w:cs="SimSun"/>
          <w:sz w:val="21"/>
          <w:szCs w:val="21"/>
          <w:spacing w:val="34"/>
        </w:rPr>
        <w:t xml:space="preserve"> </w:t>
      </w:r>
      <w:r>
        <w:rPr>
          <w:rFonts w:ascii="SimSun" w:hAnsi="SimSun" w:eastAsia="SimSun" w:cs="SimSun"/>
          <w:sz w:val="21"/>
          <w:szCs w:val="21"/>
          <w:spacing w:val="4"/>
        </w:rPr>
        <w:t>并为老年</w:t>
      </w:r>
      <w:r>
        <w:rPr>
          <w:rFonts w:ascii="SimSun" w:hAnsi="SimSun" w:eastAsia="SimSun" w:cs="SimSun"/>
          <w:sz w:val="21"/>
          <w:szCs w:val="21"/>
          <w:spacing w:val="3"/>
        </w:rPr>
        <w:t>用户定制无障碍版</w:t>
      </w:r>
      <w:r>
        <w:rPr>
          <w:rFonts w:ascii="SimSun" w:hAnsi="SimSun" w:eastAsia="SimSun" w:cs="SimSun"/>
          <w:sz w:val="21"/>
          <w:szCs w:val="21"/>
        </w:rPr>
        <w:t xml:space="preserve"> </w:t>
      </w:r>
      <w:r>
        <w:rPr>
          <w:rFonts w:ascii="SimSun" w:hAnsi="SimSun" w:eastAsia="SimSun" w:cs="SimSun"/>
          <w:sz w:val="21"/>
          <w:szCs w:val="21"/>
          <w:spacing w:val="-2"/>
        </w:rPr>
        <w:t>本。报告期末, 买单吧</w:t>
      </w:r>
      <w:r>
        <w:rPr>
          <w:rFonts w:ascii="SimSun" w:hAnsi="SimSun" w:eastAsia="SimSun" w:cs="SimSun"/>
          <w:sz w:val="21"/>
          <w:szCs w:val="21"/>
          <w:spacing w:val="-52"/>
        </w:rPr>
        <w:t xml:space="preserve"> </w:t>
      </w:r>
      <w:r>
        <w:rPr>
          <w:rFonts w:ascii="Times New Roman" w:hAnsi="Times New Roman" w:eastAsia="Times New Roman" w:cs="Times New Roman"/>
          <w:sz w:val="21"/>
          <w:szCs w:val="21"/>
          <w:spacing w:val="-2"/>
        </w:rPr>
        <w:t>APP</w:t>
      </w:r>
      <w:r>
        <w:rPr>
          <w:rFonts w:ascii="Times New Roman" w:hAnsi="Times New Roman" w:eastAsia="Times New Roman" w:cs="Times New Roman"/>
          <w:sz w:val="21"/>
          <w:szCs w:val="21"/>
          <w:spacing w:val="17"/>
        </w:rPr>
        <w:t xml:space="preserve"> </w:t>
      </w:r>
      <w:r>
        <w:rPr>
          <w:rFonts w:ascii="SimSun" w:hAnsi="SimSun" w:eastAsia="SimSun" w:cs="SimSun"/>
          <w:sz w:val="21"/>
          <w:szCs w:val="21"/>
          <w:spacing w:val="-2"/>
        </w:rPr>
        <w:t>累计绑卡用户</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2"/>
        </w:rPr>
        <w:t>7,500.70 </w:t>
      </w:r>
      <w:r>
        <w:rPr>
          <w:rFonts w:ascii="SimSun" w:hAnsi="SimSun" w:eastAsia="SimSun" w:cs="SimSun"/>
          <w:sz w:val="21"/>
          <w:szCs w:val="21"/>
          <w:spacing w:val="-2"/>
        </w:rPr>
        <w:t>万户, 月度活跃用户</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2"/>
        </w:rPr>
        <w:t>2,543.73</w:t>
      </w:r>
      <w:r>
        <w:rPr>
          <w:rFonts w:ascii="Times New Roman" w:hAnsi="Times New Roman" w:eastAsia="Times New Roman" w:cs="Times New Roman"/>
          <w:sz w:val="21"/>
          <w:szCs w:val="21"/>
          <w:spacing w:val="14"/>
        </w:rPr>
        <w:t xml:space="preserve"> </w:t>
      </w:r>
      <w:r>
        <w:rPr>
          <w:rFonts w:ascii="SimSun" w:hAnsi="SimSun" w:eastAsia="SimSun" w:cs="SimSun"/>
          <w:sz w:val="21"/>
          <w:szCs w:val="21"/>
          <w:spacing w:val="-2"/>
        </w:rPr>
        <w:t>万户, 金融场景使</w:t>
      </w:r>
      <w:r>
        <w:rPr>
          <w:rFonts w:ascii="SimSun" w:hAnsi="SimSun" w:eastAsia="SimSun" w:cs="SimSun"/>
          <w:sz w:val="21"/>
          <w:szCs w:val="21"/>
          <w:spacing w:val="-3"/>
        </w:rPr>
        <w:t>用率</w:t>
      </w:r>
      <w:r>
        <w:rPr>
          <w:rFonts w:ascii="SimSun" w:hAnsi="SimSun" w:eastAsia="SimSun" w:cs="SimSun"/>
          <w:sz w:val="21"/>
          <w:szCs w:val="21"/>
        </w:rPr>
        <w:t xml:space="preserve"> </w:t>
      </w:r>
      <w:r>
        <w:rPr>
          <w:rFonts w:ascii="SimSun" w:hAnsi="SimSun" w:eastAsia="SimSun" w:cs="SimSun"/>
          <w:sz w:val="21"/>
          <w:szCs w:val="21"/>
          <w:spacing w:val="-1"/>
        </w:rPr>
        <w:t>和非金融场景使用率分别为</w:t>
      </w:r>
      <w:r>
        <w:rPr>
          <w:rFonts w:ascii="SimSun" w:hAnsi="SimSun" w:eastAsia="SimSun" w:cs="SimSun"/>
          <w:sz w:val="21"/>
          <w:szCs w:val="21"/>
          <w:spacing w:val="-38"/>
        </w:rPr>
        <w:t xml:space="preserve"> </w:t>
      </w:r>
      <w:r>
        <w:rPr>
          <w:rFonts w:ascii="Times New Roman" w:hAnsi="Times New Roman" w:eastAsia="Times New Roman" w:cs="Times New Roman"/>
          <w:sz w:val="21"/>
          <w:szCs w:val="21"/>
          <w:spacing w:val="-1"/>
        </w:rPr>
        <w:t>82.79%</w:t>
      </w:r>
      <w:r>
        <w:rPr>
          <w:rFonts w:ascii="SimSun" w:hAnsi="SimSun" w:eastAsia="SimSun" w:cs="SimSun"/>
          <w:sz w:val="21"/>
          <w:szCs w:val="21"/>
          <w:spacing w:val="-1"/>
        </w:rPr>
        <w:t>和</w:t>
      </w:r>
      <w:r>
        <w:rPr>
          <w:rFonts w:ascii="SimSun" w:hAnsi="SimSun" w:eastAsia="SimSun" w:cs="SimSun"/>
          <w:sz w:val="21"/>
          <w:szCs w:val="21"/>
          <w:spacing w:val="-45"/>
        </w:rPr>
        <w:t xml:space="preserve"> </w:t>
      </w:r>
      <w:r>
        <w:rPr>
          <w:rFonts w:ascii="Times New Roman" w:hAnsi="Times New Roman" w:eastAsia="Times New Roman" w:cs="Times New Roman"/>
          <w:sz w:val="21"/>
          <w:szCs w:val="21"/>
          <w:spacing w:val="-1"/>
        </w:rPr>
        <w:t>66.23%</w:t>
      </w:r>
      <w:r>
        <w:rPr>
          <w:rFonts w:ascii="SimSun" w:hAnsi="SimSun" w:eastAsia="SimSun" w:cs="SimSun"/>
          <w:sz w:val="21"/>
          <w:szCs w:val="21"/>
          <w:spacing w:val="-1"/>
        </w:rPr>
        <w:t>。</w:t>
      </w:r>
    </w:p>
    <w:p>
      <w:pPr>
        <w:pStyle w:val="BodyText"/>
        <w:rPr/>
      </w:pPr>
      <w:r/>
    </w:p>
    <w:p>
      <w:pPr>
        <w:ind w:left="420"/>
        <w:spacing w:before="69" w:line="222"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4.</w:t>
      </w:r>
      <w:r>
        <w:rPr>
          <w:rFonts w:ascii="SimSun" w:hAnsi="SimSun" w:eastAsia="SimSun" w:cs="SimSun"/>
          <w:sz w:val="21"/>
          <w:szCs w:val="21"/>
          <w:b/>
          <w:bCs/>
          <w:spacing w:val="-2"/>
        </w:rPr>
        <w:t>开放银行</w:t>
      </w:r>
    </w:p>
    <w:p>
      <w:pPr>
        <w:ind w:firstLine="422"/>
        <w:spacing w:before="307" w:line="282" w:lineRule="auto"/>
        <w:jc w:val="both"/>
        <w:rPr>
          <w:rFonts w:ascii="SimSun" w:hAnsi="SimSun" w:eastAsia="SimSun" w:cs="SimSun"/>
          <w:sz w:val="21"/>
          <w:szCs w:val="21"/>
        </w:rPr>
      </w:pPr>
      <w:r>
        <w:rPr>
          <w:rFonts w:ascii="SimSun" w:hAnsi="SimSun" w:eastAsia="SimSun" w:cs="SimSun"/>
          <w:sz w:val="21"/>
          <w:szCs w:val="21"/>
          <w:spacing w:val="-1"/>
        </w:rPr>
        <w:t>面向医疗、交通、教育、政务等民生服务场景不断延展金融服务, 积极服务产业链、供应链等平台企 </w:t>
      </w:r>
      <w:r>
        <w:rPr>
          <w:rFonts w:ascii="SimSun" w:hAnsi="SimSun" w:eastAsia="SimSun" w:cs="SimSun"/>
          <w:sz w:val="21"/>
          <w:szCs w:val="21"/>
          <w:spacing w:val="-3"/>
        </w:rPr>
        <w:t>业数字化转型, 报告期末,</w:t>
      </w:r>
      <w:r>
        <w:rPr>
          <w:rFonts w:ascii="SimSun" w:hAnsi="SimSun" w:eastAsia="SimSun" w:cs="SimSun"/>
          <w:sz w:val="21"/>
          <w:szCs w:val="21"/>
          <w:spacing w:val="25"/>
        </w:rPr>
        <w:t xml:space="preserve"> </w:t>
      </w:r>
      <w:r>
        <w:rPr>
          <w:rFonts w:ascii="SimSun" w:hAnsi="SimSun" w:eastAsia="SimSun" w:cs="SimSun"/>
          <w:sz w:val="21"/>
          <w:szCs w:val="21"/>
          <w:spacing w:val="-3"/>
        </w:rPr>
        <w:t>累计开放接口</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2,586 </w:t>
      </w:r>
      <w:r>
        <w:rPr>
          <w:rFonts w:ascii="SimSun" w:hAnsi="SimSun" w:eastAsia="SimSun" w:cs="SimSun"/>
          <w:sz w:val="21"/>
          <w:szCs w:val="21"/>
          <w:spacing w:val="-3"/>
        </w:rPr>
        <w:t>个。报告期内,</w:t>
      </w:r>
      <w:r>
        <w:rPr>
          <w:rFonts w:ascii="SimSun" w:hAnsi="SimSun" w:eastAsia="SimSun" w:cs="SimSun"/>
          <w:sz w:val="21"/>
          <w:szCs w:val="21"/>
          <w:spacing w:val="25"/>
        </w:rPr>
        <w:t xml:space="preserve"> </w:t>
      </w:r>
      <w:r>
        <w:rPr>
          <w:rFonts w:ascii="SimSun" w:hAnsi="SimSun" w:eastAsia="SimSun" w:cs="SimSun"/>
          <w:sz w:val="21"/>
          <w:szCs w:val="21"/>
          <w:spacing w:val="-3"/>
        </w:rPr>
        <w:t>累计调用次数超</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3"/>
        </w:rPr>
        <w:t>16 </w:t>
      </w:r>
      <w:r>
        <w:rPr>
          <w:rFonts w:ascii="SimSun" w:hAnsi="SimSun" w:eastAsia="SimSun" w:cs="SimSun"/>
          <w:sz w:val="21"/>
          <w:szCs w:val="21"/>
          <w:spacing w:val="-3"/>
        </w:rPr>
        <w:t>亿次;</w:t>
      </w:r>
      <w:r>
        <w:rPr>
          <w:rFonts w:ascii="SimSun" w:hAnsi="SimSun" w:eastAsia="SimSun" w:cs="SimSun"/>
          <w:sz w:val="21"/>
          <w:szCs w:val="21"/>
          <w:spacing w:val="-4"/>
        </w:rPr>
        <w:t xml:space="preserve"> 通过开放银行获 </w:t>
      </w:r>
      <w:r>
        <w:rPr>
          <w:rFonts w:ascii="SimSun" w:hAnsi="SimSun" w:eastAsia="SimSun" w:cs="SimSun"/>
          <w:sz w:val="21"/>
          <w:szCs w:val="21"/>
          <w:spacing w:val="1"/>
        </w:rPr>
        <w:t>取零售新客户</w:t>
      </w:r>
      <w:r>
        <w:rPr>
          <w:rFonts w:ascii="SimSun" w:hAnsi="SimSun" w:eastAsia="SimSun" w:cs="SimSun"/>
          <w:sz w:val="21"/>
          <w:szCs w:val="21"/>
          <w:spacing w:val="-45"/>
        </w:rPr>
        <w:t xml:space="preserve"> </w:t>
      </w:r>
      <w:r>
        <w:rPr>
          <w:rFonts w:ascii="Times New Roman" w:hAnsi="Times New Roman" w:eastAsia="Times New Roman" w:cs="Times New Roman"/>
          <w:sz w:val="21"/>
          <w:szCs w:val="21"/>
          <w:spacing w:val="1"/>
        </w:rPr>
        <w:t>78.34 </w:t>
      </w:r>
      <w:r>
        <w:rPr>
          <w:rFonts w:ascii="SimSun" w:hAnsi="SimSun" w:eastAsia="SimSun" w:cs="SimSun"/>
          <w:sz w:val="21"/>
          <w:szCs w:val="21"/>
          <w:spacing w:val="1"/>
        </w:rPr>
        <w:t>万户,同比增长</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1"/>
        </w:rPr>
        <w:t>57.63%</w:t>
      </w:r>
      <w:r>
        <w:rPr>
          <w:rFonts w:ascii="SimSun" w:hAnsi="SimSun" w:eastAsia="SimSun" w:cs="SimSun"/>
          <w:sz w:val="21"/>
          <w:szCs w:val="21"/>
          <w:spacing w:val="1"/>
        </w:rPr>
        <w:t>;</w:t>
      </w:r>
      <w:r>
        <w:rPr>
          <w:rFonts w:ascii="SimSun" w:hAnsi="SimSun" w:eastAsia="SimSun" w:cs="SimSun"/>
          <w:sz w:val="21"/>
          <w:szCs w:val="21"/>
          <w:spacing w:val="29"/>
        </w:rPr>
        <w:t xml:space="preserve"> </w:t>
      </w:r>
      <w:r>
        <w:rPr>
          <w:rFonts w:ascii="SimSun" w:hAnsi="SimSun" w:eastAsia="SimSun" w:cs="SimSun"/>
          <w:sz w:val="21"/>
          <w:szCs w:val="21"/>
          <w:spacing w:val="1"/>
        </w:rPr>
        <w:t>通过开放银行线上链金融服务发放融资金额</w:t>
      </w:r>
      <w:r>
        <w:rPr>
          <w:rFonts w:ascii="SimSun" w:hAnsi="SimSun" w:eastAsia="SimSun" w:cs="SimSun"/>
          <w:sz w:val="21"/>
          <w:szCs w:val="21"/>
          <w:spacing w:val="-22"/>
        </w:rPr>
        <w:t xml:space="preserve"> </w:t>
      </w:r>
      <w:r>
        <w:rPr>
          <w:rFonts w:ascii="Times New Roman" w:hAnsi="Times New Roman" w:eastAsia="Times New Roman" w:cs="Times New Roman"/>
          <w:sz w:val="21"/>
          <w:szCs w:val="21"/>
          <w:spacing w:val="1"/>
        </w:rPr>
        <w:t>1,138.17 </w:t>
      </w:r>
      <w:r>
        <w:rPr>
          <w:rFonts w:ascii="SimSun" w:hAnsi="SimSun" w:eastAsia="SimSun" w:cs="SimSun"/>
          <w:sz w:val="21"/>
          <w:szCs w:val="21"/>
          <w:spacing w:val="1"/>
        </w:rPr>
        <w:t>亿元。</w:t>
      </w:r>
    </w:p>
    <w:p>
      <w:pPr>
        <w:pStyle w:val="BodyText"/>
        <w:spacing w:line="246" w:lineRule="auto"/>
        <w:rPr/>
      </w:pPr>
      <w:r/>
    </w:p>
    <w:p>
      <w:pPr>
        <w:ind w:left="422"/>
        <w:spacing w:before="69" w:line="222"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3"/>
        </w:rPr>
        <w:t>5.</w:t>
      </w:r>
      <w:r>
        <w:rPr>
          <w:rFonts w:ascii="SimSun" w:hAnsi="SimSun" w:eastAsia="SimSun" w:cs="SimSun"/>
          <w:sz w:val="21"/>
          <w:szCs w:val="21"/>
          <w:b/>
          <w:bCs/>
          <w:spacing w:val="-3"/>
        </w:rPr>
        <w:t>云上交行</w:t>
      </w:r>
    </w:p>
    <w:p>
      <w:pPr>
        <w:ind w:right="70" w:firstLine="423"/>
        <w:spacing w:before="309" w:line="297" w:lineRule="auto"/>
        <w:rPr>
          <w:rFonts w:ascii="SimSun" w:hAnsi="SimSun" w:eastAsia="SimSun" w:cs="SimSun"/>
          <w:sz w:val="21"/>
          <w:szCs w:val="21"/>
        </w:rPr>
      </w:pPr>
      <w:r>
        <w:rPr>
          <w:rFonts w:ascii="SimSun" w:hAnsi="SimSun" w:eastAsia="SimSun" w:cs="SimSun"/>
          <w:sz w:val="21"/>
          <w:szCs w:val="21"/>
          <w:spacing w:val="1"/>
        </w:rPr>
        <w:t>持续推广"云上交行" 品牌。创新远程视频银</w:t>
      </w:r>
      <w:r>
        <w:rPr>
          <w:rFonts w:ascii="SimSun" w:hAnsi="SimSun" w:eastAsia="SimSun" w:cs="SimSun"/>
          <w:sz w:val="21"/>
          <w:szCs w:val="21"/>
        </w:rPr>
        <w:t>行服务,</w:t>
      </w:r>
      <w:r>
        <w:rPr>
          <w:rFonts w:ascii="SimSun" w:hAnsi="SimSun" w:eastAsia="SimSun" w:cs="SimSun"/>
          <w:sz w:val="21"/>
          <w:szCs w:val="21"/>
          <w:spacing w:val="29"/>
        </w:rPr>
        <w:t xml:space="preserve"> </w:t>
      </w:r>
      <w:r>
        <w:rPr>
          <w:rFonts w:ascii="SimSun" w:hAnsi="SimSun" w:eastAsia="SimSun" w:cs="SimSun"/>
          <w:sz w:val="21"/>
          <w:szCs w:val="21"/>
        </w:rPr>
        <w:t>拓宽客户办理业务渠道,</w:t>
      </w:r>
      <w:r>
        <w:rPr>
          <w:rFonts w:ascii="SimSun" w:hAnsi="SimSun" w:eastAsia="SimSun" w:cs="SimSun"/>
          <w:sz w:val="21"/>
          <w:szCs w:val="21"/>
          <w:spacing w:val="27"/>
        </w:rPr>
        <w:t xml:space="preserve"> </w:t>
      </w:r>
      <w:r>
        <w:rPr>
          <w:rFonts w:ascii="SimSun" w:hAnsi="SimSun" w:eastAsia="SimSun" w:cs="SimSun"/>
          <w:sz w:val="21"/>
          <w:szCs w:val="21"/>
        </w:rPr>
        <w:t>提升金融服务的可得 </w:t>
      </w:r>
      <w:r>
        <w:rPr>
          <w:rFonts w:ascii="SimSun" w:hAnsi="SimSun" w:eastAsia="SimSun" w:cs="SimSun"/>
          <w:sz w:val="21"/>
          <w:szCs w:val="21"/>
          <w:spacing w:val="-2"/>
        </w:rPr>
        <w:t>性和满意度, 保障业务的连续性,</w:t>
      </w:r>
      <w:r>
        <w:rPr>
          <w:rFonts w:ascii="SimSun" w:hAnsi="SimSun" w:eastAsia="SimSun" w:cs="SimSun"/>
          <w:sz w:val="21"/>
          <w:szCs w:val="21"/>
          <w:spacing w:val="35"/>
        </w:rPr>
        <w:t xml:space="preserve"> </w:t>
      </w:r>
      <w:r>
        <w:rPr>
          <w:rFonts w:ascii="SimSun" w:hAnsi="SimSun" w:eastAsia="SimSun" w:cs="SimSun"/>
          <w:sz w:val="21"/>
          <w:szCs w:val="21"/>
          <w:spacing w:val="-2"/>
        </w:rPr>
        <w:t>为全行抗疫期间的业务服务提供有力支撑。报告期末,</w:t>
      </w:r>
      <w:r>
        <w:rPr>
          <w:rFonts w:ascii="SimSun" w:hAnsi="SimSun" w:eastAsia="SimSun" w:cs="SimSun"/>
          <w:sz w:val="21"/>
          <w:szCs w:val="21"/>
          <w:spacing w:val="32"/>
        </w:rPr>
        <w:t xml:space="preserve"> </w:t>
      </w:r>
      <w:r>
        <w:rPr>
          <w:rFonts w:ascii="SimSun" w:hAnsi="SimSun" w:eastAsia="SimSun" w:cs="SimSun"/>
          <w:sz w:val="21"/>
          <w:szCs w:val="21"/>
          <w:spacing w:val="-2"/>
        </w:rPr>
        <w:t>云上交行视频营</w:t>
      </w:r>
      <w:r>
        <w:rPr>
          <w:rFonts w:ascii="SimSun" w:hAnsi="SimSun" w:eastAsia="SimSun" w:cs="SimSun"/>
          <w:sz w:val="21"/>
          <w:szCs w:val="21"/>
        </w:rPr>
        <w:t xml:space="preserve"> </w:t>
      </w:r>
      <w:r>
        <w:rPr>
          <w:rFonts w:ascii="SimSun" w:hAnsi="SimSun" w:eastAsia="SimSun" w:cs="SimSun"/>
          <w:sz w:val="21"/>
          <w:szCs w:val="21"/>
          <w:spacing w:val="-2"/>
        </w:rPr>
        <w:t>业厅提供服务</w:t>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2"/>
        </w:rPr>
        <w:t>5.2</w:t>
      </w:r>
      <w:r>
        <w:rPr>
          <w:rFonts w:ascii="Times New Roman" w:hAnsi="Times New Roman" w:eastAsia="Times New Roman" w:cs="Times New Roman"/>
          <w:sz w:val="21"/>
          <w:szCs w:val="21"/>
          <w:spacing w:val="13"/>
          <w:w w:val="101"/>
        </w:rPr>
        <w:t xml:space="preserve"> </w:t>
      </w:r>
      <w:r>
        <w:rPr>
          <w:rFonts w:ascii="SimSun" w:hAnsi="SimSun" w:eastAsia="SimSun" w:cs="SimSun"/>
          <w:sz w:val="21"/>
          <w:szCs w:val="21"/>
          <w:spacing w:val="-2"/>
        </w:rPr>
        <w:t>万笔,</w:t>
      </w:r>
      <w:r>
        <w:rPr>
          <w:rFonts w:ascii="SimSun" w:hAnsi="SimSun" w:eastAsia="SimSun" w:cs="SimSun"/>
          <w:sz w:val="21"/>
          <w:szCs w:val="21"/>
          <w:spacing w:val="-29"/>
        </w:rPr>
        <w:t xml:space="preserve"> </w:t>
      </w:r>
      <w:r>
        <w:rPr>
          <w:rFonts w:ascii="SimSun" w:hAnsi="SimSun" w:eastAsia="SimSun" w:cs="SimSun"/>
          <w:sz w:val="21"/>
          <w:szCs w:val="21"/>
          <w:spacing w:val="-2"/>
        </w:rPr>
        <w:t>较上年末增长超</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2"/>
        </w:rPr>
        <w:t>13 </w:t>
      </w:r>
      <w:r>
        <w:rPr>
          <w:rFonts w:ascii="SimSun" w:hAnsi="SimSun" w:eastAsia="SimSun" w:cs="SimSun"/>
          <w:sz w:val="21"/>
          <w:szCs w:val="21"/>
          <w:spacing w:val="-2"/>
        </w:rPr>
        <w:t>倍。大力发</w:t>
      </w:r>
      <w:r>
        <w:rPr>
          <w:rFonts w:ascii="SimSun" w:hAnsi="SimSun" w:eastAsia="SimSun" w:cs="SimSun"/>
          <w:sz w:val="21"/>
          <w:szCs w:val="21"/>
          <w:spacing w:val="-3"/>
        </w:rPr>
        <w:t>展"交通银行"微信小程序、云管家等新媒体渠道,</w:t>
      </w:r>
      <w:r>
        <w:rPr>
          <w:rFonts w:ascii="SimSun" w:hAnsi="SimSun" w:eastAsia="SimSun" w:cs="SimSun"/>
          <w:sz w:val="21"/>
          <w:szCs w:val="21"/>
        </w:rPr>
        <w:t xml:space="preserve">  </w:t>
      </w:r>
      <w:r>
        <w:rPr>
          <w:rFonts w:ascii="SimSun" w:hAnsi="SimSun" w:eastAsia="SimSun" w:cs="SimSun"/>
          <w:sz w:val="21"/>
          <w:szCs w:val="21"/>
          <w:spacing w:val="6"/>
        </w:rPr>
        <w:t>提升渠道获新转化与经营能力。报告期末,"交通银行"微信小程序服务客户</w:t>
      </w:r>
      <w:r>
        <w:rPr>
          <w:rFonts w:ascii="SimSun" w:hAnsi="SimSun" w:eastAsia="SimSun" w:cs="SimSun"/>
          <w:sz w:val="21"/>
          <w:szCs w:val="21"/>
          <w:spacing w:val="5"/>
        </w:rPr>
        <w:t>规模 </w:t>
      </w:r>
      <w:r>
        <w:rPr>
          <w:rFonts w:ascii="Times New Roman" w:hAnsi="Times New Roman" w:eastAsia="Times New Roman" w:cs="Times New Roman"/>
          <w:sz w:val="21"/>
          <w:szCs w:val="21"/>
          <w:spacing w:val="5"/>
        </w:rPr>
        <w:t>2,366.23</w:t>
      </w:r>
      <w:r>
        <w:rPr>
          <w:rFonts w:ascii="Times New Roman" w:hAnsi="Times New Roman" w:eastAsia="Times New Roman" w:cs="Times New Roman"/>
          <w:sz w:val="21"/>
          <w:szCs w:val="21"/>
        </w:rPr>
        <w:t xml:space="preserve">  </w:t>
      </w:r>
      <w:r>
        <w:rPr>
          <w:rFonts w:ascii="SimSun" w:hAnsi="SimSun" w:eastAsia="SimSun" w:cs="SimSun"/>
          <w:sz w:val="21"/>
          <w:szCs w:val="21"/>
          <w:spacing w:val="5"/>
        </w:rPr>
        <w:t>万人,较上年</w:t>
      </w:r>
      <w:r>
        <w:rPr>
          <w:rFonts w:ascii="SimSun" w:hAnsi="SimSun" w:eastAsia="SimSun" w:cs="SimSun"/>
          <w:sz w:val="21"/>
          <w:szCs w:val="21"/>
        </w:rPr>
        <w:t xml:space="preserve"> </w:t>
      </w:r>
      <w:r>
        <w:rPr>
          <w:rFonts w:ascii="SimSun" w:hAnsi="SimSun" w:eastAsia="SimSun" w:cs="SimSun"/>
          <w:sz w:val="21"/>
          <w:szCs w:val="21"/>
          <w:spacing w:val="3"/>
        </w:rPr>
        <w:t>末增长</w:t>
      </w:r>
      <w:r>
        <w:rPr>
          <w:rFonts w:ascii="SimSun" w:hAnsi="SimSun" w:eastAsia="SimSun" w:cs="SimSun"/>
          <w:sz w:val="21"/>
          <w:szCs w:val="21"/>
          <w:spacing w:val="-38"/>
        </w:rPr>
        <w:t xml:space="preserve"> </w:t>
      </w:r>
      <w:r>
        <w:rPr>
          <w:rFonts w:ascii="Times New Roman" w:hAnsi="Times New Roman" w:eastAsia="Times New Roman" w:cs="Times New Roman"/>
          <w:sz w:val="21"/>
          <w:szCs w:val="21"/>
          <w:spacing w:val="3"/>
        </w:rPr>
        <w:t>90.08%</w:t>
      </w:r>
      <w:r>
        <w:rPr>
          <w:rFonts w:ascii="SimSun" w:hAnsi="SimSun" w:eastAsia="SimSun" w:cs="SimSun"/>
          <w:sz w:val="21"/>
          <w:szCs w:val="21"/>
          <w:spacing w:val="3"/>
        </w:rPr>
        <w:t>。不断丰富云管家服务能力,服务用户规模</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3"/>
        </w:rPr>
        <w:t>550.31 </w:t>
      </w:r>
      <w:r>
        <w:rPr>
          <w:rFonts w:ascii="SimSun" w:hAnsi="SimSun" w:eastAsia="SimSun" w:cs="SimSun"/>
          <w:sz w:val="21"/>
          <w:szCs w:val="21"/>
          <w:spacing w:val="3"/>
        </w:rPr>
        <w:t>万人,较上年末增长</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3"/>
        </w:rPr>
        <w:t>132.35%</w:t>
      </w:r>
      <w:r>
        <w:rPr>
          <w:rFonts w:ascii="SimSun" w:hAnsi="SimSun" w:eastAsia="SimSun" w:cs="SimSun"/>
          <w:sz w:val="21"/>
          <w:szCs w:val="21"/>
          <w:spacing w:val="3"/>
        </w:rPr>
        <w:t>。</w:t>
      </w:r>
    </w:p>
    <w:p>
      <w:pPr>
        <w:pStyle w:val="BodyText"/>
        <w:rPr/>
      </w:pPr>
      <w:r/>
    </w:p>
    <w:p>
      <w:pPr>
        <w:ind w:left="535"/>
        <w:spacing w:before="69" w:line="221" w:lineRule="auto"/>
        <w:rPr>
          <w:rFonts w:ascii="SimSun" w:hAnsi="SimSun" w:eastAsia="SimSun" w:cs="SimSun"/>
          <w:sz w:val="21"/>
          <w:szCs w:val="21"/>
        </w:rPr>
      </w:pPr>
      <w:r>
        <w:rPr>
          <w:rFonts w:ascii="SimSun" w:hAnsi="SimSun" w:eastAsia="SimSun" w:cs="SimSun"/>
          <w:sz w:val="21"/>
          <w:szCs w:val="21"/>
          <w:b/>
          <w:bCs/>
          <w:spacing w:val="5"/>
        </w:rPr>
        <w:t>(八)金融科技与数字化转型</w:t>
      </w:r>
    </w:p>
    <w:p>
      <w:pPr>
        <w:ind w:left="1" w:right="69" w:firstLine="433"/>
        <w:spacing w:before="308" w:line="293" w:lineRule="auto"/>
        <w:jc w:val="both"/>
        <w:rPr>
          <w:rFonts w:ascii="SimSun" w:hAnsi="SimSun" w:eastAsia="SimSun" w:cs="SimSun"/>
          <w:sz w:val="21"/>
          <w:szCs w:val="21"/>
        </w:rPr>
      </w:pPr>
      <w:r>
        <w:rPr>
          <w:rFonts w:ascii="SimSun" w:hAnsi="SimSun" w:eastAsia="SimSun" w:cs="SimSun"/>
          <w:sz w:val="21"/>
          <w:szCs w:val="21"/>
          <w:spacing w:val="-3"/>
        </w:rPr>
        <w:t>◆聚焦价值创造和零售先行, 深化数字化、企业级思维,</w:t>
      </w:r>
      <w:r>
        <w:rPr>
          <w:rFonts w:ascii="SimSun" w:hAnsi="SimSun" w:eastAsia="SimSun" w:cs="SimSun"/>
          <w:sz w:val="21"/>
          <w:szCs w:val="21"/>
          <w:spacing w:val="65"/>
        </w:rPr>
        <w:t xml:space="preserve"> </w:t>
      </w:r>
      <w:r>
        <w:rPr>
          <w:rFonts w:ascii="SimSun" w:hAnsi="SimSun" w:eastAsia="SimSun" w:cs="SimSun"/>
          <w:sz w:val="21"/>
          <w:szCs w:val="21"/>
          <w:spacing w:val="-3"/>
        </w:rPr>
        <w:t>以信息技术和数据要素双轮驱动,</w:t>
      </w:r>
      <w:r>
        <w:rPr>
          <w:rFonts w:ascii="SimSun" w:hAnsi="SimSun" w:eastAsia="SimSun" w:cs="SimSun"/>
          <w:sz w:val="21"/>
          <w:szCs w:val="21"/>
          <w:spacing w:val="29"/>
        </w:rPr>
        <w:t xml:space="preserve"> </w:t>
      </w:r>
      <w:r>
        <w:rPr>
          <w:rFonts w:ascii="SimSun" w:hAnsi="SimSun" w:eastAsia="SimSun" w:cs="SimSun"/>
          <w:sz w:val="21"/>
          <w:szCs w:val="21"/>
          <w:spacing w:val="-3"/>
        </w:rPr>
        <w:t>建强数字</w:t>
      </w:r>
      <w:r>
        <w:rPr>
          <w:rFonts w:ascii="SimSun" w:hAnsi="SimSun" w:eastAsia="SimSun" w:cs="SimSun"/>
          <w:sz w:val="21"/>
          <w:szCs w:val="21"/>
        </w:rPr>
        <w:t xml:space="preserve"> </w:t>
      </w:r>
      <w:r>
        <w:rPr>
          <w:rFonts w:ascii="SimSun" w:hAnsi="SimSun" w:eastAsia="SimSun" w:cs="SimSun"/>
          <w:sz w:val="21"/>
          <w:szCs w:val="21"/>
        </w:rPr>
        <w:t>化转型业务与技术平台支撑能力, 加快场景生态体</w:t>
      </w:r>
      <w:r>
        <w:rPr>
          <w:rFonts w:ascii="SimSun" w:hAnsi="SimSun" w:eastAsia="SimSun" w:cs="SimSun"/>
          <w:sz w:val="21"/>
          <w:szCs w:val="21"/>
          <w:spacing w:val="-1"/>
        </w:rPr>
        <w:t>系建设, 构建线上线下一体化经营新模式。着力提升灵</w:t>
      </w:r>
      <w:r>
        <w:rPr>
          <w:rFonts w:ascii="SimSun" w:hAnsi="SimSun" w:eastAsia="SimSun" w:cs="SimSun"/>
          <w:sz w:val="21"/>
          <w:szCs w:val="21"/>
        </w:rPr>
        <w:t xml:space="preserve"> </w:t>
      </w:r>
      <w:r>
        <w:rPr>
          <w:rFonts w:ascii="SimSun" w:hAnsi="SimSun" w:eastAsia="SimSun" w:cs="SimSun"/>
          <w:sz w:val="21"/>
          <w:szCs w:val="21"/>
        </w:rPr>
        <w:t>活敏捷的产品创新能力、开放协同的渠道服务能</w:t>
      </w:r>
      <w:r>
        <w:rPr>
          <w:rFonts w:ascii="SimSun" w:hAnsi="SimSun" w:eastAsia="SimSun" w:cs="SimSun"/>
          <w:sz w:val="21"/>
          <w:szCs w:val="21"/>
          <w:spacing w:val="-1"/>
        </w:rPr>
        <w:t>力、精准智能的经营管理能力, 促进数字化经营整体能力</w:t>
      </w:r>
      <w:r>
        <w:rPr>
          <w:rFonts w:ascii="SimSun" w:hAnsi="SimSun" w:eastAsia="SimSun" w:cs="SimSun"/>
          <w:sz w:val="21"/>
          <w:szCs w:val="21"/>
        </w:rPr>
        <w:t xml:space="preserve"> </w:t>
      </w:r>
      <w:r>
        <w:rPr>
          <w:rFonts w:ascii="SimSun" w:hAnsi="SimSun" w:eastAsia="SimSun" w:cs="SimSun"/>
          <w:sz w:val="21"/>
          <w:szCs w:val="21"/>
          <w:spacing w:val="-8"/>
        </w:rPr>
        <w:t>跃升。</w:t>
      </w:r>
    </w:p>
    <w:p>
      <w:pPr>
        <w:ind w:right="72" w:firstLine="434"/>
        <w:spacing w:before="308" w:line="285" w:lineRule="auto"/>
        <w:rPr>
          <w:rFonts w:ascii="SimSun" w:hAnsi="SimSun" w:eastAsia="SimSun" w:cs="SimSun"/>
          <w:sz w:val="21"/>
          <w:szCs w:val="21"/>
        </w:rPr>
      </w:pPr>
      <w:r>
        <w:rPr>
          <w:rFonts w:ascii="SimSun" w:hAnsi="SimSun" w:eastAsia="SimSun" w:cs="SimSun"/>
          <w:sz w:val="21"/>
          <w:szCs w:val="21"/>
          <w:spacing w:val="-4"/>
        </w:rPr>
        <w:t>◆报告期内, 本行金融科技投入</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4"/>
        </w:rPr>
        <w:t>116.31 </w:t>
      </w:r>
      <w:r>
        <w:rPr>
          <w:rFonts w:ascii="SimSun" w:hAnsi="SimSun" w:eastAsia="SimSun" w:cs="SimSun"/>
          <w:sz w:val="21"/>
          <w:szCs w:val="21"/>
          <w:spacing w:val="-4"/>
        </w:rPr>
        <w:t>亿元,</w:t>
      </w:r>
      <w:r>
        <w:rPr>
          <w:rFonts w:ascii="SimSun" w:hAnsi="SimSun" w:eastAsia="SimSun" w:cs="SimSun"/>
          <w:sz w:val="21"/>
          <w:szCs w:val="21"/>
          <w:spacing w:val="23"/>
        </w:rPr>
        <w:t xml:space="preserve"> </w:t>
      </w:r>
      <w:r>
        <w:rPr>
          <w:rFonts w:ascii="SimSun" w:hAnsi="SimSun" w:eastAsia="SimSun" w:cs="SimSun"/>
          <w:sz w:val="21"/>
          <w:szCs w:val="21"/>
          <w:spacing w:val="-4"/>
        </w:rPr>
        <w:t>同比增长</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4"/>
        </w:rPr>
        <w:t>32.93%</w:t>
      </w:r>
      <w:r>
        <w:rPr>
          <w:rFonts w:ascii="SimSun" w:hAnsi="SimSun" w:eastAsia="SimSun" w:cs="SimSun"/>
          <w:sz w:val="21"/>
          <w:szCs w:val="21"/>
          <w:spacing w:val="-4"/>
        </w:rPr>
        <w:t>; 为</w:t>
      </w:r>
      <w:r>
        <w:rPr>
          <w:rFonts w:ascii="SimSun" w:hAnsi="SimSun" w:eastAsia="SimSun" w:cs="SimSun"/>
          <w:sz w:val="21"/>
          <w:szCs w:val="21"/>
          <w:spacing w:val="-5"/>
        </w:rPr>
        <w:t>营业收入的</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5"/>
        </w:rPr>
        <w:t>5.26%</w:t>
      </w:r>
      <w:r>
        <w:rPr>
          <w:rFonts w:ascii="SimSun" w:hAnsi="SimSun" w:eastAsia="SimSun" w:cs="SimSun"/>
          <w:sz w:val="21"/>
          <w:szCs w:val="21"/>
          <w:spacing w:val="-5"/>
        </w:rPr>
        <w:t>,</w:t>
      </w:r>
      <w:r>
        <w:rPr>
          <w:rFonts w:ascii="SimSun" w:hAnsi="SimSun" w:eastAsia="SimSun" w:cs="SimSun"/>
          <w:sz w:val="21"/>
          <w:szCs w:val="21"/>
          <w:spacing w:val="26"/>
        </w:rPr>
        <w:t xml:space="preserve"> </w:t>
      </w:r>
      <w:r>
        <w:rPr>
          <w:rFonts w:ascii="SimSun" w:hAnsi="SimSun" w:eastAsia="SimSun" w:cs="SimSun"/>
          <w:sz w:val="21"/>
          <w:szCs w:val="21"/>
          <w:spacing w:val="-5"/>
        </w:rPr>
        <w:t>同比上升</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5"/>
        </w:rPr>
        <w:t>1.22</w:t>
      </w:r>
      <w:r>
        <w:rPr>
          <w:rFonts w:ascii="Times New Roman" w:hAnsi="Times New Roman" w:eastAsia="Times New Roman" w:cs="Times New Roman"/>
          <w:sz w:val="21"/>
          <w:szCs w:val="21"/>
        </w:rPr>
        <w:t xml:space="preserve"> </w:t>
      </w:r>
      <w:r>
        <w:rPr>
          <w:rFonts w:ascii="SimSun" w:hAnsi="SimSun" w:eastAsia="SimSun" w:cs="SimSun"/>
          <w:sz w:val="21"/>
          <w:szCs w:val="21"/>
          <w:spacing w:val="-5"/>
        </w:rPr>
        <w:t>个百分点。报告期末,本集团金融科技人员</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5"/>
        </w:rPr>
        <w:t>5,862 </w:t>
      </w:r>
      <w:r>
        <w:rPr>
          <w:rFonts w:ascii="SimSun" w:hAnsi="SimSun" w:eastAsia="SimSun" w:cs="SimSun"/>
          <w:sz w:val="21"/>
          <w:szCs w:val="21"/>
          <w:spacing w:val="-5"/>
        </w:rPr>
        <w:t>人,较上年末增长</w:t>
      </w:r>
      <w:r>
        <w:rPr>
          <w:rFonts w:ascii="SimSun" w:hAnsi="SimSun" w:eastAsia="SimSun" w:cs="SimSun"/>
          <w:sz w:val="21"/>
          <w:szCs w:val="21"/>
          <w:spacing w:val="-50"/>
        </w:rPr>
        <w:t xml:space="preserve"> </w:t>
      </w:r>
      <w:r>
        <w:rPr>
          <w:rFonts w:ascii="Times New Roman" w:hAnsi="Times New Roman" w:eastAsia="Times New Roman" w:cs="Times New Roman"/>
          <w:sz w:val="21"/>
          <w:szCs w:val="21"/>
          <w:spacing w:val="-5"/>
        </w:rPr>
        <w:t>29.15%</w:t>
      </w:r>
      <w:r>
        <w:rPr>
          <w:rFonts w:ascii="Times New Roman" w:hAnsi="Times New Roman" w:eastAsia="Times New Roman" w:cs="Times New Roman"/>
          <w:sz w:val="21"/>
          <w:szCs w:val="21"/>
          <w:spacing w:val="-30"/>
        </w:rPr>
        <w:t xml:space="preserve"> </w:t>
      </w:r>
      <w:r>
        <w:rPr>
          <w:rFonts w:ascii="SimSun" w:hAnsi="SimSun" w:eastAsia="SimSun" w:cs="SimSun"/>
          <w:sz w:val="21"/>
          <w:szCs w:val="21"/>
          <w:spacing w:val="-5"/>
        </w:rPr>
        <w:t>,</w:t>
      </w:r>
      <w:r>
        <w:rPr>
          <w:rFonts w:ascii="SimSun" w:hAnsi="SimSun" w:eastAsia="SimSun" w:cs="SimSun"/>
          <w:sz w:val="21"/>
          <w:szCs w:val="21"/>
          <w:spacing w:val="-40"/>
        </w:rPr>
        <w:t xml:space="preserve"> </w:t>
      </w:r>
      <w:r>
        <w:rPr>
          <w:rFonts w:ascii="SimSun" w:hAnsi="SimSun" w:eastAsia="SimSun" w:cs="SimSun"/>
          <w:sz w:val="21"/>
          <w:szCs w:val="21"/>
          <w:spacing w:val="-5"/>
        </w:rPr>
        <w:t>占集团员工总人数比例</w:t>
      </w:r>
      <w:r>
        <w:rPr>
          <w:rFonts w:ascii="SimSun" w:hAnsi="SimSun" w:eastAsia="SimSun" w:cs="SimSun"/>
          <w:sz w:val="21"/>
          <w:szCs w:val="21"/>
          <w:spacing w:val="-45"/>
        </w:rPr>
        <w:t xml:space="preserve"> </w:t>
      </w:r>
      <w:r>
        <w:rPr>
          <w:rFonts w:ascii="Times New Roman" w:hAnsi="Times New Roman" w:eastAsia="Times New Roman" w:cs="Times New Roman"/>
          <w:sz w:val="21"/>
          <w:szCs w:val="21"/>
          <w:spacing w:val="-5"/>
        </w:rPr>
        <w:t>6.38%</w:t>
      </w:r>
      <w:r>
        <w:rPr>
          <w:rFonts w:ascii="Times New Roman" w:hAnsi="Times New Roman" w:eastAsia="Times New Roman" w:cs="Times New Roman"/>
          <w:sz w:val="21"/>
          <w:szCs w:val="21"/>
          <w:spacing w:val="-30"/>
        </w:rPr>
        <w:t xml:space="preserve"> </w:t>
      </w:r>
      <w:r>
        <w:rPr>
          <w:rFonts w:ascii="SimSun" w:hAnsi="SimSun" w:eastAsia="SimSun" w:cs="SimSun"/>
          <w:sz w:val="21"/>
          <w:szCs w:val="21"/>
          <w:spacing w:val="-5"/>
        </w:rPr>
        <w:t>,</w:t>
      </w:r>
      <w:r>
        <w:rPr>
          <w:rFonts w:ascii="SimSun" w:hAnsi="SimSun" w:eastAsia="SimSun" w:cs="SimSun"/>
          <w:sz w:val="21"/>
          <w:szCs w:val="21"/>
        </w:rPr>
        <w:t xml:space="preserve">  </w:t>
      </w:r>
      <w:r>
        <w:rPr>
          <w:rFonts w:ascii="SimSun" w:hAnsi="SimSun" w:eastAsia="SimSun" w:cs="SimSun"/>
          <w:sz w:val="21"/>
          <w:szCs w:val="21"/>
          <w:spacing w:val="-3"/>
        </w:rPr>
        <w:t>较上年末上升</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3"/>
        </w:rPr>
        <w:t>1.35 </w:t>
      </w:r>
      <w:r>
        <w:rPr>
          <w:rFonts w:ascii="SimSun" w:hAnsi="SimSun" w:eastAsia="SimSun" w:cs="SimSun"/>
          <w:sz w:val="21"/>
          <w:szCs w:val="21"/>
          <w:spacing w:val="-3"/>
        </w:rPr>
        <w:t>个百分点。</w:t>
      </w:r>
    </w:p>
    <w:p>
      <w:pPr>
        <w:spacing w:line="285" w:lineRule="auto"/>
        <w:sectPr>
          <w:footerReference w:type="default" r:id="rId45"/>
          <w:pgSz w:w="11907" w:h="16839"/>
          <w:pgMar w:top="1196" w:right="1058" w:bottom="1375" w:left="1140" w:header="0" w:footer="1211" w:gutter="0"/>
        </w:sectPr>
        <w:rPr>
          <w:rFonts w:ascii="SimSun" w:hAnsi="SimSun" w:eastAsia="SimSun" w:cs="SimSun"/>
          <w:sz w:val="21"/>
          <w:szCs w:val="21"/>
        </w:rPr>
      </w:pPr>
    </w:p>
    <w:p>
      <w:pPr>
        <w:ind w:left="429"/>
        <w:spacing w:before="42"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3"/>
        </w:rPr>
        <w:t>1.</w:t>
      </w:r>
      <w:r>
        <w:rPr>
          <w:rFonts w:ascii="SimSun" w:hAnsi="SimSun" w:eastAsia="SimSun" w:cs="SimSun"/>
          <w:sz w:val="21"/>
          <w:szCs w:val="21"/>
          <w:b/>
          <w:bCs/>
          <w:spacing w:val="-3"/>
        </w:rPr>
        <w:t>赋能产品与服务创新</w:t>
      </w:r>
    </w:p>
    <w:p>
      <w:pPr>
        <w:ind w:right="2" w:firstLine="419"/>
        <w:spacing w:before="309" w:line="284" w:lineRule="auto"/>
        <w:rPr>
          <w:rFonts w:ascii="SimSun" w:hAnsi="SimSun" w:eastAsia="SimSun" w:cs="SimSun"/>
          <w:sz w:val="21"/>
          <w:szCs w:val="21"/>
        </w:rPr>
      </w:pPr>
      <w:r>
        <w:rPr>
          <w:rFonts w:ascii="SimSun" w:hAnsi="SimSun" w:eastAsia="SimSun" w:cs="SimSun"/>
          <w:sz w:val="21"/>
          <w:szCs w:val="21"/>
          <w:spacing w:val="2"/>
        </w:rPr>
        <w:t>优政方面, 在网点推出"交政通"</w:t>
      </w:r>
      <w:r>
        <w:rPr>
          <w:rFonts w:ascii="SimSun" w:hAnsi="SimSun" w:eastAsia="SimSun" w:cs="SimSun"/>
          <w:sz w:val="21"/>
          <w:szCs w:val="21"/>
          <w:spacing w:val="-36"/>
        </w:rPr>
        <w:t xml:space="preserve"> </w:t>
      </w:r>
      <w:r>
        <w:rPr>
          <w:rFonts w:ascii="SimSun" w:hAnsi="SimSun" w:eastAsia="SimSun" w:cs="SimSun"/>
          <w:sz w:val="21"/>
          <w:szCs w:val="21"/>
          <w:spacing w:val="2"/>
        </w:rPr>
        <w:t>服务, 打造百姓身边的"政务办事大厅"。报告期末,</w:t>
      </w:r>
      <w:r>
        <w:rPr>
          <w:rFonts w:ascii="SimSun" w:hAnsi="SimSun" w:eastAsia="SimSun" w:cs="SimSun"/>
          <w:sz w:val="21"/>
          <w:szCs w:val="21"/>
          <w:spacing w:val="45"/>
        </w:rPr>
        <w:t xml:space="preserve"> </w:t>
      </w:r>
      <w:r>
        <w:rPr>
          <w:rFonts w:ascii="SimSun" w:hAnsi="SimSun" w:eastAsia="SimSun" w:cs="SimSun"/>
          <w:sz w:val="21"/>
          <w:szCs w:val="21"/>
          <w:spacing w:val="2"/>
        </w:rPr>
        <w:t>已有</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2"/>
        </w:rPr>
        <w:t>1,82</w:t>
      </w:r>
      <w:r>
        <w:rPr>
          <w:rFonts w:ascii="Times New Roman" w:hAnsi="Times New Roman" w:eastAsia="Times New Roman" w:cs="Times New Roman"/>
          <w:sz w:val="21"/>
          <w:szCs w:val="21"/>
          <w:spacing w:val="1"/>
        </w:rPr>
        <w:t>6 </w:t>
      </w:r>
      <w:r>
        <w:rPr>
          <w:rFonts w:ascii="SimSun" w:hAnsi="SimSun" w:eastAsia="SimSun" w:cs="SimSun"/>
          <w:sz w:val="21"/>
          <w:szCs w:val="21"/>
          <w:spacing w:val="1"/>
        </w:rPr>
        <w:t>个</w:t>
      </w:r>
      <w:r>
        <w:rPr>
          <w:rFonts w:ascii="SimSun" w:hAnsi="SimSun" w:eastAsia="SimSun" w:cs="SimSun"/>
          <w:sz w:val="21"/>
          <w:szCs w:val="21"/>
        </w:rPr>
        <w:t xml:space="preserve"> </w:t>
      </w:r>
      <w:r>
        <w:rPr>
          <w:rFonts w:ascii="SimSun" w:hAnsi="SimSun" w:eastAsia="SimSun" w:cs="SimSun"/>
          <w:sz w:val="21"/>
          <w:szCs w:val="21"/>
          <w:spacing w:val="1"/>
        </w:rPr>
        <w:t>营业网点上线了地方政务服务事项,</w:t>
      </w:r>
      <w:r>
        <w:rPr>
          <w:rFonts w:ascii="SimSun" w:hAnsi="SimSun" w:eastAsia="SimSun" w:cs="SimSun"/>
          <w:sz w:val="21"/>
          <w:szCs w:val="21"/>
          <w:spacing w:val="45"/>
        </w:rPr>
        <w:t xml:space="preserve"> </w:t>
      </w:r>
      <w:r>
        <w:rPr>
          <w:rFonts w:ascii="SimSun" w:hAnsi="SimSun" w:eastAsia="SimSun" w:cs="SimSun"/>
          <w:sz w:val="21"/>
          <w:szCs w:val="21"/>
          <w:spacing w:val="1"/>
        </w:rPr>
        <w:t>网点覆盖率</w:t>
      </w:r>
      <w:r>
        <w:rPr>
          <w:rFonts w:ascii="SimSun" w:hAnsi="SimSun" w:eastAsia="SimSun" w:cs="SimSun"/>
          <w:sz w:val="21"/>
          <w:szCs w:val="21"/>
          <w:spacing w:val="-32"/>
        </w:rPr>
        <w:t xml:space="preserve"> </w:t>
      </w:r>
      <w:r>
        <w:rPr>
          <w:rFonts w:ascii="Times New Roman" w:hAnsi="Times New Roman" w:eastAsia="Times New Roman" w:cs="Times New Roman"/>
          <w:sz w:val="21"/>
          <w:szCs w:val="21"/>
          <w:spacing w:val="1"/>
        </w:rPr>
        <w:t>64.3%</w:t>
      </w:r>
      <w:r>
        <w:rPr>
          <w:rFonts w:ascii="SimSun" w:hAnsi="SimSun" w:eastAsia="SimSun" w:cs="SimSun"/>
          <w:sz w:val="21"/>
          <w:szCs w:val="21"/>
          <w:spacing w:val="1"/>
        </w:rPr>
        <w:t>,长三角地区分行及广东省分行实现网点全覆盖。</w:t>
      </w:r>
      <w:r>
        <w:rPr>
          <w:rFonts w:ascii="SimSun" w:hAnsi="SimSun" w:eastAsia="SimSun" w:cs="SimSun"/>
          <w:sz w:val="21"/>
          <w:szCs w:val="21"/>
        </w:rPr>
        <w:t xml:space="preserve"> </w:t>
      </w:r>
      <w:r>
        <w:rPr>
          <w:rFonts w:ascii="SimSun" w:hAnsi="SimSun" w:eastAsia="SimSun" w:cs="SimSun"/>
          <w:sz w:val="21"/>
          <w:szCs w:val="21"/>
          <w:spacing w:val="3"/>
        </w:rPr>
        <w:t>积极推动人民币跨境支付系统标准收发器在跨境金融场景中的</w:t>
      </w:r>
      <w:r>
        <w:rPr>
          <w:rFonts w:ascii="SimSun" w:hAnsi="SimSun" w:eastAsia="SimSun" w:cs="SimSun"/>
          <w:sz w:val="21"/>
          <w:szCs w:val="21"/>
          <w:spacing w:val="2"/>
        </w:rPr>
        <w:t>应用,推进生态圈建设。</w:t>
      </w:r>
    </w:p>
    <w:p>
      <w:pPr>
        <w:pStyle w:val="BodyText"/>
        <w:rPr/>
      </w:pPr>
      <w:r/>
    </w:p>
    <w:p>
      <w:pPr>
        <w:ind w:right="2" w:firstLine="421"/>
        <w:spacing w:before="69" w:line="292" w:lineRule="auto"/>
        <w:jc w:val="both"/>
        <w:rPr>
          <w:rFonts w:ascii="SimSun" w:hAnsi="SimSun" w:eastAsia="SimSun" w:cs="SimSun"/>
          <w:sz w:val="21"/>
          <w:szCs w:val="21"/>
        </w:rPr>
      </w:pPr>
      <w:r>
        <w:rPr>
          <w:rFonts w:ascii="SimSun" w:hAnsi="SimSun" w:eastAsia="SimSun" w:cs="SimSun"/>
          <w:sz w:val="21"/>
          <w:szCs w:val="21"/>
          <w:spacing w:val="3"/>
        </w:rPr>
        <w:t>利企方面,聚焦民生消费、小微企业、乡村振兴等领域的金融需求,</w:t>
      </w:r>
      <w:r>
        <w:rPr>
          <w:rFonts w:ascii="SimSun" w:hAnsi="SimSun" w:eastAsia="SimSun" w:cs="SimSun"/>
          <w:sz w:val="21"/>
          <w:szCs w:val="21"/>
          <w:spacing w:val="47"/>
        </w:rPr>
        <w:t xml:space="preserve"> </w:t>
      </w:r>
      <w:r>
        <w:rPr>
          <w:rFonts w:ascii="SimSun" w:hAnsi="SimSun" w:eastAsia="SimSun" w:cs="SimSun"/>
          <w:sz w:val="21"/>
          <w:szCs w:val="21"/>
          <w:spacing w:val="3"/>
        </w:rPr>
        <w:t>落实金融普惠与服务民生。"普</w:t>
      </w:r>
      <w:r>
        <w:rPr>
          <w:rFonts w:ascii="SimSun" w:hAnsi="SimSun" w:eastAsia="SimSun" w:cs="SimSun"/>
          <w:sz w:val="21"/>
          <w:szCs w:val="21"/>
        </w:rPr>
        <w:t xml:space="preserve"> </w:t>
      </w:r>
      <w:r>
        <w:rPr>
          <w:rFonts w:ascii="SimSun" w:hAnsi="SimSun" w:eastAsia="SimSun" w:cs="SimSun"/>
          <w:sz w:val="21"/>
          <w:szCs w:val="21"/>
          <w:spacing w:val="2"/>
        </w:rPr>
        <w:t>惠</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2"/>
        </w:rPr>
        <w:t>e </w:t>
      </w:r>
      <w:r>
        <w:rPr>
          <w:rFonts w:ascii="SimSun" w:hAnsi="SimSun" w:eastAsia="SimSun" w:cs="SimSun"/>
          <w:sz w:val="21"/>
          <w:szCs w:val="21"/>
          <w:spacing w:val="2"/>
        </w:rPr>
        <w:t>贷"</w:t>
      </w:r>
      <w:r>
        <w:rPr>
          <w:rFonts w:ascii="SimSun" w:hAnsi="SimSun" w:eastAsia="SimSun" w:cs="SimSun"/>
          <w:sz w:val="21"/>
          <w:szCs w:val="21"/>
          <w:spacing w:val="59"/>
        </w:rPr>
        <w:t xml:space="preserve"> </w:t>
      </w:r>
      <w:r>
        <w:rPr>
          <w:rFonts w:ascii="SimSun" w:hAnsi="SimSun" w:eastAsia="SimSun" w:cs="SimSun"/>
          <w:sz w:val="21"/>
          <w:szCs w:val="21"/>
          <w:spacing w:val="2"/>
        </w:rPr>
        <w:t>优化全线上流程, 保障疫情期间业务正</w:t>
      </w:r>
      <w:r>
        <w:rPr>
          <w:rFonts w:ascii="SimSun" w:hAnsi="SimSun" w:eastAsia="SimSun" w:cs="SimSun"/>
          <w:sz w:val="21"/>
          <w:szCs w:val="21"/>
          <w:spacing w:val="1"/>
        </w:rPr>
        <w:t>常办理;"兴农</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1"/>
        </w:rPr>
        <w:t>e </w:t>
      </w:r>
      <w:r>
        <w:rPr>
          <w:rFonts w:ascii="SimSun" w:hAnsi="SimSun" w:eastAsia="SimSun" w:cs="SimSun"/>
          <w:sz w:val="21"/>
          <w:szCs w:val="21"/>
          <w:spacing w:val="1"/>
        </w:rPr>
        <w:t>贷"</w:t>
      </w:r>
      <w:r>
        <w:rPr>
          <w:rFonts w:ascii="SimSun" w:hAnsi="SimSun" w:eastAsia="SimSun" w:cs="SimSun"/>
          <w:sz w:val="21"/>
          <w:szCs w:val="21"/>
          <w:spacing w:val="60"/>
        </w:rPr>
        <w:t xml:space="preserve"> </w:t>
      </w:r>
      <w:r>
        <w:rPr>
          <w:rFonts w:ascii="SimSun" w:hAnsi="SimSun" w:eastAsia="SimSun" w:cs="SimSun"/>
          <w:sz w:val="21"/>
          <w:szCs w:val="21"/>
          <w:spacing w:val="1"/>
        </w:rPr>
        <w:t>持续丰富乡村振兴产品体系; 线上</w:t>
      </w:r>
      <w:r>
        <w:rPr>
          <w:rFonts w:ascii="SimSun" w:hAnsi="SimSun" w:eastAsia="SimSun" w:cs="SimSun"/>
          <w:sz w:val="21"/>
          <w:szCs w:val="21"/>
        </w:rPr>
        <w:t xml:space="preserve"> </w:t>
      </w:r>
      <w:r>
        <w:rPr>
          <w:rFonts w:ascii="SimSun" w:hAnsi="SimSun" w:eastAsia="SimSun" w:cs="SimSun"/>
          <w:sz w:val="21"/>
          <w:szCs w:val="21"/>
          <w:spacing w:val="-1"/>
        </w:rPr>
        <w:t>产业链金融服务为中小微企业融资纾困; </w:t>
      </w:r>
      <w:r>
        <w:rPr>
          <w:rFonts w:ascii="Times New Roman" w:hAnsi="Times New Roman" w:eastAsia="Times New Roman" w:cs="Times New Roman"/>
          <w:sz w:val="21"/>
          <w:szCs w:val="21"/>
          <w:spacing w:val="-1"/>
        </w:rPr>
        <w:t>B2B </w:t>
      </w:r>
      <w:r>
        <w:rPr>
          <w:rFonts w:ascii="SimSun" w:hAnsi="SimSun" w:eastAsia="SimSun" w:cs="SimSun"/>
          <w:sz w:val="21"/>
          <w:szCs w:val="21"/>
          <w:spacing w:val="-1"/>
        </w:rPr>
        <w:t>支付项目首批上线银企付、跨境电商、电费管家和要素市场</w:t>
      </w:r>
      <w:r>
        <w:rPr>
          <w:rFonts w:ascii="SimSun" w:hAnsi="SimSun" w:eastAsia="SimSun" w:cs="SimSun"/>
          <w:sz w:val="21"/>
          <w:szCs w:val="21"/>
          <w:spacing w:val="4"/>
        </w:rPr>
        <w:t xml:space="preserve"> </w:t>
      </w:r>
      <w:r>
        <w:rPr>
          <w:rFonts w:ascii="SimSun" w:hAnsi="SimSun" w:eastAsia="SimSun" w:cs="SimSun"/>
          <w:sz w:val="21"/>
          <w:szCs w:val="21"/>
          <w:spacing w:val="2"/>
        </w:rPr>
        <w:t>结算等四项可售产品,同步对接阿里、腾讯等</w:t>
      </w:r>
      <w:r>
        <w:rPr>
          <w:rFonts w:ascii="SimSun" w:hAnsi="SimSun" w:eastAsia="SimSun" w:cs="SimSun"/>
          <w:sz w:val="21"/>
          <w:szCs w:val="21"/>
          <w:spacing w:val="-25"/>
        </w:rPr>
        <w:t xml:space="preserve"> </w:t>
      </w:r>
      <w:r>
        <w:rPr>
          <w:rFonts w:ascii="Times New Roman" w:hAnsi="Times New Roman" w:eastAsia="Times New Roman" w:cs="Times New Roman"/>
          <w:sz w:val="21"/>
          <w:szCs w:val="21"/>
          <w:spacing w:val="2"/>
        </w:rPr>
        <w:t>8 </w:t>
      </w:r>
      <w:r>
        <w:rPr>
          <w:rFonts w:ascii="SimSun" w:hAnsi="SimSun" w:eastAsia="SimSun" w:cs="SimSun"/>
          <w:sz w:val="21"/>
          <w:szCs w:val="21"/>
          <w:spacing w:val="2"/>
        </w:rPr>
        <w:t>家业内头部客户。</w:t>
      </w:r>
    </w:p>
    <w:p>
      <w:pPr>
        <w:pStyle w:val="BodyText"/>
        <w:rPr/>
      </w:pPr>
      <w:r/>
    </w:p>
    <w:p>
      <w:pPr>
        <w:ind w:left="1" w:firstLine="422"/>
        <w:spacing w:before="69" w:line="284" w:lineRule="auto"/>
        <w:jc w:val="both"/>
        <w:rPr>
          <w:rFonts w:ascii="SimSun" w:hAnsi="SimSun" w:eastAsia="SimSun" w:cs="SimSun"/>
          <w:sz w:val="21"/>
          <w:szCs w:val="21"/>
        </w:rPr>
      </w:pPr>
      <w:r>
        <w:rPr>
          <w:rFonts w:ascii="SimSun" w:hAnsi="SimSun" w:eastAsia="SimSun" w:cs="SimSun"/>
          <w:sz w:val="21"/>
          <w:szCs w:val="21"/>
          <w:spacing w:val="-2"/>
        </w:rPr>
        <w:t>为民方面,</w:t>
      </w:r>
      <w:r>
        <w:rPr>
          <w:rFonts w:ascii="SimSun" w:hAnsi="SimSun" w:eastAsia="SimSun" w:cs="SimSun"/>
          <w:sz w:val="21"/>
          <w:szCs w:val="21"/>
          <w:spacing w:val="36"/>
        </w:rPr>
        <w:t xml:space="preserve"> </w:t>
      </w:r>
      <w:r>
        <w:rPr>
          <w:rFonts w:ascii="SimSun" w:hAnsi="SimSun" w:eastAsia="SimSun" w:cs="SimSun"/>
          <w:sz w:val="21"/>
          <w:szCs w:val="21"/>
          <w:spacing w:val="-2"/>
        </w:rPr>
        <w:t>信用就医已在 </w:t>
      </w:r>
      <w:r>
        <w:rPr>
          <w:rFonts w:ascii="Times New Roman" w:hAnsi="Times New Roman" w:eastAsia="Times New Roman" w:cs="Times New Roman"/>
          <w:sz w:val="21"/>
          <w:szCs w:val="21"/>
          <w:spacing w:val="-2"/>
        </w:rPr>
        <w:t>45</w:t>
      </w:r>
      <w:r>
        <w:rPr>
          <w:rFonts w:ascii="Times New Roman" w:hAnsi="Times New Roman" w:eastAsia="Times New Roman" w:cs="Times New Roman"/>
          <w:sz w:val="21"/>
          <w:szCs w:val="21"/>
          <w:spacing w:val="49"/>
          <w:w w:val="101"/>
        </w:rPr>
        <w:t xml:space="preserve"> </w:t>
      </w:r>
      <w:r>
        <w:rPr>
          <w:rFonts w:ascii="SimSun" w:hAnsi="SimSun" w:eastAsia="SimSun" w:cs="SimSun"/>
          <w:sz w:val="21"/>
          <w:szCs w:val="21"/>
          <w:spacing w:val="-2"/>
        </w:rPr>
        <w:t>个城市上线,</w:t>
      </w:r>
      <w:r>
        <w:rPr>
          <w:rFonts w:ascii="SimSun" w:hAnsi="SimSun" w:eastAsia="SimSun" w:cs="SimSun"/>
          <w:sz w:val="21"/>
          <w:szCs w:val="21"/>
          <w:spacing w:val="30"/>
        </w:rPr>
        <w:t xml:space="preserve"> </w:t>
      </w:r>
      <w:r>
        <w:rPr>
          <w:rFonts w:ascii="SimSun" w:hAnsi="SimSun" w:eastAsia="SimSun" w:cs="SimSun"/>
          <w:sz w:val="21"/>
          <w:szCs w:val="21"/>
          <w:spacing w:val="-2"/>
        </w:rPr>
        <w:t>支持长三角异地就医跨省通办。围绕大出行、大医疗、大</w:t>
      </w:r>
      <w:r>
        <w:rPr>
          <w:rFonts w:ascii="SimSun" w:hAnsi="SimSun" w:eastAsia="SimSun" w:cs="SimSun"/>
          <w:sz w:val="21"/>
          <w:szCs w:val="21"/>
        </w:rPr>
        <w:t xml:space="preserve"> </w:t>
      </w:r>
      <w:r>
        <w:rPr>
          <w:rFonts w:ascii="SimSun" w:hAnsi="SimSun" w:eastAsia="SimSun" w:cs="SimSun"/>
          <w:sz w:val="21"/>
          <w:szCs w:val="21"/>
          <w:spacing w:val="-1"/>
        </w:rPr>
        <w:t>零售、大民生、大教育等主题领域以及客户需求, 开展数币功能创新和场景应用建设</w:t>
      </w:r>
      <w:r>
        <w:rPr>
          <w:rFonts w:ascii="SimSun" w:hAnsi="SimSun" w:eastAsia="SimSun" w:cs="SimSun"/>
          <w:sz w:val="21"/>
          <w:szCs w:val="21"/>
          <w:spacing w:val="-2"/>
        </w:rPr>
        <w:t>,</w:t>
      </w:r>
      <w:r>
        <w:rPr>
          <w:rFonts w:ascii="SimSun" w:hAnsi="SimSun" w:eastAsia="SimSun" w:cs="SimSun"/>
          <w:sz w:val="21"/>
          <w:szCs w:val="21"/>
          <w:spacing w:val="28"/>
        </w:rPr>
        <w:t xml:space="preserve"> </w:t>
      </w:r>
      <w:r>
        <w:rPr>
          <w:rFonts w:ascii="SimSun" w:hAnsi="SimSun" w:eastAsia="SimSun" w:cs="SimSun"/>
          <w:sz w:val="21"/>
          <w:szCs w:val="21"/>
          <w:spacing w:val="-2"/>
        </w:rPr>
        <w:t>构建数币常态化运</w:t>
      </w:r>
      <w:r>
        <w:rPr>
          <w:rFonts w:ascii="SimSun" w:hAnsi="SimSun" w:eastAsia="SimSun" w:cs="SimSun"/>
          <w:sz w:val="21"/>
          <w:szCs w:val="21"/>
        </w:rPr>
        <w:t xml:space="preserve"> </w:t>
      </w:r>
      <w:r>
        <w:rPr>
          <w:rFonts w:ascii="SimSun" w:hAnsi="SimSun" w:eastAsia="SimSun" w:cs="SimSun"/>
          <w:sz w:val="21"/>
          <w:szCs w:val="21"/>
        </w:rPr>
        <w:t>营体系,</w:t>
      </w:r>
      <w:r>
        <w:rPr>
          <w:rFonts w:ascii="SimSun" w:hAnsi="SimSun" w:eastAsia="SimSun" w:cs="SimSun"/>
          <w:sz w:val="21"/>
          <w:szCs w:val="21"/>
          <w:spacing w:val="38"/>
        </w:rPr>
        <w:t xml:space="preserve"> </w:t>
      </w:r>
      <w:r>
        <w:rPr>
          <w:rFonts w:ascii="SimSun" w:hAnsi="SimSun" w:eastAsia="SimSun" w:cs="SimSun"/>
          <w:sz w:val="21"/>
          <w:szCs w:val="21"/>
        </w:rPr>
        <w:t>报告期末,</w:t>
      </w:r>
      <w:r>
        <w:rPr>
          <w:rFonts w:ascii="SimSun" w:hAnsi="SimSun" w:eastAsia="SimSun" w:cs="SimSun"/>
          <w:sz w:val="21"/>
          <w:szCs w:val="21"/>
          <w:spacing w:val="28"/>
        </w:rPr>
        <w:t xml:space="preserve"> </w:t>
      </w:r>
      <w:r>
        <w:rPr>
          <w:rFonts w:ascii="SimSun" w:hAnsi="SimSun" w:eastAsia="SimSun" w:cs="SimSun"/>
          <w:sz w:val="21"/>
          <w:szCs w:val="21"/>
        </w:rPr>
        <w:t>钱包余额</w:t>
      </w:r>
      <w:r>
        <w:rPr>
          <w:rFonts w:ascii="SimSun" w:hAnsi="SimSun" w:eastAsia="SimSun" w:cs="SimSun"/>
          <w:sz w:val="21"/>
          <w:szCs w:val="21"/>
          <w:spacing w:val="-42"/>
        </w:rPr>
        <w:t xml:space="preserve"> </w:t>
      </w:r>
      <w:r>
        <w:rPr>
          <w:rFonts w:ascii="Times New Roman" w:hAnsi="Times New Roman" w:eastAsia="Times New Roman" w:cs="Times New Roman"/>
          <w:sz w:val="21"/>
          <w:szCs w:val="21"/>
        </w:rPr>
        <w:t>5.62 </w:t>
      </w:r>
      <w:r>
        <w:rPr>
          <w:rFonts w:ascii="SimSun" w:hAnsi="SimSun" w:eastAsia="SimSun" w:cs="SimSun"/>
          <w:sz w:val="21"/>
          <w:szCs w:val="21"/>
        </w:rPr>
        <w:t>亿元,累计交易金额</w:t>
      </w:r>
      <w:r>
        <w:rPr>
          <w:rFonts w:ascii="SimSun" w:hAnsi="SimSun" w:eastAsia="SimSun" w:cs="SimSun"/>
          <w:sz w:val="21"/>
          <w:szCs w:val="21"/>
          <w:spacing w:val="-44"/>
        </w:rPr>
        <w:t xml:space="preserve"> </w:t>
      </w:r>
      <w:r>
        <w:rPr>
          <w:rFonts w:ascii="Times New Roman" w:hAnsi="Times New Roman" w:eastAsia="Times New Roman" w:cs="Times New Roman"/>
          <w:sz w:val="21"/>
          <w:szCs w:val="21"/>
        </w:rPr>
        <w:t>794 </w:t>
      </w:r>
      <w:r>
        <w:rPr>
          <w:rFonts w:ascii="SimSun" w:hAnsi="SimSun" w:eastAsia="SimSun" w:cs="SimSun"/>
          <w:sz w:val="21"/>
          <w:szCs w:val="21"/>
        </w:rPr>
        <w:t>亿元。</w:t>
      </w:r>
    </w:p>
    <w:p>
      <w:pPr>
        <w:pStyle w:val="BodyText"/>
        <w:spacing w:line="243" w:lineRule="auto"/>
        <w:rPr/>
      </w:pPr>
      <w:r/>
    </w:p>
    <w:p>
      <w:pPr>
        <w:ind w:left="420"/>
        <w:spacing w:before="68"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2.</w:t>
      </w:r>
      <w:r>
        <w:rPr>
          <w:rFonts w:ascii="SimSun" w:hAnsi="SimSun" w:eastAsia="SimSun" w:cs="SimSun"/>
          <w:sz w:val="21"/>
          <w:szCs w:val="21"/>
          <w:b/>
          <w:bCs/>
          <w:spacing w:val="-2"/>
        </w:rPr>
        <w:t>发挥技术创新驱动力</w:t>
      </w:r>
    </w:p>
    <w:p>
      <w:pPr>
        <w:ind w:left="2" w:firstLine="442"/>
        <w:spacing w:before="309" w:line="267" w:lineRule="auto"/>
        <w:rPr>
          <w:rFonts w:ascii="SimSun" w:hAnsi="SimSun" w:eastAsia="SimSun" w:cs="SimSun"/>
          <w:sz w:val="21"/>
          <w:szCs w:val="21"/>
        </w:rPr>
      </w:pPr>
      <w:r>
        <w:rPr>
          <w:rFonts w:ascii="SimSun" w:hAnsi="SimSun" w:eastAsia="SimSun" w:cs="SimSun"/>
          <w:sz w:val="21"/>
          <w:szCs w:val="21"/>
          <w:spacing w:val="-2"/>
        </w:rPr>
        <w:t>以企业级、数字化思维系统推进企业级架构和</w:t>
      </w:r>
      <w:r>
        <w:rPr>
          <w:rFonts w:ascii="SimSun" w:hAnsi="SimSun" w:eastAsia="SimSun" w:cs="SimSun"/>
          <w:sz w:val="21"/>
          <w:szCs w:val="21"/>
          <w:spacing w:val="-3"/>
        </w:rPr>
        <w:t>中台建设, 零售信贷和</w:t>
      </w:r>
      <w:r>
        <w:rPr>
          <w:rFonts w:ascii="SimSun" w:hAnsi="SimSun" w:eastAsia="SimSun" w:cs="SimSun"/>
          <w:sz w:val="21"/>
          <w:szCs w:val="21"/>
          <w:spacing w:val="-51"/>
        </w:rPr>
        <w:t xml:space="preserve"> </w:t>
      </w:r>
      <w:r>
        <w:rPr>
          <w:rFonts w:ascii="Times New Roman" w:hAnsi="Times New Roman" w:eastAsia="Times New Roman" w:cs="Times New Roman"/>
          <w:sz w:val="21"/>
          <w:szCs w:val="21"/>
          <w:spacing w:val="-3"/>
        </w:rPr>
        <w:t>B2B </w:t>
      </w:r>
      <w:r>
        <w:rPr>
          <w:rFonts w:ascii="SimSun" w:hAnsi="SimSun" w:eastAsia="SimSun" w:cs="SimSun"/>
          <w:sz w:val="21"/>
          <w:szCs w:val="21"/>
          <w:spacing w:val="-3"/>
        </w:rPr>
        <w:t>支付两个企架试点项目顺利</w:t>
      </w:r>
      <w:r>
        <w:rPr>
          <w:rFonts w:ascii="SimSun" w:hAnsi="SimSun" w:eastAsia="SimSun" w:cs="SimSun"/>
          <w:sz w:val="21"/>
          <w:szCs w:val="21"/>
        </w:rPr>
        <w:t xml:space="preserve"> </w:t>
      </w:r>
      <w:r>
        <w:rPr>
          <w:rFonts w:ascii="SimSun" w:hAnsi="SimSun" w:eastAsia="SimSun" w:cs="SimSun"/>
          <w:sz w:val="21"/>
          <w:szCs w:val="21"/>
          <w:spacing w:val="-1"/>
        </w:rPr>
        <w:t>上线,</w:t>
      </w:r>
      <w:r>
        <w:rPr>
          <w:rFonts w:ascii="SimSun" w:hAnsi="SimSun" w:eastAsia="SimSun" w:cs="SimSun"/>
          <w:sz w:val="21"/>
          <w:szCs w:val="21"/>
          <w:spacing w:val="28"/>
        </w:rPr>
        <w:t xml:space="preserve"> </w:t>
      </w:r>
      <w:r>
        <w:rPr>
          <w:rFonts w:ascii="SimSun" w:hAnsi="SimSun" w:eastAsia="SimSun" w:cs="SimSun"/>
          <w:sz w:val="21"/>
          <w:szCs w:val="21"/>
          <w:spacing w:val="-1"/>
        </w:rPr>
        <w:t>初步形成包括营销中台、运营中台、风控中台、数据中台和企业级技术平台在内的全新架</w:t>
      </w:r>
      <w:r>
        <w:rPr>
          <w:rFonts w:ascii="SimSun" w:hAnsi="SimSun" w:eastAsia="SimSun" w:cs="SimSun"/>
          <w:sz w:val="21"/>
          <w:szCs w:val="21"/>
          <w:spacing w:val="-2"/>
        </w:rPr>
        <w:t>构。</w:t>
      </w:r>
    </w:p>
    <w:p>
      <w:pPr>
        <w:ind w:left="2" w:firstLine="420"/>
        <w:spacing w:before="309" w:line="285" w:lineRule="auto"/>
        <w:jc w:val="both"/>
        <w:rPr>
          <w:rFonts w:ascii="SimSun" w:hAnsi="SimSun" w:eastAsia="SimSun" w:cs="SimSun"/>
          <w:sz w:val="21"/>
          <w:szCs w:val="21"/>
        </w:rPr>
      </w:pPr>
      <w:r>
        <w:rPr>
          <w:rFonts w:ascii="SimSun" w:hAnsi="SimSun" w:eastAsia="SimSun" w:cs="SimSun"/>
          <w:sz w:val="21"/>
          <w:szCs w:val="21"/>
          <w:spacing w:val="-1"/>
        </w:rPr>
        <w:t>成功上线贷记卡分布式核心系统重构项目, 成为首家使用自主可控分布式核心系统的国有大行。新系</w:t>
      </w:r>
      <w:r>
        <w:rPr>
          <w:rFonts w:ascii="SimSun" w:hAnsi="SimSun" w:eastAsia="SimSun" w:cs="SimSun"/>
          <w:sz w:val="21"/>
          <w:szCs w:val="21"/>
          <w:spacing w:val="18"/>
        </w:rPr>
        <w:t xml:space="preserve"> </w:t>
      </w:r>
      <w:r>
        <w:rPr>
          <w:rFonts w:ascii="SimSun" w:hAnsi="SimSun" w:eastAsia="SimSun" w:cs="SimSun"/>
          <w:sz w:val="21"/>
          <w:szCs w:val="21"/>
          <w:spacing w:val="-1"/>
        </w:rPr>
        <w:t>统通过全面重构业务架构体系,</w:t>
      </w:r>
      <w:r>
        <w:rPr>
          <w:rFonts w:ascii="SimSun" w:hAnsi="SimSun" w:eastAsia="SimSun" w:cs="SimSun"/>
          <w:sz w:val="21"/>
          <w:szCs w:val="21"/>
          <w:spacing w:val="30"/>
        </w:rPr>
        <w:t xml:space="preserve"> </w:t>
      </w:r>
      <w:r>
        <w:rPr>
          <w:rFonts w:ascii="SimSun" w:hAnsi="SimSun" w:eastAsia="SimSun" w:cs="SimSun"/>
          <w:sz w:val="21"/>
          <w:szCs w:val="21"/>
          <w:spacing w:val="-1"/>
        </w:rPr>
        <w:t>提升客户体验及经营质效。贷记卡分布式新核心系统获人民银行</w:t>
      </w:r>
      <w:r>
        <w:rPr>
          <w:rFonts w:ascii="SimSun" w:hAnsi="SimSun" w:eastAsia="SimSun" w:cs="SimSun"/>
          <w:sz w:val="21"/>
          <w:szCs w:val="21"/>
          <w:spacing w:val="-2"/>
        </w:rPr>
        <w:t xml:space="preserve"> </w:t>
      </w:r>
      <w:r>
        <w:rPr>
          <w:rFonts w:ascii="Times New Roman" w:hAnsi="Times New Roman" w:eastAsia="Times New Roman" w:cs="Times New Roman"/>
          <w:sz w:val="21"/>
          <w:szCs w:val="21"/>
          <w:spacing w:val="-2"/>
        </w:rPr>
        <w:t>2022</w:t>
      </w:r>
      <w:r>
        <w:rPr>
          <w:rFonts w:ascii="Times New Roman" w:hAnsi="Times New Roman" w:eastAsia="Times New Roman" w:cs="Times New Roman"/>
          <w:sz w:val="21"/>
          <w:szCs w:val="21"/>
          <w:spacing w:val="50"/>
          <w:w w:val="101"/>
        </w:rPr>
        <w:t xml:space="preserve"> </w:t>
      </w:r>
      <w:r>
        <w:rPr>
          <w:rFonts w:ascii="SimSun" w:hAnsi="SimSun" w:eastAsia="SimSun" w:cs="SimSun"/>
          <w:sz w:val="21"/>
          <w:szCs w:val="21"/>
          <w:spacing w:val="-2"/>
        </w:rPr>
        <w:t>年</w:t>
      </w:r>
      <w:r>
        <w:rPr>
          <w:rFonts w:ascii="SimSun" w:hAnsi="SimSun" w:eastAsia="SimSun" w:cs="SimSun"/>
          <w:sz w:val="21"/>
          <w:szCs w:val="21"/>
        </w:rPr>
        <w:t xml:space="preserve"> </w:t>
      </w:r>
      <w:r>
        <w:rPr>
          <w:rFonts w:ascii="SimSun" w:hAnsi="SimSun" w:eastAsia="SimSun" w:cs="SimSun"/>
          <w:sz w:val="21"/>
          <w:szCs w:val="21"/>
          <w:spacing w:val="-1"/>
        </w:rPr>
        <w:t>金融科技发展一等奖。</w:t>
      </w:r>
    </w:p>
    <w:p>
      <w:pPr>
        <w:pStyle w:val="BodyText"/>
        <w:rPr/>
      </w:pPr>
      <w:r/>
    </w:p>
    <w:p>
      <w:pPr>
        <w:ind w:left="2" w:right="2" w:firstLine="421"/>
        <w:spacing w:before="69" w:line="284" w:lineRule="auto"/>
        <w:jc w:val="both"/>
        <w:rPr>
          <w:rFonts w:ascii="SimSun" w:hAnsi="SimSun" w:eastAsia="SimSun" w:cs="SimSun"/>
          <w:sz w:val="21"/>
          <w:szCs w:val="21"/>
        </w:rPr>
      </w:pPr>
      <w:r>
        <w:rPr>
          <w:rFonts w:ascii="SimSun" w:hAnsi="SimSun" w:eastAsia="SimSun" w:cs="SimSun"/>
          <w:sz w:val="21"/>
          <w:szCs w:val="21"/>
          <w:spacing w:val="2"/>
        </w:rPr>
        <w:t>持续提升基础设施云化服务能力, 完成新一代分布式云平台规</w:t>
      </w:r>
      <w:r>
        <w:rPr>
          <w:rFonts w:ascii="SimSun" w:hAnsi="SimSun" w:eastAsia="SimSun" w:cs="SimSun"/>
          <w:sz w:val="21"/>
          <w:szCs w:val="21"/>
          <w:spacing w:val="1"/>
        </w:rPr>
        <w:t>划, 加快实现多云部署, 丰富"一云多</w:t>
      </w:r>
      <w:r>
        <w:rPr>
          <w:rFonts w:ascii="SimSun" w:hAnsi="SimSun" w:eastAsia="SimSun" w:cs="SimSun"/>
          <w:sz w:val="21"/>
          <w:szCs w:val="21"/>
        </w:rPr>
        <w:t xml:space="preserve"> </w:t>
      </w:r>
      <w:r>
        <w:rPr>
          <w:rFonts w:ascii="SimSun" w:hAnsi="SimSun" w:eastAsia="SimSun" w:cs="SimSun"/>
          <w:sz w:val="21"/>
          <w:szCs w:val="21"/>
          <w:spacing w:val="2"/>
        </w:rPr>
        <w:t>芯"</w:t>
      </w:r>
      <w:r>
        <w:rPr>
          <w:rFonts w:ascii="SimSun" w:hAnsi="SimSun" w:eastAsia="SimSun" w:cs="SimSun"/>
          <w:sz w:val="21"/>
          <w:szCs w:val="21"/>
          <w:spacing w:val="-39"/>
        </w:rPr>
        <w:t xml:space="preserve"> </w:t>
      </w:r>
      <w:r>
        <w:rPr>
          <w:rFonts w:ascii="SimSun" w:hAnsi="SimSun" w:eastAsia="SimSun" w:cs="SimSun"/>
          <w:sz w:val="21"/>
          <w:szCs w:val="21"/>
          <w:spacing w:val="2"/>
        </w:rPr>
        <w:t>策略。"</w:t>
      </w:r>
      <w:r>
        <w:rPr>
          <w:rFonts w:ascii="Times New Roman" w:hAnsi="Times New Roman" w:eastAsia="Times New Roman" w:cs="Times New Roman"/>
          <w:sz w:val="21"/>
          <w:szCs w:val="21"/>
          <w:spacing w:val="2"/>
        </w:rPr>
        <w:t>5G </w:t>
      </w:r>
      <w:r>
        <w:rPr>
          <w:rFonts w:ascii="SimSun" w:hAnsi="SimSun" w:eastAsia="SimSun" w:cs="SimSun"/>
          <w:sz w:val="21"/>
          <w:szCs w:val="21"/>
          <w:spacing w:val="2"/>
        </w:rPr>
        <w:t>全域智能金融云专网"</w:t>
      </w:r>
      <w:r>
        <w:rPr>
          <w:rFonts w:ascii="SimSun" w:hAnsi="SimSun" w:eastAsia="SimSun" w:cs="SimSun"/>
          <w:sz w:val="21"/>
          <w:szCs w:val="21"/>
          <w:spacing w:val="-38"/>
        </w:rPr>
        <w:t xml:space="preserve"> </w:t>
      </w:r>
      <w:r>
        <w:rPr>
          <w:rFonts w:ascii="SimSun" w:hAnsi="SimSun" w:eastAsia="SimSun" w:cs="SimSun"/>
          <w:sz w:val="21"/>
          <w:szCs w:val="21"/>
          <w:spacing w:val="2"/>
        </w:rPr>
        <w:t>获评由国家发改委等部委联合主办的</w:t>
      </w:r>
      <w:r>
        <w:rPr>
          <w:rFonts w:ascii="SimSun" w:hAnsi="SimSun" w:eastAsia="SimSun" w:cs="SimSun"/>
          <w:sz w:val="21"/>
          <w:szCs w:val="21"/>
          <w:spacing w:val="-50"/>
        </w:rPr>
        <w:t xml:space="preserve"> </w:t>
      </w:r>
      <w:r>
        <w:rPr>
          <w:rFonts w:ascii="Times New Roman" w:hAnsi="Times New Roman" w:eastAsia="Times New Roman" w:cs="Times New Roman"/>
          <w:sz w:val="21"/>
          <w:szCs w:val="21"/>
          <w:spacing w:val="2"/>
        </w:rPr>
        <w:t>2022 </w:t>
      </w:r>
      <w:r>
        <w:rPr>
          <w:rFonts w:ascii="SimSun" w:hAnsi="SimSun" w:eastAsia="SimSun" w:cs="SimSun"/>
          <w:sz w:val="21"/>
          <w:szCs w:val="21"/>
          <w:spacing w:val="2"/>
        </w:rPr>
        <w:t>年世界</w:t>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2"/>
        </w:rPr>
        <w:t>5G </w:t>
      </w:r>
      <w:r>
        <w:rPr>
          <w:rFonts w:ascii="SimSun" w:hAnsi="SimSun" w:eastAsia="SimSun" w:cs="SimSun"/>
          <w:sz w:val="21"/>
          <w:szCs w:val="21"/>
          <w:spacing w:val="2"/>
        </w:rPr>
        <w:t>大</w:t>
      </w:r>
      <w:r>
        <w:rPr>
          <w:rFonts w:ascii="SimSun" w:hAnsi="SimSun" w:eastAsia="SimSun" w:cs="SimSun"/>
          <w:sz w:val="21"/>
          <w:szCs w:val="21"/>
          <w:spacing w:val="1"/>
        </w:rPr>
        <w:t>会"十大应</w:t>
      </w:r>
      <w:r>
        <w:rPr>
          <w:rFonts w:ascii="SimSun" w:hAnsi="SimSun" w:eastAsia="SimSun" w:cs="SimSun"/>
          <w:sz w:val="21"/>
          <w:szCs w:val="21"/>
        </w:rPr>
        <w:t xml:space="preserve"> </w:t>
      </w:r>
      <w:r>
        <w:rPr>
          <w:rFonts w:ascii="SimSun" w:hAnsi="SimSun" w:eastAsia="SimSun" w:cs="SimSun"/>
          <w:sz w:val="21"/>
          <w:szCs w:val="21"/>
          <w:spacing w:val="-3"/>
        </w:rPr>
        <w:t>用案例",</w:t>
      </w:r>
      <w:r>
        <w:rPr>
          <w:rFonts w:ascii="SimSun" w:hAnsi="SimSun" w:eastAsia="SimSun" w:cs="SimSun"/>
          <w:sz w:val="21"/>
          <w:szCs w:val="21"/>
          <w:spacing w:val="53"/>
        </w:rPr>
        <w:t xml:space="preserve"> </w:t>
      </w:r>
      <w:r>
        <w:rPr>
          <w:rFonts w:ascii="SimSun" w:hAnsi="SimSun" w:eastAsia="SimSun" w:cs="SimSun"/>
          <w:sz w:val="21"/>
          <w:szCs w:val="21"/>
          <w:spacing w:val="-3"/>
        </w:rPr>
        <w:t>以及人民银行金融科技发展三等奖,</w:t>
      </w:r>
      <w:r>
        <w:rPr>
          <w:rFonts w:ascii="SimSun" w:hAnsi="SimSun" w:eastAsia="SimSun" w:cs="SimSun"/>
          <w:sz w:val="21"/>
          <w:szCs w:val="21"/>
          <w:spacing w:val="29"/>
        </w:rPr>
        <w:t xml:space="preserve"> </w:t>
      </w:r>
      <w:r>
        <w:rPr>
          <w:rFonts w:ascii="SimSun" w:hAnsi="SimSun" w:eastAsia="SimSun" w:cs="SimSun"/>
          <w:sz w:val="21"/>
          <w:szCs w:val="21"/>
          <w:spacing w:val="-3"/>
        </w:rPr>
        <w:t>推动</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3"/>
        </w:rPr>
        <w:t>5G </w:t>
      </w:r>
      <w:r>
        <w:rPr>
          <w:rFonts w:ascii="SimSun" w:hAnsi="SimSun" w:eastAsia="SimSun" w:cs="SimSun"/>
          <w:sz w:val="21"/>
          <w:szCs w:val="21"/>
          <w:spacing w:val="-3"/>
        </w:rPr>
        <w:t>技术在金融业的加速应用。</w:t>
      </w:r>
    </w:p>
    <w:p>
      <w:pPr>
        <w:pStyle w:val="BodyText"/>
        <w:rPr/>
      </w:pPr>
      <w:r/>
    </w:p>
    <w:p>
      <w:pPr>
        <w:ind w:firstLine="420"/>
        <w:spacing w:before="68" w:line="284" w:lineRule="auto"/>
        <w:jc w:val="both"/>
        <w:rPr>
          <w:rFonts w:ascii="SimSun" w:hAnsi="SimSun" w:eastAsia="SimSun" w:cs="SimSun"/>
          <w:sz w:val="21"/>
          <w:szCs w:val="21"/>
        </w:rPr>
      </w:pPr>
      <w:r>
        <w:rPr>
          <w:rFonts w:ascii="SimSun" w:hAnsi="SimSun" w:eastAsia="SimSun" w:cs="SimSun"/>
          <w:sz w:val="21"/>
          <w:szCs w:val="21"/>
        </w:rPr>
        <w:t>深化人工智能技术应用。全栈式知识图谱平台</w:t>
      </w:r>
      <w:r>
        <w:rPr>
          <w:rFonts w:ascii="SimSun" w:hAnsi="SimSun" w:eastAsia="SimSun" w:cs="SimSun"/>
          <w:sz w:val="21"/>
          <w:szCs w:val="21"/>
          <w:spacing w:val="-1"/>
        </w:rPr>
        <w:t>构建产业链、供应链等上下游产业链路, 助力业务织网</w:t>
      </w:r>
      <w:r>
        <w:rPr>
          <w:rFonts w:ascii="SimSun" w:hAnsi="SimSun" w:eastAsia="SimSun" w:cs="SimSun"/>
          <w:sz w:val="21"/>
          <w:szCs w:val="21"/>
        </w:rPr>
        <w:t xml:space="preserve"> </w:t>
      </w:r>
      <w:r>
        <w:rPr>
          <w:rFonts w:ascii="SimSun" w:hAnsi="SimSun" w:eastAsia="SimSun" w:cs="SimSun"/>
          <w:sz w:val="21"/>
          <w:szCs w:val="21"/>
          <w:spacing w:val="1"/>
        </w:rPr>
        <w:t>补链。优化电信欺诈账户拦截规则,</w:t>
      </w:r>
      <w:r>
        <w:rPr>
          <w:rFonts w:ascii="SimSun" w:hAnsi="SimSun" w:eastAsia="SimSun" w:cs="SimSun"/>
          <w:sz w:val="21"/>
          <w:szCs w:val="21"/>
          <w:spacing w:val="30"/>
        </w:rPr>
        <w:t xml:space="preserve"> </w:t>
      </w:r>
      <w:r>
        <w:rPr>
          <w:rFonts w:ascii="SimSun" w:hAnsi="SimSun" w:eastAsia="SimSun" w:cs="SimSun"/>
          <w:sz w:val="21"/>
          <w:szCs w:val="21"/>
          <w:spacing w:val="1"/>
        </w:rPr>
        <w:t>提升风险预警精准性,全年管</w:t>
      </w:r>
      <w:r>
        <w:rPr>
          <w:rFonts w:ascii="SimSun" w:hAnsi="SimSun" w:eastAsia="SimSun" w:cs="SimSun"/>
          <w:sz w:val="21"/>
          <w:szCs w:val="21"/>
        </w:rPr>
        <w:t>控欺诈账户 </w:t>
      </w:r>
      <w:r>
        <w:rPr>
          <w:rFonts w:ascii="Times New Roman" w:hAnsi="Times New Roman" w:eastAsia="Times New Roman" w:cs="Times New Roman"/>
          <w:sz w:val="21"/>
          <w:szCs w:val="21"/>
        </w:rPr>
        <w:t>1,600</w:t>
      </w:r>
      <w:r>
        <w:rPr>
          <w:rFonts w:ascii="Times New Roman" w:hAnsi="Times New Roman" w:eastAsia="Times New Roman" w:cs="Times New Roman"/>
          <w:sz w:val="21"/>
          <w:szCs w:val="21"/>
          <w:spacing w:val="22"/>
        </w:rPr>
        <w:t xml:space="preserve"> </w:t>
      </w:r>
      <w:r>
        <w:rPr>
          <w:rFonts w:ascii="SimSun" w:hAnsi="SimSun" w:eastAsia="SimSun" w:cs="SimSun"/>
          <w:sz w:val="21"/>
          <w:szCs w:val="21"/>
        </w:rPr>
        <w:t>余个。推动业务操作 </w:t>
      </w:r>
      <w:r>
        <w:rPr>
          <w:rFonts w:ascii="SimSun" w:hAnsi="SimSun" w:eastAsia="SimSun" w:cs="SimSun"/>
          <w:sz w:val="21"/>
          <w:szCs w:val="21"/>
        </w:rPr>
        <w:t>自动化,压降手工环节,</w:t>
      </w:r>
      <w:r>
        <w:rPr>
          <w:rFonts w:ascii="SimSun" w:hAnsi="SimSun" w:eastAsia="SimSun" w:cs="SimSun"/>
          <w:sz w:val="21"/>
          <w:szCs w:val="21"/>
          <w:spacing w:val="29"/>
        </w:rPr>
        <w:t xml:space="preserve"> </w:t>
      </w:r>
      <w:r>
        <w:rPr>
          <w:rFonts w:ascii="SimSun" w:hAnsi="SimSun" w:eastAsia="SimSun" w:cs="SimSun"/>
          <w:sz w:val="21"/>
          <w:szCs w:val="21"/>
        </w:rPr>
        <w:t>提升业务处理质效,</w:t>
      </w:r>
      <w:r>
        <w:rPr>
          <w:rFonts w:ascii="SimSun" w:hAnsi="SimSun" w:eastAsia="SimSun" w:cs="SimSun"/>
          <w:sz w:val="21"/>
          <w:szCs w:val="21"/>
          <w:spacing w:val="29"/>
        </w:rPr>
        <w:t xml:space="preserve"> </w:t>
      </w:r>
      <w:r>
        <w:rPr>
          <w:rFonts w:ascii="SimSun" w:hAnsi="SimSun" w:eastAsia="SimSun" w:cs="SimSun"/>
          <w:sz w:val="21"/>
          <w:szCs w:val="21"/>
        </w:rPr>
        <w:t>开户影像资料核查等任务从原先的</w:t>
      </w:r>
      <w:r>
        <w:rPr>
          <w:rFonts w:ascii="SimSun" w:hAnsi="SimSun" w:eastAsia="SimSun" w:cs="SimSun"/>
          <w:sz w:val="21"/>
          <w:szCs w:val="21"/>
          <w:spacing w:val="-43"/>
        </w:rPr>
        <w:t xml:space="preserve"> </w:t>
      </w:r>
      <w:r>
        <w:rPr>
          <w:rFonts w:ascii="Times New Roman" w:hAnsi="Times New Roman" w:eastAsia="Times New Roman" w:cs="Times New Roman"/>
          <w:sz w:val="21"/>
          <w:szCs w:val="21"/>
        </w:rPr>
        <w:t>3 </w:t>
      </w:r>
      <w:r>
        <w:rPr>
          <w:rFonts w:ascii="SimSun" w:hAnsi="SimSun" w:eastAsia="SimSun" w:cs="SimSun"/>
          <w:sz w:val="21"/>
          <w:szCs w:val="21"/>
        </w:rPr>
        <w:t>个月压缩至</w:t>
      </w:r>
      <w:r>
        <w:rPr>
          <w:rFonts w:ascii="SimSun" w:hAnsi="SimSun" w:eastAsia="SimSun" w:cs="SimSun"/>
          <w:sz w:val="21"/>
          <w:szCs w:val="21"/>
          <w:spacing w:val="-27"/>
        </w:rPr>
        <w:t xml:space="preserve"> </w:t>
      </w:r>
      <w:r>
        <w:rPr>
          <w:rFonts w:ascii="Times New Roman" w:hAnsi="Times New Roman" w:eastAsia="Times New Roman" w:cs="Times New Roman"/>
          <w:sz w:val="21"/>
          <w:szCs w:val="21"/>
        </w:rPr>
        <w:t>1 </w:t>
      </w:r>
      <w:r>
        <w:rPr>
          <w:rFonts w:ascii="SimSun" w:hAnsi="SimSun" w:eastAsia="SimSun" w:cs="SimSun"/>
          <w:sz w:val="21"/>
          <w:szCs w:val="21"/>
        </w:rPr>
        <w:t>周。</w:t>
      </w:r>
    </w:p>
    <w:p>
      <w:pPr>
        <w:pStyle w:val="BodyText"/>
        <w:spacing w:line="241" w:lineRule="auto"/>
        <w:rPr/>
      </w:pPr>
      <w:r/>
    </w:p>
    <w:p>
      <w:pPr>
        <w:ind w:left="418"/>
        <w:spacing w:before="69"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3.</w:t>
      </w:r>
      <w:r>
        <w:rPr>
          <w:rFonts w:ascii="SimSun" w:hAnsi="SimSun" w:eastAsia="SimSun" w:cs="SimSun"/>
          <w:sz w:val="21"/>
          <w:szCs w:val="21"/>
          <w:b/>
          <w:bCs/>
          <w:spacing w:val="-2"/>
        </w:rPr>
        <w:t>提升数据支撑能力</w:t>
      </w:r>
    </w:p>
    <w:p>
      <w:pPr>
        <w:ind w:firstLine="420"/>
        <w:spacing w:before="309" w:line="285" w:lineRule="auto"/>
        <w:jc w:val="both"/>
        <w:rPr>
          <w:rFonts w:ascii="SimSun" w:hAnsi="SimSun" w:eastAsia="SimSun" w:cs="SimSun"/>
          <w:sz w:val="21"/>
          <w:szCs w:val="21"/>
        </w:rPr>
      </w:pPr>
      <w:r>
        <w:rPr>
          <w:rFonts w:ascii="SimSun" w:hAnsi="SimSun" w:eastAsia="SimSun" w:cs="SimSun"/>
          <w:sz w:val="21"/>
          <w:szCs w:val="21"/>
          <w:spacing w:val="-2"/>
        </w:rPr>
        <w:t>推进数据治理,</w:t>
      </w:r>
      <w:r>
        <w:rPr>
          <w:rFonts w:ascii="SimSun" w:hAnsi="SimSun" w:eastAsia="SimSun" w:cs="SimSun"/>
          <w:sz w:val="21"/>
          <w:szCs w:val="21"/>
          <w:spacing w:val="39"/>
        </w:rPr>
        <w:t xml:space="preserve"> </w:t>
      </w:r>
      <w:r>
        <w:rPr>
          <w:rFonts w:ascii="SimSun" w:hAnsi="SimSun" w:eastAsia="SimSun" w:cs="SimSun"/>
          <w:sz w:val="21"/>
          <w:szCs w:val="21"/>
          <w:spacing w:val="-2"/>
        </w:rPr>
        <w:t>数据标准管理体系不断完善, 基于数据质量管理系统实现数据质量闭环管控,</w:t>
      </w:r>
      <w:r>
        <w:rPr>
          <w:rFonts w:ascii="SimSun" w:hAnsi="SimSun" w:eastAsia="SimSun" w:cs="SimSun"/>
          <w:sz w:val="21"/>
          <w:szCs w:val="21"/>
          <w:spacing w:val="26"/>
        </w:rPr>
        <w:t xml:space="preserve"> </w:t>
      </w:r>
      <w:r>
        <w:rPr>
          <w:rFonts w:ascii="SimSun" w:hAnsi="SimSun" w:eastAsia="SimSun" w:cs="SimSun"/>
          <w:sz w:val="21"/>
          <w:szCs w:val="21"/>
          <w:spacing w:val="-2"/>
        </w:rPr>
        <w:t>数据规</w:t>
      </w:r>
      <w:r>
        <w:rPr>
          <w:rFonts w:ascii="SimSun" w:hAnsi="SimSun" w:eastAsia="SimSun" w:cs="SimSun"/>
          <w:sz w:val="21"/>
          <w:szCs w:val="21"/>
        </w:rPr>
        <w:t xml:space="preserve"> </w:t>
      </w:r>
      <w:r>
        <w:rPr>
          <w:rFonts w:ascii="SimSun" w:hAnsi="SimSun" w:eastAsia="SimSun" w:cs="SimSun"/>
          <w:sz w:val="21"/>
          <w:szCs w:val="21"/>
        </w:rPr>
        <w:t>范化水平稳步提升。数据安全管理体系进一步健全,</w:t>
      </w:r>
      <w:r>
        <w:rPr>
          <w:rFonts w:ascii="SimSun" w:hAnsi="SimSun" w:eastAsia="SimSun" w:cs="SimSun"/>
          <w:sz w:val="21"/>
          <w:szCs w:val="21"/>
          <w:spacing w:val="-1"/>
        </w:rPr>
        <w:t xml:space="preserve"> 权益保护影响性评估有效落实, 数据安全成熟度评估</w:t>
      </w:r>
      <w:r>
        <w:rPr>
          <w:rFonts w:ascii="SimSun" w:hAnsi="SimSun" w:eastAsia="SimSun" w:cs="SimSun"/>
          <w:sz w:val="21"/>
          <w:szCs w:val="21"/>
        </w:rPr>
        <w:t xml:space="preserve"> </w:t>
      </w:r>
      <w:r>
        <w:rPr>
          <w:rFonts w:ascii="SimSun" w:hAnsi="SimSun" w:eastAsia="SimSun" w:cs="SimSun"/>
          <w:sz w:val="21"/>
          <w:szCs w:val="21"/>
          <w:spacing w:val="-3"/>
        </w:rPr>
        <w:t>体系基本形成。</w:t>
      </w:r>
    </w:p>
    <w:p>
      <w:pPr>
        <w:ind w:firstLine="423"/>
        <w:spacing w:before="305" w:line="301" w:lineRule="auto"/>
        <w:tabs>
          <w:tab w:val="left" w:pos="111"/>
        </w:tabs>
        <w:rPr>
          <w:rFonts w:ascii="SimSun" w:hAnsi="SimSun" w:eastAsia="SimSun" w:cs="SimSun"/>
          <w:sz w:val="21"/>
          <w:szCs w:val="21"/>
        </w:rPr>
      </w:pPr>
      <w:r>
        <w:rPr>
          <w:rFonts w:ascii="SimSun" w:hAnsi="SimSun" w:eastAsia="SimSun" w:cs="SimSun"/>
          <w:sz w:val="21"/>
          <w:szCs w:val="21"/>
          <w:spacing w:val="-1"/>
        </w:rPr>
        <w:t>建强企业级数据中台,</w:t>
      </w:r>
      <w:r>
        <w:rPr>
          <w:rFonts w:ascii="SimSun" w:hAnsi="SimSun" w:eastAsia="SimSun" w:cs="SimSun"/>
          <w:sz w:val="21"/>
          <w:szCs w:val="21"/>
          <w:spacing w:val="27"/>
        </w:rPr>
        <w:t xml:space="preserve"> </w:t>
      </w:r>
      <w:r>
        <w:rPr>
          <w:rFonts w:ascii="SimSun" w:hAnsi="SimSun" w:eastAsia="SimSun" w:cs="SimSun"/>
          <w:sz w:val="21"/>
          <w:szCs w:val="21"/>
          <w:spacing w:val="-1"/>
        </w:rPr>
        <w:t>为业务数字化转型提供统一集成、高效智能的数据服务</w:t>
      </w:r>
      <w:r>
        <w:rPr>
          <w:rFonts w:ascii="SimSun" w:hAnsi="SimSun" w:eastAsia="SimSun" w:cs="SimSun"/>
          <w:sz w:val="21"/>
          <w:szCs w:val="21"/>
          <w:spacing w:val="-2"/>
        </w:rPr>
        <w:t>支撑。数据分析平台成</w:t>
      </w:r>
      <w:r>
        <w:rPr>
          <w:rFonts w:ascii="SimSun" w:hAnsi="SimSun" w:eastAsia="SimSun" w:cs="SimSun"/>
          <w:sz w:val="21"/>
          <w:szCs w:val="21"/>
        </w:rPr>
        <w:t xml:space="preserve"> </w:t>
      </w:r>
      <w:r>
        <w:rPr>
          <w:rFonts w:ascii="SimSun" w:hAnsi="SimSun" w:eastAsia="SimSun" w:cs="SimSun"/>
          <w:sz w:val="21"/>
          <w:szCs w:val="21"/>
          <w:spacing w:val="-1"/>
        </w:rPr>
        <w:t>为全行数据建模、策略设计、分析应用的统一平台。管理驾驶舱支持国家战略导向、业务经营重点等各类</w:t>
      </w:r>
      <w:r>
        <w:rPr>
          <w:rFonts w:ascii="SimSun" w:hAnsi="SimSun" w:eastAsia="SimSun" w:cs="SimSun"/>
          <w:sz w:val="21"/>
          <w:szCs w:val="21"/>
          <w:spacing w:val="17"/>
        </w:rPr>
        <w:t xml:space="preserve"> </w:t>
      </w:r>
      <w:r>
        <w:rPr>
          <w:rFonts w:ascii="SimSun" w:hAnsi="SimSun" w:eastAsia="SimSun" w:cs="SimSun"/>
          <w:sz w:val="21"/>
          <w:szCs w:val="21"/>
        </w:rPr>
        <w:t>指标的在线化展示和灵活查询, 全行经营管理数字</w:t>
      </w:r>
      <w:r>
        <w:rPr>
          <w:rFonts w:ascii="SimSun" w:hAnsi="SimSun" w:eastAsia="SimSun" w:cs="SimSun"/>
          <w:sz w:val="21"/>
          <w:szCs w:val="21"/>
          <w:spacing w:val="-1"/>
        </w:rPr>
        <w:t>化、科学化水平稳步提升。积极融入数据要素市场化进</w:t>
      </w:r>
      <w:r>
        <w:rPr>
          <w:rFonts w:ascii="SimSun" w:hAnsi="SimSun" w:eastAsia="SimSun" w:cs="SimSun"/>
          <w:sz w:val="21"/>
          <w:szCs w:val="21"/>
        </w:rPr>
        <w:t xml:space="preserve"> </w:t>
      </w:r>
      <w:r>
        <w:rPr>
          <w:rFonts w:ascii="SimSun" w:hAnsi="SimSun" w:eastAsia="SimSun" w:cs="SimSun"/>
          <w:sz w:val="21"/>
          <w:szCs w:val="21"/>
          <w:spacing w:val="3"/>
        </w:rPr>
        <w:t>程,成为上海数据交易所、深圳数据交易所首批数商。</w:t>
      </w:r>
      <w:r>
        <w:rPr>
          <w:rFonts w:ascii="Times New Roman" w:hAnsi="Times New Roman" w:eastAsia="Times New Roman" w:cs="Times New Roman"/>
          <w:sz w:val="21"/>
          <w:szCs w:val="21"/>
          <w:spacing w:val="3"/>
        </w:rPr>
        <w:t>2022  </w:t>
      </w:r>
      <w:r>
        <w:rPr>
          <w:rFonts w:ascii="SimSun" w:hAnsi="SimSun" w:eastAsia="SimSun" w:cs="SimSun"/>
          <w:sz w:val="21"/>
          <w:szCs w:val="21"/>
          <w:spacing w:val="3"/>
        </w:rPr>
        <w:t>年,</w:t>
      </w:r>
      <w:r>
        <w:rPr>
          <w:rFonts w:ascii="SimSun" w:hAnsi="SimSun" w:eastAsia="SimSun" w:cs="SimSun"/>
          <w:sz w:val="21"/>
          <w:szCs w:val="21"/>
          <w:spacing w:val="32"/>
        </w:rPr>
        <w:t xml:space="preserve"> </w:t>
      </w:r>
      <w:r>
        <w:rPr>
          <w:rFonts w:ascii="SimSun" w:hAnsi="SimSun" w:eastAsia="SimSun" w:cs="SimSun"/>
          <w:sz w:val="21"/>
          <w:szCs w:val="21"/>
          <w:spacing w:val="3"/>
        </w:rPr>
        <w:t>本行获评国家数据管理能力成熟度</w:t>
      </w:r>
      <w:r>
        <w:rPr>
          <w:rFonts w:ascii="SimSun" w:hAnsi="SimSun" w:eastAsia="SimSun" w:cs="SimSun"/>
          <w:sz w:val="21"/>
          <w:szCs w:val="21"/>
          <w:spacing w:val="2"/>
        </w:rPr>
        <w:t>评估</w:t>
      </w:r>
      <w:r>
        <w:rPr>
          <w:rFonts w:ascii="SimSun" w:hAnsi="SimSun" w:eastAsia="SimSun" w:cs="SimSun"/>
          <w:sz w:val="21"/>
          <w:szCs w:val="21"/>
        </w:rPr>
        <w:t xml:space="preserve"> </w:t>
      </w:r>
      <w:r>
        <w:rPr>
          <w:rFonts w:ascii="SimSun" w:hAnsi="SimSun" w:eastAsia="SimSun" w:cs="SimSun"/>
          <w:sz w:val="21"/>
          <w:szCs w:val="21"/>
        </w:rPr>
        <w:tab/>
      </w:r>
      <w:r>
        <w:rPr>
          <w:rFonts w:ascii="SimSun" w:hAnsi="SimSun" w:eastAsia="SimSun" w:cs="SimSun"/>
          <w:sz w:val="21"/>
          <w:szCs w:val="21"/>
          <w:spacing w:val="6"/>
        </w:rPr>
        <w:t>(</w:t>
      </w:r>
      <w:r>
        <w:rPr>
          <w:rFonts w:ascii="Times New Roman" w:hAnsi="Times New Roman" w:eastAsia="Times New Roman" w:cs="Times New Roman"/>
          <w:sz w:val="21"/>
          <w:szCs w:val="21"/>
        </w:rPr>
        <w:t>DCMM</w:t>
      </w:r>
      <w:r>
        <w:rPr>
          <w:rFonts w:ascii="SimSun" w:hAnsi="SimSun" w:eastAsia="SimSun" w:cs="SimSun"/>
          <w:sz w:val="21"/>
          <w:szCs w:val="21"/>
          <w:spacing w:val="6"/>
        </w:rPr>
        <w:t>)四级认证,获得国际数据治理协会 "数据治理最佳实践奖"、信通院大数据 "星河"</w:t>
      </w:r>
      <w:r>
        <w:rPr>
          <w:rFonts w:ascii="SimSun" w:hAnsi="SimSun" w:eastAsia="SimSun" w:cs="SimSun"/>
          <w:sz w:val="21"/>
          <w:szCs w:val="21"/>
          <w:spacing w:val="-23"/>
        </w:rPr>
        <w:t xml:space="preserve"> </w:t>
      </w:r>
      <w:r>
        <w:rPr>
          <w:rFonts w:ascii="SimSun" w:hAnsi="SimSun" w:eastAsia="SimSun" w:cs="SimSun"/>
          <w:sz w:val="21"/>
          <w:szCs w:val="21"/>
          <w:spacing w:val="6"/>
        </w:rPr>
        <w:t>数据资产</w:t>
      </w:r>
      <w:r>
        <w:rPr>
          <w:rFonts w:ascii="SimSun" w:hAnsi="SimSun" w:eastAsia="SimSun" w:cs="SimSun"/>
          <w:sz w:val="21"/>
          <w:szCs w:val="21"/>
        </w:rPr>
        <w:t xml:space="preserve"> </w:t>
      </w:r>
      <w:r>
        <w:rPr>
          <w:rFonts w:ascii="SimSun" w:hAnsi="SimSun" w:eastAsia="SimSun" w:cs="SimSun"/>
          <w:sz w:val="21"/>
          <w:szCs w:val="21"/>
          <w:spacing w:val="1"/>
        </w:rPr>
        <w:t>管理标杆案例奖、全球数商大会 "数据资产创新奖"。</w:t>
      </w:r>
    </w:p>
    <w:p>
      <w:pPr>
        <w:spacing w:line="301" w:lineRule="auto"/>
        <w:sectPr>
          <w:footerReference w:type="default" r:id="rId46"/>
          <w:pgSz w:w="11907" w:h="16839"/>
          <w:pgMar w:top="1196" w:right="1128" w:bottom="1375" w:left="1140" w:header="0" w:footer="1211" w:gutter="0"/>
        </w:sectPr>
        <w:rPr>
          <w:rFonts w:ascii="SimSun" w:hAnsi="SimSun" w:eastAsia="SimSun" w:cs="SimSun"/>
          <w:sz w:val="21"/>
          <w:szCs w:val="21"/>
        </w:rPr>
      </w:pPr>
    </w:p>
    <w:p>
      <w:pPr>
        <w:ind w:left="420"/>
        <w:spacing w:before="42" w:line="221" w:lineRule="auto"/>
        <w:outlineLvl w:val="0"/>
        <w:rPr>
          <w:rFonts w:ascii="SimSun" w:hAnsi="SimSun" w:eastAsia="SimSun" w:cs="SimSun"/>
          <w:sz w:val="21"/>
          <w:szCs w:val="21"/>
        </w:rPr>
      </w:pPr>
      <w:r>
        <w:rPr>
          <w:rFonts w:ascii="Times New Roman" w:hAnsi="Times New Roman" w:eastAsia="Times New Roman" w:cs="Times New Roman"/>
          <w:sz w:val="21"/>
          <w:szCs w:val="21"/>
          <w:b/>
          <w:bCs/>
          <w:spacing w:val="-2"/>
        </w:rPr>
        <w:t>4.</w:t>
      </w:r>
      <w:r>
        <w:rPr>
          <w:rFonts w:ascii="SimSun" w:hAnsi="SimSun" w:eastAsia="SimSun" w:cs="SimSun"/>
          <w:sz w:val="21"/>
          <w:szCs w:val="21"/>
          <w:b/>
          <w:bCs/>
          <w:spacing w:val="-2"/>
        </w:rPr>
        <w:t>筑牢安全生产底线</w:t>
      </w:r>
    </w:p>
    <w:p>
      <w:pPr>
        <w:pStyle w:val="BodyText"/>
        <w:spacing w:line="241" w:lineRule="auto"/>
        <w:rPr/>
      </w:pPr>
      <w:r/>
    </w:p>
    <w:p>
      <w:pPr>
        <w:ind w:left="5" w:right="10" w:firstLine="414"/>
        <w:spacing w:before="68" w:line="267" w:lineRule="auto"/>
        <w:rPr>
          <w:rFonts w:ascii="SimSun" w:hAnsi="SimSun" w:eastAsia="SimSun" w:cs="SimSun"/>
          <w:sz w:val="21"/>
          <w:szCs w:val="21"/>
        </w:rPr>
      </w:pPr>
      <w:r>
        <w:rPr>
          <w:rFonts w:ascii="SimSun" w:hAnsi="SimSun" w:eastAsia="SimSun" w:cs="SimSun"/>
          <w:sz w:val="21"/>
          <w:szCs w:val="21"/>
          <w:spacing w:val="9"/>
        </w:rPr>
        <w:t>报告期内,全行生产系统整体运行平稳,圆满完成二十大、冬奥会、冬残奥会、</w:t>
      </w:r>
      <w:r>
        <w:rPr>
          <w:rFonts w:ascii="SimSun" w:hAnsi="SimSun" w:eastAsia="SimSun" w:cs="SimSun"/>
          <w:sz w:val="21"/>
          <w:szCs w:val="21"/>
          <w:spacing w:val="8"/>
        </w:rPr>
        <w:t>"两会"等重要时期</w:t>
      </w:r>
      <w:r>
        <w:rPr>
          <w:rFonts w:ascii="SimSun" w:hAnsi="SimSun" w:eastAsia="SimSun" w:cs="SimSun"/>
          <w:sz w:val="21"/>
          <w:szCs w:val="21"/>
        </w:rPr>
        <w:t xml:space="preserve"> </w:t>
      </w:r>
      <w:r>
        <w:rPr>
          <w:rFonts w:ascii="SimSun" w:hAnsi="SimSun" w:eastAsia="SimSun" w:cs="SimSun"/>
          <w:sz w:val="21"/>
          <w:szCs w:val="21"/>
          <w:spacing w:val="-2"/>
        </w:rPr>
        <w:t>安全生产保障。全力保障疫情期间业务连续开展,</w:t>
      </w:r>
      <w:r>
        <w:rPr>
          <w:rFonts w:ascii="SimSun" w:hAnsi="SimSun" w:eastAsia="SimSun" w:cs="SimSun"/>
          <w:sz w:val="21"/>
          <w:szCs w:val="21"/>
          <w:spacing w:val="44"/>
        </w:rPr>
        <w:t xml:space="preserve"> </w:t>
      </w:r>
      <w:r>
        <w:rPr>
          <w:rFonts w:ascii="SimSun" w:hAnsi="SimSun" w:eastAsia="SimSun" w:cs="SimSun"/>
          <w:sz w:val="21"/>
          <w:szCs w:val="21"/>
          <w:spacing w:val="-2"/>
        </w:rPr>
        <w:t>确保生产系统稳定运行。</w:t>
      </w:r>
    </w:p>
    <w:p>
      <w:pPr>
        <w:ind w:left="1" w:firstLine="420"/>
        <w:spacing w:before="309" w:line="269" w:lineRule="auto"/>
        <w:rPr>
          <w:rFonts w:ascii="SimSun" w:hAnsi="SimSun" w:eastAsia="SimSun" w:cs="SimSun"/>
          <w:sz w:val="21"/>
          <w:szCs w:val="21"/>
        </w:rPr>
      </w:pPr>
      <w:r>
        <w:rPr>
          <w:rFonts w:ascii="SimSun" w:hAnsi="SimSun" w:eastAsia="SimSun" w:cs="SimSun"/>
          <w:sz w:val="21"/>
          <w:szCs w:val="21"/>
          <w:spacing w:val="1"/>
        </w:rPr>
        <w:t>面向集团员工开展金融科技伦理宣贯培训,</w:t>
      </w:r>
      <w:r>
        <w:rPr>
          <w:rFonts w:ascii="SimSun" w:hAnsi="SimSun" w:eastAsia="SimSun" w:cs="SimSun"/>
          <w:sz w:val="21"/>
          <w:szCs w:val="21"/>
          <w:spacing w:val="35"/>
        </w:rPr>
        <w:t xml:space="preserve"> </w:t>
      </w:r>
      <w:r>
        <w:rPr>
          <w:rFonts w:ascii="SimSun" w:hAnsi="SimSun" w:eastAsia="SimSun" w:cs="SimSun"/>
          <w:sz w:val="21"/>
          <w:szCs w:val="21"/>
          <w:spacing w:val="1"/>
        </w:rPr>
        <w:t>弘扬本行"科技向善, 数据平权" 的伦理价值理念,</w:t>
      </w:r>
      <w:r>
        <w:rPr>
          <w:rFonts w:ascii="SimSun" w:hAnsi="SimSun" w:eastAsia="SimSun" w:cs="SimSun"/>
          <w:sz w:val="21"/>
          <w:szCs w:val="21"/>
        </w:rPr>
        <w:t xml:space="preserve"> 持续 </w:t>
      </w:r>
      <w:r>
        <w:rPr>
          <w:rFonts w:ascii="SimSun" w:hAnsi="SimSun" w:eastAsia="SimSun" w:cs="SimSun"/>
          <w:sz w:val="21"/>
          <w:szCs w:val="21"/>
          <w:spacing w:val="-1"/>
        </w:rPr>
        <w:t>提升员工金融科技伦理素养。</w:t>
      </w:r>
    </w:p>
    <w:p>
      <w:pPr>
        <w:ind w:left="1" w:firstLine="421"/>
        <w:spacing w:before="309" w:line="267" w:lineRule="auto"/>
        <w:rPr>
          <w:rFonts w:ascii="SimSun" w:hAnsi="SimSun" w:eastAsia="SimSun" w:cs="SimSun"/>
          <w:sz w:val="21"/>
          <w:szCs w:val="21"/>
        </w:rPr>
      </w:pPr>
      <w:r>
        <w:rPr>
          <w:rFonts w:ascii="SimSun" w:hAnsi="SimSun" w:eastAsia="SimSun" w:cs="SimSun"/>
          <w:sz w:val="21"/>
          <w:szCs w:val="21"/>
        </w:rPr>
        <w:t>数字基础设施及灾备体系建设稳步推进, </w:t>
      </w:r>
      <w:r>
        <w:rPr>
          <w:rFonts w:ascii="SimSun" w:hAnsi="SimSun" w:eastAsia="SimSun" w:cs="SimSun"/>
          <w:sz w:val="21"/>
          <w:szCs w:val="21"/>
          <w:spacing w:val="-1"/>
        </w:rPr>
        <w:t>规划贵州贵安、内蒙古和林格尔两个新异地数据中心, 加快</w:t>
      </w:r>
      <w:r>
        <w:rPr>
          <w:rFonts w:ascii="SimSun" w:hAnsi="SimSun" w:eastAsia="SimSun" w:cs="SimSun"/>
          <w:sz w:val="21"/>
          <w:szCs w:val="21"/>
        </w:rPr>
        <w:t xml:space="preserve"> </w:t>
      </w:r>
      <w:r>
        <w:rPr>
          <w:rFonts w:ascii="SimSun" w:hAnsi="SimSun" w:eastAsia="SimSun" w:cs="SimSun"/>
          <w:sz w:val="21"/>
          <w:szCs w:val="21"/>
          <w:spacing w:val="5"/>
        </w:rPr>
        <w:t>浦江新同城数据中心建设,提高同城与异地灾备中心真实业务接管能力,支撑转型发展。</w:t>
      </w:r>
    </w:p>
    <w:p>
      <w:pPr>
        <w:pStyle w:val="BodyText"/>
        <w:spacing w:line="243" w:lineRule="auto"/>
        <w:rPr/>
      </w:pPr>
      <w:r/>
    </w:p>
    <w:p>
      <w:pPr>
        <w:ind w:left="443"/>
        <w:spacing w:before="69" w:line="221" w:lineRule="auto"/>
        <w:outlineLvl w:val="0"/>
        <w:rPr>
          <w:rFonts w:ascii="SimSun" w:hAnsi="SimSun" w:eastAsia="SimSun" w:cs="SimSun"/>
          <w:sz w:val="21"/>
          <w:szCs w:val="21"/>
        </w:rPr>
      </w:pPr>
      <w:bookmarkStart w:name="bookmark14" w:id="14"/>
      <w:bookmarkEnd w:id="14"/>
      <w:r>
        <w:rPr>
          <w:rFonts w:ascii="SimSun" w:hAnsi="SimSun" w:eastAsia="SimSun" w:cs="SimSun"/>
          <w:sz w:val="21"/>
          <w:szCs w:val="21"/>
          <w:b/>
          <w:bCs/>
          <w:spacing w:val="-6"/>
        </w:rPr>
        <w:t>四、风险管理</w:t>
      </w:r>
    </w:p>
    <w:p>
      <w:pPr>
        <w:ind w:left="1" w:firstLine="420"/>
        <w:spacing w:before="306" w:line="301" w:lineRule="auto"/>
        <w:rPr>
          <w:rFonts w:ascii="SimSun" w:hAnsi="SimSun" w:eastAsia="SimSun" w:cs="SimSun"/>
          <w:sz w:val="21"/>
          <w:szCs w:val="21"/>
        </w:rPr>
      </w:pPr>
      <w:r>
        <w:rPr>
          <w:rFonts w:ascii="SimSun" w:hAnsi="SimSun" w:eastAsia="SimSun" w:cs="SimSun"/>
          <w:sz w:val="21"/>
          <w:szCs w:val="21"/>
          <w:spacing w:val="-2"/>
        </w:rPr>
        <w:t>本行董事会将"稳健、平衡、合规、创新"</w:t>
      </w:r>
      <w:r>
        <w:rPr>
          <w:rFonts w:ascii="SimSun" w:hAnsi="SimSun" w:eastAsia="SimSun" w:cs="SimSun"/>
          <w:sz w:val="21"/>
          <w:szCs w:val="21"/>
          <w:spacing w:val="-40"/>
        </w:rPr>
        <w:t xml:space="preserve"> </w:t>
      </w:r>
      <w:r>
        <w:rPr>
          <w:rFonts w:ascii="SimSun" w:hAnsi="SimSun" w:eastAsia="SimSun" w:cs="SimSun"/>
          <w:sz w:val="21"/>
          <w:szCs w:val="21"/>
          <w:spacing w:val="-2"/>
        </w:rPr>
        <w:t>确立为全行总体风险偏好, 对信用、市场、操作、流动性、</w:t>
      </w:r>
      <w:r>
        <w:rPr>
          <w:rFonts w:ascii="SimSun" w:hAnsi="SimSun" w:eastAsia="SimSun" w:cs="SimSun"/>
          <w:sz w:val="21"/>
          <w:szCs w:val="21"/>
        </w:rPr>
        <w:t xml:space="preserve"> </w:t>
      </w:r>
      <w:r>
        <w:rPr>
          <w:rFonts w:ascii="SimSun" w:hAnsi="SimSun" w:eastAsia="SimSun" w:cs="SimSun"/>
          <w:sz w:val="21"/>
          <w:szCs w:val="21"/>
          <w:spacing w:val="-1"/>
        </w:rPr>
        <w:t>银行账簿利率、信息科技、国别等各类风险设定具体风险限额指标,</w:t>
      </w:r>
      <w:r>
        <w:rPr>
          <w:rFonts w:ascii="SimSun" w:hAnsi="SimSun" w:eastAsia="SimSun" w:cs="SimSun"/>
          <w:sz w:val="21"/>
          <w:szCs w:val="21"/>
          <w:spacing w:val="27"/>
        </w:rPr>
        <w:t xml:space="preserve"> </w:t>
      </w:r>
      <w:r>
        <w:rPr>
          <w:rFonts w:ascii="SimSun" w:hAnsi="SimSun" w:eastAsia="SimSun" w:cs="SimSun"/>
          <w:sz w:val="21"/>
          <w:szCs w:val="21"/>
          <w:spacing w:val="-1"/>
        </w:rPr>
        <w:t>严格控制各类风险。报告</w:t>
      </w:r>
      <w:r>
        <w:rPr>
          <w:rFonts w:ascii="SimSun" w:hAnsi="SimSun" w:eastAsia="SimSun" w:cs="SimSun"/>
          <w:sz w:val="21"/>
          <w:szCs w:val="21"/>
          <w:spacing w:val="-2"/>
        </w:rPr>
        <w:t>期内, 本集</w:t>
      </w:r>
      <w:r>
        <w:rPr>
          <w:rFonts w:ascii="SimSun" w:hAnsi="SimSun" w:eastAsia="SimSun" w:cs="SimSun"/>
          <w:sz w:val="21"/>
          <w:szCs w:val="21"/>
        </w:rPr>
        <w:t xml:space="preserve"> </w:t>
      </w:r>
      <w:r>
        <w:rPr>
          <w:rFonts w:ascii="SimSun" w:hAnsi="SimSun" w:eastAsia="SimSun" w:cs="SimSun"/>
          <w:sz w:val="21"/>
          <w:szCs w:val="21"/>
          <w:spacing w:val="-1"/>
        </w:rPr>
        <w:t>团紧紧围绕金融工作"三项任务", 始终坚持底线思维, 统筹发展和安全, 以资产质量攻坚战为主要抓手,</w:t>
      </w:r>
      <w:r>
        <w:rPr>
          <w:rFonts w:ascii="SimSun" w:hAnsi="SimSun" w:eastAsia="SimSun" w:cs="SimSun"/>
          <w:sz w:val="21"/>
          <w:szCs w:val="21"/>
        </w:rPr>
        <w:t xml:space="preserve">  </w:t>
      </w:r>
      <w:r>
        <w:rPr>
          <w:rFonts w:ascii="SimSun" w:hAnsi="SimSun" w:eastAsia="SimSun" w:cs="SimSun"/>
          <w:sz w:val="21"/>
          <w:szCs w:val="21"/>
          <w:spacing w:val="-1"/>
        </w:rPr>
        <w:t>不断提升全面风险管理能力, 深化风险授信与反洗钱改革, 加强集团统一风险管理,</w:t>
      </w:r>
      <w:r>
        <w:rPr>
          <w:rFonts w:ascii="SimSun" w:hAnsi="SimSun" w:eastAsia="SimSun" w:cs="SimSun"/>
          <w:sz w:val="21"/>
          <w:szCs w:val="21"/>
          <w:spacing w:val="27"/>
        </w:rPr>
        <w:t xml:space="preserve"> </w:t>
      </w:r>
      <w:r>
        <w:rPr>
          <w:rFonts w:ascii="SimSun" w:hAnsi="SimSun" w:eastAsia="SimSun" w:cs="SimSun"/>
          <w:sz w:val="21"/>
          <w:szCs w:val="21"/>
          <w:spacing w:val="-1"/>
        </w:rPr>
        <w:t>强化风险治</w:t>
      </w:r>
      <w:r>
        <w:rPr>
          <w:rFonts w:ascii="SimSun" w:hAnsi="SimSun" w:eastAsia="SimSun" w:cs="SimSun"/>
          <w:sz w:val="21"/>
          <w:szCs w:val="21"/>
          <w:spacing w:val="-2"/>
        </w:rPr>
        <w:t>理体系和</w:t>
      </w:r>
      <w:r>
        <w:rPr>
          <w:rFonts w:ascii="SimSun" w:hAnsi="SimSun" w:eastAsia="SimSun" w:cs="SimSun"/>
          <w:sz w:val="21"/>
          <w:szCs w:val="21"/>
        </w:rPr>
        <w:t xml:space="preserve"> </w:t>
      </w:r>
      <w:r>
        <w:rPr>
          <w:rFonts w:ascii="SimSun" w:hAnsi="SimSun" w:eastAsia="SimSun" w:cs="SimSun"/>
          <w:sz w:val="21"/>
          <w:szCs w:val="21"/>
        </w:rPr>
        <w:t>治理能力现代化建设, 推进风险管理数字化转型,</w:t>
      </w:r>
      <w:r>
        <w:rPr>
          <w:rFonts w:ascii="SimSun" w:hAnsi="SimSun" w:eastAsia="SimSun" w:cs="SimSun"/>
          <w:sz w:val="21"/>
          <w:szCs w:val="21"/>
          <w:spacing w:val="-1"/>
        </w:rPr>
        <w:t xml:space="preserve"> 全年风险管理目标任务顺利完成, 有力推动全行高质量</w:t>
      </w:r>
      <w:r>
        <w:rPr>
          <w:rFonts w:ascii="SimSun" w:hAnsi="SimSun" w:eastAsia="SimSun" w:cs="SimSun"/>
          <w:sz w:val="21"/>
          <w:szCs w:val="21"/>
        </w:rPr>
        <w:t xml:space="preserve"> </w:t>
      </w:r>
      <w:r>
        <w:rPr>
          <w:rFonts w:ascii="SimSun" w:hAnsi="SimSun" w:eastAsia="SimSun" w:cs="SimSun"/>
          <w:sz w:val="21"/>
          <w:szCs w:val="21"/>
          <w:spacing w:val="-8"/>
        </w:rPr>
        <w:t>发展。</w:t>
      </w:r>
    </w:p>
    <w:p>
      <w:pPr>
        <w:ind w:left="535"/>
        <w:spacing w:before="307" w:line="221" w:lineRule="auto"/>
        <w:rPr>
          <w:rFonts w:ascii="SimSun" w:hAnsi="SimSun" w:eastAsia="SimSun" w:cs="SimSun"/>
          <w:sz w:val="21"/>
          <w:szCs w:val="21"/>
        </w:rPr>
      </w:pPr>
      <w:r>
        <w:rPr>
          <w:rFonts w:ascii="SimSun" w:hAnsi="SimSun" w:eastAsia="SimSun" w:cs="SimSun"/>
          <w:sz w:val="21"/>
          <w:szCs w:val="21"/>
          <w:b/>
          <w:bCs/>
          <w:spacing w:val="9"/>
        </w:rPr>
        <w:t>(一)风险管理架构</w:t>
      </w:r>
    </w:p>
    <w:p>
      <w:pPr>
        <w:pStyle w:val="BodyText"/>
        <w:spacing w:line="241" w:lineRule="auto"/>
        <w:rPr/>
      </w:pPr>
      <w:r/>
    </w:p>
    <w:p>
      <w:pPr>
        <w:ind w:firstLine="422"/>
        <w:spacing w:before="69" w:line="302" w:lineRule="auto"/>
        <w:jc w:val="both"/>
        <w:rPr>
          <w:rFonts w:ascii="SimSun" w:hAnsi="SimSun" w:eastAsia="SimSun" w:cs="SimSun"/>
          <w:sz w:val="21"/>
          <w:szCs w:val="21"/>
        </w:rPr>
      </w:pPr>
      <w:r>
        <w:rPr>
          <w:rFonts w:ascii="SimSun" w:hAnsi="SimSun" w:eastAsia="SimSun" w:cs="SimSun"/>
          <w:sz w:val="21"/>
          <w:szCs w:val="21"/>
        </w:rPr>
        <w:t>本行董事会承担风险管理最终责任和最高决</w:t>
      </w:r>
      <w:r>
        <w:rPr>
          <w:rFonts w:ascii="SimSun" w:hAnsi="SimSun" w:eastAsia="SimSun" w:cs="SimSun"/>
          <w:sz w:val="21"/>
          <w:szCs w:val="21"/>
          <w:spacing w:val="-1"/>
        </w:rPr>
        <w:t>策职能, 并通过下设的风险管理与关联交易控制委员会掌</w:t>
      </w:r>
      <w:r>
        <w:rPr>
          <w:rFonts w:ascii="SimSun" w:hAnsi="SimSun" w:eastAsia="SimSun" w:cs="SimSun"/>
          <w:sz w:val="21"/>
          <w:szCs w:val="21"/>
        </w:rPr>
        <w:t xml:space="preserve"> </w:t>
      </w:r>
      <w:r>
        <w:rPr>
          <w:rFonts w:ascii="SimSun" w:hAnsi="SimSun" w:eastAsia="SimSun" w:cs="SimSun"/>
          <w:sz w:val="21"/>
          <w:szCs w:val="21"/>
          <w:spacing w:val="-1"/>
        </w:rPr>
        <w:t>握全行风险状况。本行高管层设立全面风险管</w:t>
      </w:r>
      <w:r>
        <w:rPr>
          <w:rFonts w:ascii="SimSun" w:hAnsi="SimSun" w:eastAsia="SimSun" w:cs="SimSun"/>
          <w:sz w:val="21"/>
          <w:szCs w:val="21"/>
          <w:spacing w:val="-2"/>
        </w:rPr>
        <w:t>理与内部控制委员会,</w:t>
      </w:r>
      <w:r>
        <w:rPr>
          <w:rFonts w:ascii="SimSun" w:hAnsi="SimSun" w:eastAsia="SimSun" w:cs="SimSun"/>
          <w:sz w:val="21"/>
          <w:szCs w:val="21"/>
          <w:spacing w:val="48"/>
        </w:rPr>
        <w:t xml:space="preserve"> </w:t>
      </w:r>
      <w:r>
        <w:rPr>
          <w:rFonts w:ascii="SimSun" w:hAnsi="SimSun" w:eastAsia="SimSun" w:cs="SimSun"/>
          <w:sz w:val="21"/>
          <w:szCs w:val="21"/>
          <w:spacing w:val="-2"/>
        </w:rPr>
        <w:t>以及贷款与投资评审、风险资产审查</w:t>
      </w:r>
      <w:r>
        <w:rPr>
          <w:rFonts w:ascii="SimSun" w:hAnsi="SimSun" w:eastAsia="SimSun" w:cs="SimSun"/>
          <w:sz w:val="21"/>
          <w:szCs w:val="21"/>
        </w:rPr>
        <w:t xml:space="preserve"> </w:t>
      </w:r>
      <w:r>
        <w:rPr>
          <w:rFonts w:ascii="SimSun" w:hAnsi="SimSun" w:eastAsia="SimSun" w:cs="SimSun"/>
          <w:sz w:val="21"/>
          <w:szCs w:val="21"/>
        </w:rPr>
        <w:t>两类业务审查委员会, 业务审查委员会接受全面风险</w:t>
      </w:r>
      <w:r>
        <w:rPr>
          <w:rFonts w:ascii="SimSun" w:hAnsi="SimSun" w:eastAsia="SimSun" w:cs="SimSun"/>
          <w:sz w:val="21"/>
          <w:szCs w:val="21"/>
          <w:spacing w:val="-1"/>
        </w:rPr>
        <w:t>管理与内部控制委员会的工作指导, 定期向其报告工</w:t>
      </w:r>
      <w:r>
        <w:rPr>
          <w:rFonts w:ascii="SimSun" w:hAnsi="SimSun" w:eastAsia="SimSun" w:cs="SimSun"/>
          <w:sz w:val="21"/>
          <w:szCs w:val="21"/>
        </w:rPr>
        <w:t xml:space="preserve"> </w:t>
      </w:r>
      <w:r>
        <w:rPr>
          <w:rFonts w:ascii="SimSun" w:hAnsi="SimSun" w:eastAsia="SimSun" w:cs="SimSun"/>
          <w:sz w:val="21"/>
          <w:szCs w:val="21"/>
          <w:spacing w:val="-1"/>
        </w:rPr>
        <w:t>作。各省直分行、境外行、子公司参照上述框架, 相应设立全面风险管理与内部控制委员会,</w:t>
      </w:r>
      <w:r>
        <w:rPr>
          <w:rFonts w:ascii="SimSun" w:hAnsi="SimSun" w:eastAsia="SimSun" w:cs="SimSun"/>
          <w:sz w:val="21"/>
          <w:szCs w:val="21"/>
          <w:spacing w:val="27"/>
        </w:rPr>
        <w:t xml:space="preserve"> </w:t>
      </w:r>
      <w:r>
        <w:rPr>
          <w:rFonts w:ascii="SimSun" w:hAnsi="SimSun" w:eastAsia="SimSun" w:cs="SimSun"/>
          <w:sz w:val="21"/>
          <w:szCs w:val="21"/>
          <w:spacing w:val="-1"/>
        </w:rPr>
        <w:t>作</w:t>
      </w:r>
      <w:r>
        <w:rPr>
          <w:rFonts w:ascii="SimSun" w:hAnsi="SimSun" w:eastAsia="SimSun" w:cs="SimSun"/>
          <w:sz w:val="21"/>
          <w:szCs w:val="21"/>
          <w:spacing w:val="-2"/>
        </w:rPr>
        <w:t>为研究防</w:t>
      </w:r>
      <w:r>
        <w:rPr>
          <w:rFonts w:ascii="SimSun" w:hAnsi="SimSun" w:eastAsia="SimSun" w:cs="SimSun"/>
          <w:sz w:val="21"/>
          <w:szCs w:val="21"/>
        </w:rPr>
        <w:t xml:space="preserve"> </w:t>
      </w:r>
      <w:r>
        <w:rPr>
          <w:rFonts w:ascii="SimSun" w:hAnsi="SimSun" w:eastAsia="SimSun" w:cs="SimSun"/>
          <w:sz w:val="21"/>
          <w:szCs w:val="21"/>
        </w:rPr>
        <w:t>控本单位系统性区域性风险、决策风险管理重大事项</w:t>
      </w:r>
      <w:r>
        <w:rPr>
          <w:rFonts w:ascii="SimSun" w:hAnsi="SimSun" w:eastAsia="SimSun" w:cs="SimSun"/>
          <w:sz w:val="21"/>
          <w:szCs w:val="21"/>
          <w:spacing w:val="-1"/>
        </w:rPr>
        <w:t>的主要载体, 确保全面风险管理体系在全集团延伸落</w:t>
      </w:r>
      <w:r>
        <w:rPr>
          <w:rFonts w:ascii="SimSun" w:hAnsi="SimSun" w:eastAsia="SimSun" w:cs="SimSun"/>
          <w:sz w:val="21"/>
          <w:szCs w:val="21"/>
        </w:rPr>
        <w:t xml:space="preserve"> </w:t>
      </w:r>
      <w:r>
        <w:rPr>
          <w:rFonts w:ascii="SimSun" w:hAnsi="SimSun" w:eastAsia="SimSun" w:cs="SimSun"/>
          <w:sz w:val="21"/>
          <w:szCs w:val="21"/>
          <w:spacing w:val="-9"/>
        </w:rPr>
        <w:t>地。</w:t>
      </w:r>
    </w:p>
    <w:p>
      <w:pPr>
        <w:ind w:left="535"/>
        <w:spacing w:before="298" w:line="221" w:lineRule="auto"/>
        <w:rPr>
          <w:rFonts w:ascii="SimSun" w:hAnsi="SimSun" w:eastAsia="SimSun" w:cs="SimSun"/>
          <w:sz w:val="21"/>
          <w:szCs w:val="21"/>
        </w:rPr>
      </w:pPr>
      <w:r>
        <w:rPr>
          <w:rFonts w:ascii="SimSun" w:hAnsi="SimSun" w:eastAsia="SimSun" w:cs="SimSun"/>
          <w:sz w:val="21"/>
          <w:szCs w:val="21"/>
          <w:b/>
          <w:bCs/>
          <w:spacing w:val="9"/>
        </w:rPr>
        <w:t>(二)风险管理工具</w:t>
      </w:r>
    </w:p>
    <w:p>
      <w:pPr>
        <w:ind w:firstLine="422"/>
        <w:spacing w:before="307" w:line="297" w:lineRule="auto"/>
        <w:jc w:val="both"/>
        <w:rPr>
          <w:rFonts w:ascii="SimSun" w:hAnsi="SimSun" w:eastAsia="SimSun" w:cs="SimSun"/>
          <w:sz w:val="21"/>
          <w:szCs w:val="21"/>
        </w:rPr>
      </w:pPr>
      <w:r>
        <w:rPr>
          <w:rFonts w:ascii="SimSun" w:hAnsi="SimSun" w:eastAsia="SimSun" w:cs="SimSun"/>
          <w:sz w:val="21"/>
          <w:szCs w:val="21"/>
          <w:spacing w:val="-2"/>
        </w:rPr>
        <w:t>本行积极践行风险管理数字化转型,</w:t>
      </w:r>
      <w:r>
        <w:rPr>
          <w:rFonts w:ascii="SimSun" w:hAnsi="SimSun" w:eastAsia="SimSun" w:cs="SimSun"/>
          <w:sz w:val="21"/>
          <w:szCs w:val="21"/>
          <w:spacing w:val="64"/>
        </w:rPr>
        <w:t xml:space="preserve"> </w:t>
      </w:r>
      <w:r>
        <w:rPr>
          <w:rFonts w:ascii="SimSun" w:hAnsi="SimSun" w:eastAsia="SimSun" w:cs="SimSun"/>
          <w:sz w:val="21"/>
          <w:szCs w:val="21"/>
          <w:spacing w:val="-2"/>
        </w:rPr>
        <w:t>以面向市场、面向客户、面向基层、急用先行为导向, 致力于打</w:t>
      </w:r>
      <w:r>
        <w:rPr>
          <w:rFonts w:ascii="SimSun" w:hAnsi="SimSun" w:eastAsia="SimSun" w:cs="SimSun"/>
          <w:sz w:val="21"/>
          <w:szCs w:val="21"/>
        </w:rPr>
        <w:t xml:space="preserve"> </w:t>
      </w:r>
      <w:r>
        <w:rPr>
          <w:rFonts w:ascii="SimSun" w:hAnsi="SimSun" w:eastAsia="SimSun" w:cs="SimSun"/>
          <w:sz w:val="21"/>
          <w:szCs w:val="21"/>
          <w:spacing w:val="-2"/>
        </w:rPr>
        <w:t>造全流程、全覆盖的数字化风险管理体系, 筑牢全行风险数据底座</w:t>
      </w:r>
      <w:r>
        <w:rPr>
          <w:rFonts w:ascii="Times New Roman" w:hAnsi="Times New Roman" w:eastAsia="Times New Roman" w:cs="Times New Roman"/>
          <w:sz w:val="21"/>
          <w:szCs w:val="21"/>
          <w:spacing w:val="-2"/>
        </w:rPr>
        <w:t>,</w:t>
      </w:r>
      <w:r>
        <w:rPr>
          <w:rFonts w:ascii="SimSun" w:hAnsi="SimSun" w:eastAsia="SimSun" w:cs="SimSun"/>
          <w:sz w:val="21"/>
          <w:szCs w:val="21"/>
          <w:spacing w:val="-2"/>
        </w:rPr>
        <w:t>建设企业级风险管理应用, 提升风险管</w:t>
      </w:r>
      <w:r>
        <w:rPr>
          <w:rFonts w:ascii="SimSun" w:hAnsi="SimSun" w:eastAsia="SimSun" w:cs="SimSun"/>
          <w:sz w:val="21"/>
          <w:szCs w:val="21"/>
          <w:spacing w:val="17"/>
        </w:rPr>
        <w:t xml:space="preserve"> </w:t>
      </w:r>
      <w:r>
        <w:rPr>
          <w:rFonts w:ascii="SimSun" w:hAnsi="SimSun" w:eastAsia="SimSun" w:cs="SimSun"/>
          <w:sz w:val="21"/>
          <w:szCs w:val="21"/>
          <w:spacing w:val="-2"/>
        </w:rPr>
        <w:t>理智慧化水平。报告期内, 成立风险管理部</w:t>
      </w:r>
      <w:r>
        <w:rPr>
          <w:rFonts w:ascii="Times New Roman" w:hAnsi="Times New Roman" w:eastAsia="Times New Roman" w:cs="Times New Roman"/>
          <w:sz w:val="21"/>
          <w:szCs w:val="21"/>
          <w:spacing w:val="-2"/>
        </w:rPr>
        <w:t>/</w:t>
      </w:r>
      <w:r>
        <w:rPr>
          <w:rFonts w:ascii="SimSun" w:hAnsi="SimSun" w:eastAsia="SimSun" w:cs="SimSun"/>
          <w:sz w:val="21"/>
          <w:szCs w:val="21"/>
          <w:spacing w:val="-2"/>
        </w:rPr>
        <w:t>内控案防办副部门级机构风险计量中心, 强化全集团统一风险</w:t>
      </w:r>
      <w:r>
        <w:rPr>
          <w:rFonts w:ascii="SimSun" w:hAnsi="SimSun" w:eastAsia="SimSun" w:cs="SimSun"/>
          <w:sz w:val="21"/>
          <w:szCs w:val="21"/>
          <w:spacing w:val="14"/>
        </w:rPr>
        <w:t xml:space="preserve"> </w:t>
      </w:r>
      <w:r>
        <w:rPr>
          <w:rFonts w:ascii="SimSun" w:hAnsi="SimSun" w:eastAsia="SimSun" w:cs="SimSun"/>
          <w:sz w:val="21"/>
          <w:szCs w:val="21"/>
          <w:spacing w:val="1"/>
        </w:rPr>
        <w:t>计量和监测,</w:t>
      </w:r>
      <w:r>
        <w:rPr>
          <w:rFonts w:ascii="SimSun" w:hAnsi="SimSun" w:eastAsia="SimSun" w:cs="SimSun"/>
          <w:sz w:val="21"/>
          <w:szCs w:val="21"/>
          <w:spacing w:val="45"/>
        </w:rPr>
        <w:t xml:space="preserve"> </w:t>
      </w:r>
      <w:r>
        <w:rPr>
          <w:rFonts w:ascii="SimSun" w:hAnsi="SimSun" w:eastAsia="SimSun" w:cs="SimSun"/>
          <w:sz w:val="21"/>
          <w:szCs w:val="21"/>
          <w:spacing w:val="1"/>
        </w:rPr>
        <w:t>围绕"四个转变"</w:t>
      </w:r>
      <w:r>
        <w:rPr>
          <w:rFonts w:ascii="SimSun" w:hAnsi="SimSun" w:eastAsia="SimSun" w:cs="SimSun"/>
          <w:sz w:val="21"/>
          <w:szCs w:val="21"/>
          <w:spacing w:val="-25"/>
        </w:rPr>
        <w:t xml:space="preserve"> </w:t>
      </w:r>
      <w:r>
        <w:rPr>
          <w:rFonts w:ascii="SimSun" w:hAnsi="SimSun" w:eastAsia="SimSun" w:cs="SimSun"/>
          <w:sz w:val="21"/>
          <w:szCs w:val="21"/>
          <w:spacing w:val="1"/>
        </w:rPr>
        <w:t>要求,</w:t>
      </w:r>
      <w:r>
        <w:rPr>
          <w:rFonts w:ascii="SimSun" w:hAnsi="SimSun" w:eastAsia="SimSun" w:cs="SimSun"/>
          <w:sz w:val="21"/>
          <w:szCs w:val="21"/>
          <w:spacing w:val="31"/>
        </w:rPr>
        <w:t xml:space="preserve"> </w:t>
      </w:r>
      <w:r>
        <w:rPr>
          <w:rFonts w:ascii="SimSun" w:hAnsi="SimSun" w:eastAsia="SimSun" w:cs="SimSun"/>
          <w:sz w:val="21"/>
          <w:szCs w:val="21"/>
          <w:spacing w:val="1"/>
        </w:rPr>
        <w:t>持续推进整章建制、队</w:t>
      </w:r>
      <w:r>
        <w:rPr>
          <w:rFonts w:ascii="SimSun" w:hAnsi="SimSun" w:eastAsia="SimSun" w:cs="SimSun"/>
          <w:sz w:val="21"/>
          <w:szCs w:val="21"/>
        </w:rPr>
        <w:t>伍建设、模型优化等工作。建设统一模型管 </w:t>
      </w:r>
      <w:r>
        <w:rPr>
          <w:rFonts w:ascii="SimSun" w:hAnsi="SimSun" w:eastAsia="SimSun" w:cs="SimSun"/>
          <w:sz w:val="21"/>
          <w:szCs w:val="21"/>
          <w:spacing w:val="2"/>
        </w:rPr>
        <w:t>理平台,推进新资本管理办法实施项目,</w:t>
      </w:r>
      <w:r>
        <w:rPr>
          <w:rFonts w:ascii="SimSun" w:hAnsi="SimSun" w:eastAsia="SimSun" w:cs="SimSun"/>
          <w:sz w:val="21"/>
          <w:szCs w:val="21"/>
          <w:spacing w:val="31"/>
        </w:rPr>
        <w:t xml:space="preserve"> </w:t>
      </w:r>
      <w:r>
        <w:rPr>
          <w:rFonts w:ascii="SimSun" w:hAnsi="SimSun" w:eastAsia="SimSun" w:cs="SimSun"/>
          <w:sz w:val="21"/>
          <w:szCs w:val="21"/>
          <w:spacing w:val="2"/>
        </w:rPr>
        <w:t>完成系统建设升级</w:t>
      </w:r>
      <w:r>
        <w:rPr>
          <w:rFonts w:ascii="SimSun" w:hAnsi="SimSun" w:eastAsia="SimSun" w:cs="SimSun"/>
          <w:sz w:val="21"/>
          <w:szCs w:val="21"/>
          <w:spacing w:val="1"/>
        </w:rPr>
        <w:t>主体工作。</w:t>
      </w:r>
    </w:p>
    <w:p>
      <w:pPr>
        <w:pStyle w:val="BodyText"/>
        <w:spacing w:line="243" w:lineRule="auto"/>
        <w:rPr/>
      </w:pPr>
      <w:r/>
    </w:p>
    <w:p>
      <w:pPr>
        <w:ind w:left="535"/>
        <w:spacing w:before="69" w:line="221" w:lineRule="auto"/>
        <w:rPr>
          <w:rFonts w:ascii="SimSun" w:hAnsi="SimSun" w:eastAsia="SimSun" w:cs="SimSun"/>
          <w:sz w:val="21"/>
          <w:szCs w:val="21"/>
        </w:rPr>
      </w:pPr>
      <w:r>
        <w:rPr>
          <w:rFonts w:ascii="SimSun" w:hAnsi="SimSun" w:eastAsia="SimSun" w:cs="SimSun"/>
          <w:sz w:val="21"/>
          <w:szCs w:val="21"/>
          <w:b/>
          <w:bCs/>
          <w:spacing w:val="9"/>
        </w:rPr>
        <w:t>(三)信用风险管理</w:t>
      </w:r>
    </w:p>
    <w:p>
      <w:pPr>
        <w:ind w:firstLine="418"/>
        <w:spacing w:before="307" w:line="297" w:lineRule="auto"/>
        <w:rPr>
          <w:rFonts w:ascii="SimSun" w:hAnsi="SimSun" w:eastAsia="SimSun" w:cs="SimSun"/>
          <w:sz w:val="21"/>
          <w:szCs w:val="21"/>
        </w:rPr>
      </w:pPr>
      <w:r>
        <w:rPr>
          <w:rFonts w:ascii="SimSun" w:hAnsi="SimSun" w:eastAsia="SimSun" w:cs="SimSun"/>
          <w:sz w:val="21"/>
          <w:szCs w:val="21"/>
          <w:spacing w:val="-2"/>
        </w:rPr>
        <w:t>报告期内,</w:t>
      </w:r>
      <w:r>
        <w:rPr>
          <w:rFonts w:ascii="SimSun" w:hAnsi="SimSun" w:eastAsia="SimSun" w:cs="SimSun"/>
          <w:sz w:val="21"/>
          <w:szCs w:val="21"/>
          <w:spacing w:val="27"/>
        </w:rPr>
        <w:t xml:space="preserve"> </w:t>
      </w:r>
      <w:r>
        <w:rPr>
          <w:rFonts w:ascii="SimSun" w:hAnsi="SimSun" w:eastAsia="SimSun" w:cs="SimSun"/>
          <w:sz w:val="21"/>
          <w:szCs w:val="21"/>
          <w:spacing w:val="-2"/>
        </w:rPr>
        <w:t>本行持续加强统一信用风险管理。有</w:t>
      </w:r>
      <w:r>
        <w:rPr>
          <w:rFonts w:ascii="SimSun" w:hAnsi="SimSun" w:eastAsia="SimSun" w:cs="SimSun"/>
          <w:sz w:val="21"/>
          <w:szCs w:val="21"/>
          <w:spacing w:val="-3"/>
        </w:rPr>
        <w:t>序推进信贷业务发展,</w:t>
      </w:r>
      <w:r>
        <w:rPr>
          <w:rFonts w:ascii="SimSun" w:hAnsi="SimSun" w:eastAsia="SimSun" w:cs="SimSun"/>
          <w:sz w:val="21"/>
          <w:szCs w:val="21"/>
          <w:spacing w:val="27"/>
        </w:rPr>
        <w:t xml:space="preserve"> </w:t>
      </w:r>
      <w:r>
        <w:rPr>
          <w:rFonts w:ascii="SimSun" w:hAnsi="SimSun" w:eastAsia="SimSun" w:cs="SimSun"/>
          <w:sz w:val="21"/>
          <w:szCs w:val="21"/>
          <w:spacing w:val="-3"/>
        </w:rPr>
        <w:t>支持实体经济企稳向好,</w:t>
      </w:r>
      <w:r>
        <w:rPr>
          <w:rFonts w:ascii="SimSun" w:hAnsi="SimSun" w:eastAsia="SimSun" w:cs="SimSun"/>
          <w:sz w:val="21"/>
          <w:szCs w:val="21"/>
          <w:spacing w:val="29"/>
        </w:rPr>
        <w:t xml:space="preserve"> </w:t>
      </w:r>
      <w:r>
        <w:rPr>
          <w:rFonts w:ascii="SimSun" w:hAnsi="SimSun" w:eastAsia="SimSun" w:cs="SimSun"/>
          <w:sz w:val="21"/>
          <w:szCs w:val="21"/>
          <w:spacing w:val="-3"/>
        </w:rPr>
        <w:t>大力</w:t>
      </w:r>
      <w:r>
        <w:rPr>
          <w:rFonts w:ascii="SimSun" w:hAnsi="SimSun" w:eastAsia="SimSun" w:cs="SimSun"/>
          <w:sz w:val="21"/>
          <w:szCs w:val="21"/>
        </w:rPr>
        <w:t xml:space="preserve"> </w:t>
      </w:r>
      <w:r>
        <w:rPr>
          <w:rFonts w:ascii="SimSun" w:hAnsi="SimSun" w:eastAsia="SimSun" w:cs="SimSun"/>
          <w:sz w:val="21"/>
          <w:szCs w:val="21"/>
          <w:spacing w:val="-5"/>
        </w:rPr>
        <w:t>发展绿色金融, 积极支持普惠小微、先进制造业、基础</w:t>
      </w:r>
      <w:r>
        <w:rPr>
          <w:rFonts w:ascii="SimSun" w:hAnsi="SimSun" w:eastAsia="SimSun" w:cs="SimSun"/>
          <w:sz w:val="21"/>
          <w:szCs w:val="21"/>
          <w:spacing w:val="-6"/>
        </w:rPr>
        <w:t>设施建设、战略性新兴产业、商贸物流等重点领域,</w:t>
      </w:r>
      <w:r>
        <w:rPr>
          <w:rFonts w:ascii="SimSun" w:hAnsi="SimSun" w:eastAsia="SimSun" w:cs="SimSun"/>
          <w:sz w:val="21"/>
          <w:szCs w:val="21"/>
        </w:rPr>
        <w:t xml:space="preserve">  </w:t>
      </w:r>
      <w:r>
        <w:rPr>
          <w:rFonts w:ascii="SimSun" w:hAnsi="SimSun" w:eastAsia="SimSun" w:cs="SimSun"/>
          <w:sz w:val="21"/>
          <w:szCs w:val="21"/>
          <w:spacing w:val="-5"/>
        </w:rPr>
        <w:t>加强对房地产、政府隐性债务、大型集团客</w:t>
      </w:r>
      <w:r>
        <w:rPr>
          <w:rFonts w:ascii="SimSun" w:hAnsi="SimSun" w:eastAsia="SimSun" w:cs="SimSun"/>
          <w:sz w:val="21"/>
          <w:szCs w:val="21"/>
          <w:spacing w:val="-6"/>
        </w:rPr>
        <w:t>户、产能过剩、信用卡等领域的管控力度。不断提升管理基础,</w:t>
      </w:r>
      <w:r>
        <w:rPr>
          <w:rFonts w:ascii="SimSun" w:hAnsi="SimSun" w:eastAsia="SimSun" w:cs="SimSun"/>
          <w:sz w:val="21"/>
          <w:szCs w:val="21"/>
        </w:rPr>
        <w:t xml:space="preserve">  </w:t>
      </w:r>
      <w:r>
        <w:rPr>
          <w:rFonts w:ascii="SimSun" w:hAnsi="SimSun" w:eastAsia="SimSun" w:cs="SimSun"/>
          <w:sz w:val="21"/>
          <w:szCs w:val="21"/>
        </w:rPr>
        <w:t>完善授信政策框架体系, 授信与风险政策纲要、行业</w:t>
      </w:r>
      <w:r>
        <w:rPr>
          <w:rFonts w:ascii="SimSun" w:hAnsi="SimSun" w:eastAsia="SimSun" w:cs="SimSun"/>
          <w:sz w:val="21"/>
          <w:szCs w:val="21"/>
          <w:spacing w:val="-1"/>
        </w:rPr>
        <w:t>投向指引、"一行一策"、专项政策实现敏捷迭代; 授</w:t>
      </w:r>
      <w:r>
        <w:rPr>
          <w:rFonts w:ascii="SimSun" w:hAnsi="SimSun" w:eastAsia="SimSun" w:cs="SimSun"/>
          <w:sz w:val="21"/>
          <w:szCs w:val="21"/>
        </w:rPr>
        <w:t xml:space="preserve"> </w:t>
      </w:r>
      <w:r>
        <w:rPr>
          <w:rFonts w:ascii="SimSun" w:hAnsi="SimSun" w:eastAsia="SimSun" w:cs="SimSun"/>
          <w:sz w:val="21"/>
          <w:szCs w:val="21"/>
          <w:spacing w:val="-1"/>
        </w:rPr>
        <w:t>信流程线上化、自动化程度持续提高, 完成与人民</w:t>
      </w:r>
      <w:r>
        <w:rPr>
          <w:rFonts w:ascii="SimSun" w:hAnsi="SimSun" w:eastAsia="SimSun" w:cs="SimSun"/>
          <w:sz w:val="21"/>
          <w:szCs w:val="21"/>
          <w:spacing w:val="-2"/>
        </w:rPr>
        <w:t>银行征信中心动产融资统一登记公示系统对接,</w:t>
      </w:r>
      <w:r>
        <w:rPr>
          <w:rFonts w:ascii="SimSun" w:hAnsi="SimSun" w:eastAsia="SimSun" w:cs="SimSun"/>
          <w:sz w:val="21"/>
          <w:szCs w:val="21"/>
          <w:spacing w:val="47"/>
        </w:rPr>
        <w:t xml:space="preserve"> </w:t>
      </w:r>
      <w:r>
        <w:rPr>
          <w:rFonts w:ascii="SimSun" w:hAnsi="SimSun" w:eastAsia="SimSun" w:cs="SimSun"/>
          <w:sz w:val="21"/>
          <w:szCs w:val="21"/>
          <w:spacing w:val="-2"/>
        </w:rPr>
        <w:t>已在全</w:t>
      </w:r>
    </w:p>
    <w:p>
      <w:pPr>
        <w:spacing w:line="297" w:lineRule="auto"/>
        <w:sectPr>
          <w:footerReference w:type="default" r:id="rId47"/>
          <w:pgSz w:w="11907" w:h="16839"/>
          <w:pgMar w:top="1196" w:right="1128" w:bottom="1374" w:left="1140" w:header="0" w:footer="1211" w:gutter="0"/>
        </w:sectPr>
        <w:rPr>
          <w:rFonts w:ascii="SimSun" w:hAnsi="SimSun" w:eastAsia="SimSun" w:cs="SimSun"/>
          <w:sz w:val="21"/>
          <w:szCs w:val="21"/>
        </w:rPr>
      </w:pPr>
    </w:p>
    <w:p>
      <w:pPr>
        <w:ind w:left="77" w:right="187" w:firstLine="23"/>
        <w:spacing w:before="41" w:line="268" w:lineRule="auto"/>
        <w:rPr>
          <w:rFonts w:ascii="SimSun" w:hAnsi="SimSun" w:eastAsia="SimSun" w:cs="SimSun"/>
          <w:sz w:val="21"/>
          <w:szCs w:val="21"/>
        </w:rPr>
      </w:pPr>
      <w:r>
        <w:pict>
          <v:shape id="_x0000_s288" style="position:absolute;margin-left:401.139pt;margin-top:649.089pt;mso-position-vertical-relative:page;mso-position-horizontal-relative:page;width:76.25pt;height:12.75pt;z-index:251879424;" o:allowincell="f" filled="false" stroked="false" type="#_x0000_t202">
            <v:fill on="false"/>
            <v:stroke on="false"/>
            <v:path/>
            <v:imagedata o:title=""/>
            <o:lock v:ext="edit" aspectratio="false"/>
            <v:textbox inset="0mm,0mm,0mm,0mm">
              <w:txbxContent>
                <w:p>
                  <w:pPr>
                    <w:spacing w:before="20" w:line="220" w:lineRule="auto"/>
                    <w:jc w:val="right"/>
                    <w:rPr>
                      <w:rFonts w:ascii="SimSun" w:hAnsi="SimSun" w:eastAsia="SimSun" w:cs="SimSun"/>
                      <w:sz w:val="18"/>
                      <w:szCs w:val="18"/>
                    </w:rPr>
                  </w:pPr>
                  <w:r>
                    <w:rPr>
                      <w:rFonts w:ascii="Times New Roman" w:hAnsi="Times New Roman" w:eastAsia="Times New Roman" w:cs="Times New Roman"/>
                      <w:sz w:val="18"/>
                      <w:szCs w:val="18"/>
                      <w:spacing w:val="-8"/>
                    </w:rPr>
                    <w:t>2021</w:t>
                  </w:r>
                  <w:r>
                    <w:rPr>
                      <w:rFonts w:ascii="Times New Roman" w:hAnsi="Times New Roman" w:eastAsia="Times New Roman" w:cs="Times New Roman"/>
                      <w:sz w:val="18"/>
                      <w:szCs w:val="18"/>
                      <w:spacing w:val="16"/>
                      <w:w w:val="101"/>
                    </w:rPr>
                    <w:t xml:space="preserve"> </w:t>
                  </w:r>
                  <w:r>
                    <w:rPr>
                      <w:rFonts w:ascii="SimSun" w:hAnsi="SimSun" w:eastAsia="SimSun" w:cs="SimSun"/>
                      <w:sz w:val="18"/>
                      <w:szCs w:val="18"/>
                      <w:spacing w:val="-8"/>
                    </w:rPr>
                    <w:t>年</w:t>
                  </w:r>
                  <w:r>
                    <w:rPr>
                      <w:rFonts w:ascii="SimSun" w:hAnsi="SimSun" w:eastAsia="SimSun" w:cs="SimSun"/>
                      <w:sz w:val="18"/>
                      <w:szCs w:val="18"/>
                      <w:spacing w:val="-26"/>
                    </w:rPr>
                    <w:t xml:space="preserve"> </w:t>
                  </w:r>
                  <w:r>
                    <w:rPr>
                      <w:rFonts w:ascii="Times New Roman" w:hAnsi="Times New Roman" w:eastAsia="Times New Roman" w:cs="Times New Roman"/>
                      <w:sz w:val="18"/>
                      <w:szCs w:val="18"/>
                      <w:spacing w:val="-8"/>
                    </w:rPr>
                    <w:t>12</w:t>
                  </w:r>
                  <w:r>
                    <w:rPr>
                      <w:rFonts w:ascii="Times New Roman" w:hAnsi="Times New Roman" w:eastAsia="Times New Roman" w:cs="Times New Roman"/>
                      <w:sz w:val="18"/>
                      <w:szCs w:val="18"/>
                      <w:spacing w:val="14"/>
                    </w:rPr>
                    <w:t xml:space="preserve"> </w:t>
                  </w:r>
                  <w:r>
                    <w:rPr>
                      <w:rFonts w:ascii="SimSun" w:hAnsi="SimSun" w:eastAsia="SimSun" w:cs="SimSun"/>
                      <w:sz w:val="18"/>
                      <w:szCs w:val="18"/>
                      <w:spacing w:val="-8"/>
                    </w:rPr>
                    <w:t>月</w:t>
                  </w:r>
                  <w:r>
                    <w:rPr>
                      <w:rFonts w:ascii="SimSun" w:hAnsi="SimSun" w:eastAsia="SimSun" w:cs="SimSun"/>
                      <w:sz w:val="18"/>
                      <w:szCs w:val="18"/>
                      <w:spacing w:val="-37"/>
                    </w:rPr>
                    <w:t xml:space="preserve"> </w:t>
                  </w:r>
                  <w:r>
                    <w:rPr>
                      <w:rFonts w:ascii="Times New Roman" w:hAnsi="Times New Roman" w:eastAsia="Times New Roman" w:cs="Times New Roman"/>
                      <w:sz w:val="18"/>
                      <w:szCs w:val="18"/>
                      <w:spacing w:val="-8"/>
                    </w:rPr>
                    <w:t>31  </w:t>
                  </w:r>
                  <w:r>
                    <w:rPr>
                      <w:rFonts w:ascii="SimSun" w:hAnsi="SimSun" w:eastAsia="SimSun" w:cs="SimSun"/>
                      <w:sz w:val="18"/>
                      <w:szCs w:val="18"/>
                      <w:spacing w:val="-8"/>
                    </w:rPr>
                    <w:t>日</w:t>
                  </w:r>
                </w:p>
              </w:txbxContent>
            </v:textbox>
          </v:shape>
        </w:pict>
      </w:r>
      <w:r>
        <w:rPr>
          <w:rFonts w:ascii="SimSun" w:hAnsi="SimSun" w:eastAsia="SimSun" w:cs="SimSun"/>
          <w:sz w:val="21"/>
          <w:szCs w:val="21"/>
          <w:spacing w:val="5"/>
        </w:rPr>
        <w:t>国推广线上办理不动产抵押登记,在全国多地市实现不动产抵押登记"跨省通办"。系统工具不断升级,</w:t>
      </w:r>
      <w:r>
        <w:rPr>
          <w:rFonts w:ascii="SimSun" w:hAnsi="SimSun" w:eastAsia="SimSun" w:cs="SimSun"/>
          <w:sz w:val="21"/>
          <w:szCs w:val="21"/>
          <w:spacing w:val="10"/>
        </w:rPr>
        <w:t xml:space="preserve"> </w:t>
      </w:r>
      <w:r>
        <w:rPr>
          <w:rFonts w:ascii="SimSun" w:hAnsi="SimSun" w:eastAsia="SimSun" w:cs="SimSun"/>
          <w:sz w:val="21"/>
          <w:szCs w:val="21"/>
          <w:spacing w:val="10"/>
        </w:rPr>
        <w:t>贷(投)后管理、风险监测、预警手段进一步丰富;风险分类更加准确严格,</w:t>
      </w:r>
      <w:r>
        <w:rPr>
          <w:rFonts w:ascii="SimSun" w:hAnsi="SimSun" w:eastAsia="SimSun" w:cs="SimSun"/>
          <w:sz w:val="21"/>
          <w:szCs w:val="21"/>
          <w:spacing w:val="9"/>
        </w:rPr>
        <w:t>资产质量稳中向好。</w:t>
      </w:r>
    </w:p>
    <w:p>
      <w:pPr>
        <w:pStyle w:val="BodyText"/>
        <w:spacing w:line="241" w:lineRule="auto"/>
        <w:rPr/>
      </w:pPr>
      <w:r/>
    </w:p>
    <w:p>
      <w:pPr>
        <w:ind w:left="80" w:right="52" w:firstLine="423"/>
        <w:spacing w:before="69" w:line="293" w:lineRule="auto"/>
        <w:rPr>
          <w:rFonts w:ascii="SimSun" w:hAnsi="SimSun" w:eastAsia="SimSun" w:cs="SimSun"/>
          <w:sz w:val="21"/>
          <w:szCs w:val="21"/>
        </w:rPr>
      </w:pPr>
      <w:r>
        <w:rPr>
          <w:rFonts w:ascii="SimSun" w:hAnsi="SimSun" w:eastAsia="SimSun" w:cs="SimSun"/>
          <w:sz w:val="21"/>
          <w:szCs w:val="21"/>
          <w:spacing w:val="-2"/>
        </w:rPr>
        <w:t>持续加大不良资产清收处置力度。报告期内</w:t>
      </w:r>
      <w:r>
        <w:rPr>
          <w:rFonts w:ascii="SimSun" w:hAnsi="SimSun" w:eastAsia="SimSun" w:cs="SimSun"/>
          <w:sz w:val="21"/>
          <w:szCs w:val="21"/>
          <w:spacing w:val="-3"/>
        </w:rPr>
        <w:t>,</w:t>
      </w:r>
      <w:r>
        <w:rPr>
          <w:rFonts w:ascii="SimSun" w:hAnsi="SimSun" w:eastAsia="SimSun" w:cs="SimSun"/>
          <w:sz w:val="21"/>
          <w:szCs w:val="21"/>
          <w:spacing w:val="26"/>
        </w:rPr>
        <w:t xml:space="preserve"> </w:t>
      </w:r>
      <w:r>
        <w:rPr>
          <w:rFonts w:ascii="SimSun" w:hAnsi="SimSun" w:eastAsia="SimSun" w:cs="SimSun"/>
          <w:sz w:val="21"/>
          <w:szCs w:val="21"/>
          <w:spacing w:val="-3"/>
        </w:rPr>
        <w:t>处置不良贷款</w:t>
      </w:r>
      <w:r>
        <w:rPr>
          <w:rFonts w:ascii="SimSun" w:hAnsi="SimSun" w:eastAsia="SimSun" w:cs="SimSun"/>
          <w:sz w:val="21"/>
          <w:szCs w:val="21"/>
          <w:spacing w:val="-40"/>
        </w:rPr>
        <w:t xml:space="preserve"> </w:t>
      </w:r>
      <w:r>
        <w:rPr>
          <w:rFonts w:ascii="Times New Roman" w:hAnsi="Times New Roman" w:eastAsia="Times New Roman" w:cs="Times New Roman"/>
          <w:sz w:val="21"/>
          <w:szCs w:val="21"/>
          <w:spacing w:val="-3"/>
        </w:rPr>
        <w:t>864.0 </w:t>
      </w:r>
      <w:r>
        <w:rPr>
          <w:rFonts w:ascii="SimSun" w:hAnsi="SimSun" w:eastAsia="SimSun" w:cs="SimSun"/>
          <w:sz w:val="21"/>
          <w:szCs w:val="21"/>
          <w:spacing w:val="-3"/>
        </w:rPr>
        <w:t>亿元,</w:t>
      </w:r>
      <w:r>
        <w:rPr>
          <w:rFonts w:ascii="SimSun" w:hAnsi="SimSun" w:eastAsia="SimSun" w:cs="SimSun"/>
          <w:sz w:val="21"/>
          <w:szCs w:val="21"/>
          <w:spacing w:val="43"/>
        </w:rPr>
        <w:t xml:space="preserve"> </w:t>
      </w:r>
      <w:r>
        <w:rPr>
          <w:rFonts w:ascii="SimSun" w:hAnsi="SimSun" w:eastAsia="SimSun" w:cs="SimSun"/>
          <w:sz w:val="21"/>
          <w:szCs w:val="21"/>
          <w:spacing w:val="-3"/>
        </w:rPr>
        <w:t>同比增长</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2.9%</w:t>
      </w:r>
      <w:r>
        <w:rPr>
          <w:rFonts w:ascii="SimSun" w:hAnsi="SimSun" w:eastAsia="SimSun" w:cs="SimSun"/>
          <w:sz w:val="21"/>
          <w:szCs w:val="21"/>
          <w:spacing w:val="-3"/>
        </w:rPr>
        <w:t>, 其中实质性</w:t>
      </w:r>
      <w:r>
        <w:rPr>
          <w:rFonts w:ascii="SimSun" w:hAnsi="SimSun" w:eastAsia="SimSun" w:cs="SimSun"/>
          <w:sz w:val="21"/>
          <w:szCs w:val="21"/>
        </w:rPr>
        <w:t xml:space="preserve"> </w:t>
      </w:r>
      <w:r>
        <w:rPr>
          <w:rFonts w:ascii="SimSun" w:hAnsi="SimSun" w:eastAsia="SimSun" w:cs="SimSun"/>
          <w:sz w:val="21"/>
          <w:szCs w:val="21"/>
          <w:spacing w:val="5"/>
        </w:rPr>
        <w:t>清收</w:t>
      </w:r>
      <w:r>
        <w:rPr>
          <w:rFonts w:ascii="SimSun" w:hAnsi="SimSun" w:eastAsia="SimSun" w:cs="SimSun"/>
          <w:sz w:val="21"/>
          <w:szCs w:val="21"/>
          <w:spacing w:val="-22"/>
        </w:rPr>
        <w:t xml:space="preserve"> </w:t>
      </w:r>
      <w:r>
        <w:rPr>
          <w:rFonts w:ascii="Times New Roman" w:hAnsi="Times New Roman" w:eastAsia="Times New Roman" w:cs="Times New Roman"/>
          <w:sz w:val="21"/>
          <w:szCs w:val="21"/>
          <w:spacing w:val="5"/>
        </w:rPr>
        <w:t>393.4</w:t>
      </w:r>
      <w:r>
        <w:rPr>
          <w:rFonts w:ascii="Times New Roman" w:hAnsi="Times New Roman" w:eastAsia="Times New Roman" w:cs="Times New Roman"/>
          <w:sz w:val="21"/>
          <w:szCs w:val="21"/>
          <w:spacing w:val="29"/>
        </w:rPr>
        <w:t xml:space="preserve"> </w:t>
      </w:r>
      <w:r>
        <w:rPr>
          <w:rFonts w:ascii="SimSun" w:hAnsi="SimSun" w:eastAsia="SimSun" w:cs="SimSun"/>
          <w:sz w:val="21"/>
          <w:szCs w:val="21"/>
          <w:spacing w:val="5"/>
        </w:rPr>
        <w:t>亿元,同比增长 </w:t>
      </w:r>
      <w:r>
        <w:rPr>
          <w:rFonts w:ascii="Times New Roman" w:hAnsi="Times New Roman" w:eastAsia="Times New Roman" w:cs="Times New Roman"/>
          <w:sz w:val="21"/>
          <w:szCs w:val="21"/>
          <w:spacing w:val="5"/>
        </w:rPr>
        <w:t>16.9%</w:t>
      </w:r>
      <w:r>
        <w:rPr>
          <w:rFonts w:ascii="SimSun" w:hAnsi="SimSun" w:eastAsia="SimSun" w:cs="SimSun"/>
          <w:sz w:val="21"/>
          <w:szCs w:val="21"/>
          <w:spacing w:val="5"/>
        </w:rPr>
        <w:t>,处置质效同步提升。</w:t>
      </w:r>
      <w:r>
        <w:rPr>
          <w:rFonts w:ascii="SimSun" w:hAnsi="SimSun" w:eastAsia="SimSun" w:cs="SimSun"/>
          <w:sz w:val="21"/>
          <w:szCs w:val="21"/>
          <w:spacing w:val="4"/>
        </w:rPr>
        <w:t>报告期内,本行聚焦重大风险和重点领域,</w:t>
      </w:r>
      <w:r>
        <w:rPr>
          <w:rFonts w:ascii="SimSun" w:hAnsi="SimSun" w:eastAsia="SimSun" w:cs="SimSun"/>
          <w:sz w:val="21"/>
          <w:szCs w:val="21"/>
          <w:spacing w:val="32"/>
        </w:rPr>
        <w:t xml:space="preserve"> </w:t>
      </w:r>
      <w:r>
        <w:rPr>
          <w:rFonts w:ascii="SimSun" w:hAnsi="SimSun" w:eastAsia="SimSun" w:cs="SimSun"/>
          <w:sz w:val="21"/>
          <w:szCs w:val="21"/>
          <w:spacing w:val="4"/>
        </w:rPr>
        <w:t>发挥</w:t>
      </w:r>
      <w:r>
        <w:rPr>
          <w:rFonts w:ascii="SimSun" w:hAnsi="SimSun" w:eastAsia="SimSun" w:cs="SimSun"/>
          <w:sz w:val="21"/>
          <w:szCs w:val="21"/>
        </w:rPr>
        <w:t xml:space="preserve"> </w:t>
      </w:r>
      <w:r>
        <w:rPr>
          <w:rFonts w:ascii="SimSun" w:hAnsi="SimSun" w:eastAsia="SimSun" w:cs="SimSun"/>
          <w:sz w:val="21"/>
          <w:szCs w:val="21"/>
          <w:spacing w:val="-3"/>
        </w:rPr>
        <w:t>专业处置能力,</w:t>
      </w:r>
      <w:r>
        <w:rPr>
          <w:rFonts w:ascii="SimSun" w:hAnsi="SimSun" w:eastAsia="SimSun" w:cs="SimSun"/>
          <w:sz w:val="21"/>
          <w:szCs w:val="21"/>
          <w:spacing w:val="-45"/>
        </w:rPr>
        <w:t xml:space="preserve"> </w:t>
      </w:r>
      <w:r>
        <w:rPr>
          <w:rFonts w:ascii="SimSun" w:hAnsi="SimSun" w:eastAsia="SimSun" w:cs="SimSun"/>
          <w:sz w:val="21"/>
          <w:szCs w:val="21"/>
          <w:spacing w:val="-3"/>
        </w:rPr>
        <w:t>稳妥有序推进重大项目风险处置,</w:t>
      </w:r>
      <w:r>
        <w:rPr>
          <w:rFonts w:ascii="SimSun" w:hAnsi="SimSun" w:eastAsia="SimSun" w:cs="SimSun"/>
          <w:sz w:val="21"/>
          <w:szCs w:val="21"/>
          <w:spacing w:val="-48"/>
        </w:rPr>
        <w:t xml:space="preserve"> </w:t>
      </w:r>
      <w:r>
        <w:rPr>
          <w:rFonts w:ascii="SimSun" w:hAnsi="SimSun" w:eastAsia="SimSun" w:cs="SimSun"/>
          <w:sz w:val="21"/>
          <w:szCs w:val="21"/>
          <w:spacing w:val="-3"/>
        </w:rPr>
        <w:t>加</w:t>
      </w:r>
      <w:r>
        <w:rPr>
          <w:rFonts w:ascii="SimSun" w:hAnsi="SimSun" w:eastAsia="SimSun" w:cs="SimSun"/>
          <w:sz w:val="21"/>
          <w:szCs w:val="21"/>
          <w:spacing w:val="-4"/>
        </w:rPr>
        <w:t>强不良资产证券化、风险资产债转股等处置手段运用,</w:t>
      </w:r>
      <w:r>
        <w:rPr>
          <w:rFonts w:ascii="SimSun" w:hAnsi="SimSun" w:eastAsia="SimSun" w:cs="SimSun"/>
          <w:sz w:val="21"/>
          <w:szCs w:val="21"/>
        </w:rPr>
        <w:t xml:space="preserve">  </w:t>
      </w:r>
      <w:r>
        <w:rPr>
          <w:rFonts w:ascii="SimSun" w:hAnsi="SimSun" w:eastAsia="SimSun" w:cs="SimSun"/>
          <w:sz w:val="21"/>
          <w:szCs w:val="21"/>
          <w:spacing w:val="-2"/>
        </w:rPr>
        <w:t>提高不良资产清收处置质效。</w:t>
      </w:r>
    </w:p>
    <w:p>
      <w:pPr>
        <w:ind w:left="80" w:right="52" w:firstLine="418"/>
        <w:spacing w:before="303" w:line="303" w:lineRule="auto"/>
        <w:rPr>
          <w:rFonts w:ascii="SimSun" w:hAnsi="SimSun" w:eastAsia="SimSun" w:cs="SimSun"/>
          <w:sz w:val="21"/>
          <w:szCs w:val="21"/>
        </w:rPr>
      </w:pPr>
      <w:r>
        <w:rPr>
          <w:rFonts w:ascii="SimSun" w:hAnsi="SimSun" w:eastAsia="SimSun" w:cs="SimSun"/>
          <w:sz w:val="21"/>
          <w:szCs w:val="21"/>
          <w:spacing w:val="-2"/>
        </w:rPr>
        <w:t>报告期内,</w:t>
      </w:r>
      <w:r>
        <w:rPr>
          <w:rFonts w:ascii="SimSun" w:hAnsi="SimSun" w:eastAsia="SimSun" w:cs="SimSun"/>
          <w:sz w:val="21"/>
          <w:szCs w:val="21"/>
          <w:spacing w:val="38"/>
        </w:rPr>
        <w:t xml:space="preserve"> </w:t>
      </w:r>
      <w:r>
        <w:rPr>
          <w:rFonts w:ascii="SimSun" w:hAnsi="SimSun" w:eastAsia="SimSun" w:cs="SimSun"/>
          <w:sz w:val="21"/>
          <w:szCs w:val="21"/>
          <w:spacing w:val="-2"/>
        </w:rPr>
        <w:t>本集团加强风险识别, 加速风险处置。重点客户授信经营主责任机制不断深化,</w:t>
      </w:r>
      <w:r>
        <w:rPr>
          <w:rFonts w:ascii="SimSun" w:hAnsi="SimSun" w:eastAsia="SimSun" w:cs="SimSun"/>
          <w:sz w:val="21"/>
          <w:szCs w:val="21"/>
          <w:spacing w:val="26"/>
        </w:rPr>
        <w:t xml:space="preserve"> </w:t>
      </w:r>
      <w:r>
        <w:rPr>
          <w:rFonts w:ascii="SimSun" w:hAnsi="SimSun" w:eastAsia="SimSun" w:cs="SimSun"/>
          <w:sz w:val="21"/>
          <w:szCs w:val="21"/>
          <w:spacing w:val="-2"/>
        </w:rPr>
        <w:t>信贷业务</w:t>
      </w:r>
      <w:r>
        <w:rPr>
          <w:rFonts w:ascii="SimSun" w:hAnsi="SimSun" w:eastAsia="SimSun" w:cs="SimSun"/>
          <w:sz w:val="21"/>
          <w:szCs w:val="21"/>
        </w:rPr>
        <w:t xml:space="preserve"> </w:t>
      </w:r>
      <w:r>
        <w:rPr>
          <w:rFonts w:ascii="SimSun" w:hAnsi="SimSun" w:eastAsia="SimSun" w:cs="SimSun"/>
          <w:sz w:val="21"/>
          <w:szCs w:val="21"/>
          <w:spacing w:val="-4"/>
        </w:rPr>
        <w:t>审批准入持续加强,</w:t>
      </w:r>
      <w:r>
        <w:rPr>
          <w:rFonts w:ascii="SimSun" w:hAnsi="SimSun" w:eastAsia="SimSun" w:cs="SimSun"/>
          <w:sz w:val="21"/>
          <w:szCs w:val="21"/>
          <w:spacing w:val="-25"/>
        </w:rPr>
        <w:t xml:space="preserve"> </w:t>
      </w:r>
      <w:r>
        <w:rPr>
          <w:rFonts w:ascii="SimSun" w:hAnsi="SimSun" w:eastAsia="SimSun" w:cs="SimSun"/>
          <w:sz w:val="21"/>
          <w:szCs w:val="21"/>
          <w:spacing w:val="-4"/>
        </w:rPr>
        <w:t>贷后管理持续完善并强化,</w:t>
      </w:r>
      <w:r>
        <w:rPr>
          <w:rFonts w:ascii="SimSun" w:hAnsi="SimSun" w:eastAsia="SimSun" w:cs="SimSun"/>
          <w:sz w:val="21"/>
          <w:szCs w:val="21"/>
          <w:spacing w:val="-28"/>
        </w:rPr>
        <w:t xml:space="preserve"> </w:t>
      </w:r>
      <w:r>
        <w:rPr>
          <w:rFonts w:ascii="SimSun" w:hAnsi="SimSun" w:eastAsia="SimSun" w:cs="SimSun"/>
          <w:sz w:val="21"/>
          <w:szCs w:val="21"/>
          <w:spacing w:val="-4"/>
        </w:rPr>
        <w:t>重点领域信用风险排查和管理不断加强,</w:t>
      </w:r>
      <w:r>
        <w:rPr>
          <w:rFonts w:ascii="SimSun" w:hAnsi="SimSun" w:eastAsia="SimSun" w:cs="SimSun"/>
          <w:sz w:val="21"/>
          <w:szCs w:val="21"/>
          <w:spacing w:val="-28"/>
        </w:rPr>
        <w:t xml:space="preserve"> </w:t>
      </w:r>
      <w:r>
        <w:rPr>
          <w:rFonts w:ascii="SimSun" w:hAnsi="SimSun" w:eastAsia="SimSun" w:cs="SimSun"/>
          <w:sz w:val="21"/>
          <w:szCs w:val="21"/>
          <w:spacing w:val="-4"/>
        </w:rPr>
        <w:t>风险监测、评估、</w:t>
      </w:r>
      <w:r>
        <w:rPr>
          <w:rFonts w:ascii="SimSun" w:hAnsi="SimSun" w:eastAsia="SimSun" w:cs="SimSun"/>
          <w:sz w:val="21"/>
          <w:szCs w:val="21"/>
        </w:rPr>
        <w:t xml:space="preserve"> </w:t>
      </w:r>
      <w:r>
        <w:rPr>
          <w:rFonts w:ascii="SimSun" w:hAnsi="SimSun" w:eastAsia="SimSun" w:cs="SimSun"/>
          <w:sz w:val="21"/>
          <w:szCs w:val="21"/>
          <w:spacing w:val="-2"/>
        </w:rPr>
        <w:t>计量等系统和模型进一步优化,</w:t>
      </w:r>
      <w:r>
        <w:rPr>
          <w:rFonts w:ascii="SimSun" w:hAnsi="SimSun" w:eastAsia="SimSun" w:cs="SimSun"/>
          <w:sz w:val="21"/>
          <w:szCs w:val="21"/>
          <w:spacing w:val="34"/>
        </w:rPr>
        <w:t xml:space="preserve"> </w:t>
      </w:r>
      <w:r>
        <w:rPr>
          <w:rFonts w:ascii="SimSun" w:hAnsi="SimSun" w:eastAsia="SimSun" w:cs="SimSun"/>
          <w:sz w:val="21"/>
          <w:szCs w:val="21"/>
          <w:spacing w:val="-2"/>
        </w:rPr>
        <w:t>资产保全直营直管机制效用显著。保持严格的资产质量分类标准,</w:t>
      </w:r>
      <w:r>
        <w:rPr>
          <w:rFonts w:ascii="SimSun" w:hAnsi="SimSun" w:eastAsia="SimSun" w:cs="SimSun"/>
          <w:sz w:val="21"/>
          <w:szCs w:val="21"/>
          <w:spacing w:val="33"/>
        </w:rPr>
        <w:t xml:space="preserve"> </w:t>
      </w:r>
      <w:r>
        <w:rPr>
          <w:rFonts w:ascii="SimSun" w:hAnsi="SimSun" w:eastAsia="SimSun" w:cs="SimSun"/>
          <w:sz w:val="21"/>
          <w:szCs w:val="21"/>
          <w:spacing w:val="-2"/>
        </w:rPr>
        <w:t>资产质</w:t>
      </w:r>
      <w:r>
        <w:rPr>
          <w:rFonts w:ascii="SimSun" w:hAnsi="SimSun" w:eastAsia="SimSun" w:cs="SimSun"/>
          <w:sz w:val="21"/>
          <w:szCs w:val="21"/>
        </w:rPr>
        <w:t xml:space="preserve"> </w:t>
      </w:r>
      <w:r>
        <w:rPr>
          <w:rFonts w:ascii="SimSun" w:hAnsi="SimSun" w:eastAsia="SimSun" w:cs="SimSun"/>
          <w:sz w:val="21"/>
          <w:szCs w:val="21"/>
          <w:spacing w:val="-3"/>
        </w:rPr>
        <w:t>量基础不断夯实,资产质量水平稳中提质。报告期末,本集团不良贷款余额</w:t>
      </w:r>
      <w:r>
        <w:rPr>
          <w:rFonts w:ascii="SimSun" w:hAnsi="SimSun" w:eastAsia="SimSun" w:cs="SimSun"/>
          <w:sz w:val="21"/>
          <w:szCs w:val="21"/>
          <w:spacing w:val="-58"/>
        </w:rPr>
        <w:t xml:space="preserve"> </w:t>
      </w:r>
      <w:r>
        <w:rPr>
          <w:rFonts w:ascii="Times New Roman" w:hAnsi="Times New Roman" w:eastAsia="Times New Roman" w:cs="Times New Roman"/>
          <w:sz w:val="21"/>
          <w:szCs w:val="21"/>
          <w:spacing w:val="-3"/>
        </w:rPr>
        <w:t>985.2</w:t>
      </w:r>
      <w:r>
        <w:rPr>
          <w:rFonts w:ascii="Times New Roman" w:hAnsi="Times New Roman" w:eastAsia="Times New Roman" w:cs="Times New Roman"/>
          <w:sz w:val="21"/>
          <w:szCs w:val="21"/>
          <w:spacing w:val="-4"/>
        </w:rPr>
        <w:t>6 </w:t>
      </w:r>
      <w:r>
        <w:rPr>
          <w:rFonts w:ascii="SimSun" w:hAnsi="SimSun" w:eastAsia="SimSun" w:cs="SimSun"/>
          <w:sz w:val="21"/>
          <w:szCs w:val="21"/>
          <w:spacing w:val="-4"/>
        </w:rPr>
        <w:t>亿元,不良贷款率</w:t>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4"/>
        </w:rPr>
        <w:t>1.35%</w:t>
      </w:r>
      <w:r>
        <w:rPr>
          <w:rFonts w:ascii="SimSun" w:hAnsi="SimSun" w:eastAsia="SimSun" w:cs="SimSun"/>
          <w:sz w:val="21"/>
          <w:szCs w:val="21"/>
          <w:spacing w:val="-4"/>
        </w:rPr>
        <w:t>,</w:t>
      </w:r>
      <w:r>
        <w:rPr>
          <w:rFonts w:ascii="SimSun" w:hAnsi="SimSun" w:eastAsia="SimSun" w:cs="SimSun"/>
          <w:sz w:val="21"/>
          <w:szCs w:val="21"/>
        </w:rPr>
        <w:t xml:space="preserve">  </w:t>
      </w:r>
      <w:r>
        <w:rPr>
          <w:rFonts w:ascii="SimSun" w:hAnsi="SimSun" w:eastAsia="SimSun" w:cs="SimSun"/>
          <w:sz w:val="21"/>
          <w:szCs w:val="21"/>
          <w:spacing w:val="-1"/>
        </w:rPr>
        <w:t>分别较上年末增加</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1"/>
        </w:rPr>
        <w:t>17.30 </w:t>
      </w:r>
      <w:r>
        <w:rPr>
          <w:rFonts w:ascii="SimSun" w:hAnsi="SimSun" w:eastAsia="SimSun" w:cs="SimSun"/>
          <w:sz w:val="21"/>
          <w:szCs w:val="21"/>
          <w:spacing w:val="-1"/>
        </w:rPr>
        <w:t>亿元、下降</w:t>
      </w:r>
      <w:r>
        <w:rPr>
          <w:rFonts w:ascii="SimSun" w:hAnsi="SimSun" w:eastAsia="SimSun" w:cs="SimSun"/>
          <w:sz w:val="21"/>
          <w:szCs w:val="21"/>
          <w:spacing w:val="-45"/>
        </w:rPr>
        <w:t xml:space="preserve"> </w:t>
      </w:r>
      <w:r>
        <w:rPr>
          <w:rFonts w:ascii="Times New Roman" w:hAnsi="Times New Roman" w:eastAsia="Times New Roman" w:cs="Times New Roman"/>
          <w:sz w:val="21"/>
          <w:szCs w:val="21"/>
          <w:spacing w:val="-1"/>
        </w:rPr>
        <w:t>0.13 </w:t>
      </w:r>
      <w:r>
        <w:rPr>
          <w:rFonts w:ascii="SimSun" w:hAnsi="SimSun" w:eastAsia="SimSun" w:cs="SimSun"/>
          <w:sz w:val="21"/>
          <w:szCs w:val="21"/>
          <w:spacing w:val="-1"/>
        </w:rPr>
        <w:t>个百分点; 逾期贷款余额占比较年初双降。本集团对</w:t>
      </w:r>
      <w:r>
        <w:rPr>
          <w:rFonts w:ascii="SimSun" w:hAnsi="SimSun" w:eastAsia="SimSun" w:cs="SimSun"/>
          <w:sz w:val="21"/>
          <w:szCs w:val="21"/>
          <w:spacing w:val="-2"/>
        </w:rPr>
        <w:t>逾期贷款采</w:t>
      </w:r>
      <w:r>
        <w:rPr>
          <w:rFonts w:ascii="SimSun" w:hAnsi="SimSun" w:eastAsia="SimSun" w:cs="SimSun"/>
          <w:sz w:val="21"/>
          <w:szCs w:val="21"/>
        </w:rPr>
        <w:t xml:space="preserve"> </w:t>
      </w:r>
      <w:r>
        <w:rPr>
          <w:rFonts w:ascii="SimSun" w:hAnsi="SimSun" w:eastAsia="SimSun" w:cs="SimSun"/>
          <w:sz w:val="21"/>
          <w:szCs w:val="21"/>
          <w:spacing w:val="-3"/>
        </w:rPr>
        <w:t>取审慎的分类标准, 逾期</w:t>
      </w:r>
      <w:r>
        <w:rPr>
          <w:rFonts w:ascii="SimSun" w:hAnsi="SimSun" w:eastAsia="SimSun" w:cs="SimSun"/>
          <w:sz w:val="21"/>
          <w:szCs w:val="21"/>
          <w:spacing w:val="-31"/>
        </w:rPr>
        <w:t xml:space="preserve"> </w:t>
      </w:r>
      <w:r>
        <w:rPr>
          <w:rFonts w:ascii="Times New Roman" w:hAnsi="Times New Roman" w:eastAsia="Times New Roman" w:cs="Times New Roman"/>
          <w:sz w:val="21"/>
          <w:szCs w:val="21"/>
          <w:spacing w:val="-3"/>
        </w:rPr>
        <w:t>60</w:t>
      </w:r>
      <w:r>
        <w:rPr>
          <w:rFonts w:ascii="Times New Roman" w:hAnsi="Times New Roman" w:eastAsia="Times New Roman" w:cs="Times New Roman"/>
          <w:sz w:val="21"/>
          <w:szCs w:val="21"/>
          <w:spacing w:val="13"/>
        </w:rPr>
        <w:t xml:space="preserve"> </w:t>
      </w:r>
      <w:r>
        <w:rPr>
          <w:rFonts w:ascii="SimSun" w:hAnsi="SimSun" w:eastAsia="SimSun" w:cs="SimSun"/>
          <w:sz w:val="21"/>
          <w:szCs w:val="21"/>
          <w:spacing w:val="-3"/>
        </w:rPr>
        <w:t>天以上的对公贷款均已纳入不良贷款,</w:t>
      </w:r>
      <w:r>
        <w:rPr>
          <w:rFonts w:ascii="SimSun" w:hAnsi="SimSun" w:eastAsia="SimSun" w:cs="SimSun"/>
          <w:sz w:val="21"/>
          <w:szCs w:val="21"/>
          <w:spacing w:val="54"/>
        </w:rPr>
        <w:t xml:space="preserve"> </w:t>
      </w:r>
      <w:r>
        <w:rPr>
          <w:rFonts w:ascii="SimSun" w:hAnsi="SimSun" w:eastAsia="SimSun" w:cs="SimSun"/>
          <w:sz w:val="21"/>
          <w:szCs w:val="21"/>
          <w:spacing w:val="-3"/>
        </w:rPr>
        <w:t>占不良贷款的</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3"/>
        </w:rPr>
        <w:t>63%</w:t>
      </w:r>
      <w:r>
        <w:rPr>
          <w:rFonts w:ascii="SimSun" w:hAnsi="SimSun" w:eastAsia="SimSun" w:cs="SimSun"/>
          <w:sz w:val="21"/>
          <w:szCs w:val="21"/>
          <w:spacing w:val="-3"/>
        </w:rPr>
        <w:t>。逾期</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3"/>
        </w:rPr>
        <w:t>90 </w:t>
      </w:r>
      <w:r>
        <w:rPr>
          <w:rFonts w:ascii="SimSun" w:hAnsi="SimSun" w:eastAsia="SimSun" w:cs="SimSun"/>
          <w:sz w:val="21"/>
          <w:szCs w:val="21"/>
          <w:spacing w:val="-3"/>
        </w:rPr>
        <w:t>天以上贷</w:t>
      </w:r>
      <w:r>
        <w:rPr>
          <w:rFonts w:ascii="SimSun" w:hAnsi="SimSun" w:eastAsia="SimSun" w:cs="SimSun"/>
          <w:sz w:val="21"/>
          <w:szCs w:val="21"/>
        </w:rPr>
        <w:t xml:space="preserve"> </w:t>
      </w:r>
      <w:r>
        <w:rPr>
          <w:rFonts w:ascii="SimSun" w:hAnsi="SimSun" w:eastAsia="SimSun" w:cs="SimSun"/>
          <w:sz w:val="21"/>
          <w:szCs w:val="21"/>
          <w:spacing w:val="4"/>
        </w:rPr>
        <w:t>款全部纳入不良贷款,占不良贷款的</w:t>
      </w:r>
      <w:r>
        <w:rPr>
          <w:rFonts w:ascii="SimSun" w:hAnsi="SimSun" w:eastAsia="SimSun" w:cs="SimSun"/>
          <w:sz w:val="21"/>
          <w:szCs w:val="21"/>
          <w:spacing w:val="-31"/>
        </w:rPr>
        <w:t xml:space="preserve"> </w:t>
      </w:r>
      <w:r>
        <w:rPr>
          <w:rFonts w:ascii="Times New Roman" w:hAnsi="Times New Roman" w:eastAsia="Times New Roman" w:cs="Times New Roman"/>
          <w:sz w:val="21"/>
          <w:szCs w:val="21"/>
          <w:spacing w:val="4"/>
        </w:rPr>
        <w:t>58%</w:t>
      </w:r>
      <w:r>
        <w:rPr>
          <w:rFonts w:ascii="SimSun" w:hAnsi="SimSun" w:eastAsia="SimSun" w:cs="SimSun"/>
          <w:sz w:val="21"/>
          <w:szCs w:val="21"/>
          <w:spacing w:val="4"/>
        </w:rPr>
        <w:t>。</w:t>
      </w:r>
    </w:p>
    <w:p>
      <w:pPr>
        <w:pStyle w:val="BodyText"/>
        <w:rPr/>
      </w:pPr>
      <w:r/>
    </w:p>
    <w:p>
      <w:pPr>
        <w:ind w:left="500"/>
        <w:spacing w:before="68" w:line="221" w:lineRule="auto"/>
        <w:rPr>
          <w:rFonts w:ascii="SimSun" w:hAnsi="SimSun" w:eastAsia="SimSun" w:cs="SimSun"/>
          <w:sz w:val="21"/>
          <w:szCs w:val="21"/>
        </w:rPr>
      </w:pPr>
      <w:r>
        <w:rPr>
          <w:rFonts w:ascii="SimSun" w:hAnsi="SimSun" w:eastAsia="SimSun" w:cs="SimSun"/>
          <w:sz w:val="21"/>
          <w:szCs w:val="21"/>
          <w:b/>
          <w:bCs/>
          <w:spacing w:val="-2"/>
        </w:rPr>
        <w:t>贷款五级分类分布情况</w:t>
      </w:r>
    </w:p>
    <w:p>
      <w:pPr>
        <w:pStyle w:val="BodyText"/>
        <w:spacing w:line="277" w:lineRule="auto"/>
        <w:rPr/>
      </w:pPr>
      <w:r/>
    </w:p>
    <w:p>
      <w:pPr>
        <w:ind w:left="7113"/>
        <w:spacing w:before="59" w:line="217" w:lineRule="auto"/>
        <w:rPr>
          <w:rFonts w:ascii="SimSun" w:hAnsi="SimSun" w:eastAsia="SimSun" w:cs="SimSun"/>
          <w:sz w:val="18"/>
          <w:szCs w:val="18"/>
        </w:rPr>
      </w:pPr>
      <w:r>
        <w:rPr>
          <w:rFonts w:ascii="SimSun" w:hAnsi="SimSun" w:eastAsia="SimSun" w:cs="SimSun"/>
          <w:sz w:val="18"/>
          <w:szCs w:val="18"/>
          <w:spacing w:val="6"/>
        </w:rPr>
        <w:t>(除另有标明外,人民币百万元)</w:t>
      </w:r>
    </w:p>
    <w:p>
      <w:pPr>
        <w:spacing w:line="15" w:lineRule="exact"/>
        <w:rPr/>
      </w:pPr>
      <w:r/>
    </w:p>
    <w:tbl>
      <w:tblPr>
        <w:tblStyle w:val="TableNormal"/>
        <w:tblW w:w="9770"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827"/>
        <w:gridCol w:w="343"/>
        <w:gridCol w:w="1266"/>
        <w:gridCol w:w="1061"/>
        <w:gridCol w:w="293"/>
        <w:gridCol w:w="1090"/>
        <w:gridCol w:w="1498"/>
        <w:gridCol w:w="1320"/>
        <w:gridCol w:w="1072"/>
      </w:tblGrid>
      <w:tr>
        <w:trPr>
          <w:trHeight w:val="403" w:hRule="atLeast"/>
        </w:trPr>
        <w:tc>
          <w:tcPr>
            <w:tcW w:w="1827" w:type="dxa"/>
            <w:vAlign w:val="top"/>
            <w:vMerge w:val="restart"/>
            <w:tcBorders>
              <w:bottom w:val="nil"/>
              <w:top w:val="single" w:color="000000" w:sz="2" w:space="0"/>
            </w:tcBorders>
          </w:tcPr>
          <w:p>
            <w:pPr>
              <w:rPr>
                <w:rFonts w:ascii="Arial"/>
                <w:sz w:val="21"/>
              </w:rPr>
            </w:pPr>
            <w:r/>
          </w:p>
        </w:tc>
        <w:tc>
          <w:tcPr>
            <w:shd w:val="clear" w:fill="DBE5F1"/>
            <w:tcW w:w="343" w:type="dxa"/>
            <w:vAlign w:val="top"/>
            <w:tcBorders>
              <w:bottom w:val="single" w:color="000000" w:sz="2" w:space="0"/>
              <w:top w:val="single" w:color="000000" w:sz="2" w:space="0"/>
            </w:tcBorders>
          </w:tcPr>
          <w:p>
            <w:pPr>
              <w:ind w:firstLine="2"/>
              <w:spacing w:before="4" w:line="388" w:lineRule="exact"/>
              <w:rPr/>
            </w:pPr>
            <w:r>
              <w:rPr>
                <w:position w:val="-8"/>
              </w:rPr>
              <w:pict>
                <v:shape id="_x0000_s290" style="mso-position-vertical-relative:line;mso-position-horizontal-relative:char;width:2.9pt;height:19.7pt;" fillcolor="#DBE5F1" filled="true" stroked="false" coordsize="58,394" coordorigin="0,0" path="m0,393l57,393l57,0l0,0l0,393xe"/>
              </w:pict>
            </w:r>
          </w:p>
        </w:tc>
        <w:tc>
          <w:tcPr>
            <w:shd w:val="clear" w:fill="DBE5F1"/>
            <w:tcW w:w="2327" w:type="dxa"/>
            <w:vAlign w:val="top"/>
            <w:gridSpan w:val="2"/>
            <w:tcBorders>
              <w:bottom w:val="single" w:color="000000" w:sz="2" w:space="0"/>
              <w:top w:val="single" w:color="000000" w:sz="2" w:space="0"/>
            </w:tcBorders>
          </w:tcPr>
          <w:p>
            <w:pPr>
              <w:pStyle w:val="TableText"/>
              <w:ind w:left="282"/>
              <w:spacing w:before="131" w:line="220" w:lineRule="auto"/>
              <w:rPr>
                <w:sz w:val="18"/>
                <w:szCs w:val="18"/>
              </w:rPr>
            </w:pPr>
            <w:r>
              <w:rPr>
                <w:rFonts w:ascii="Times New Roman" w:hAnsi="Times New Roman" w:eastAsia="Times New Roman" w:cs="Times New Roman"/>
                <w:sz w:val="18"/>
                <w:szCs w:val="18"/>
                <w:b/>
                <w:bCs/>
                <w:spacing w:val="-3"/>
              </w:rPr>
              <w:t>2022 </w:t>
            </w:r>
            <w:r>
              <w:rPr>
                <w:sz w:val="18"/>
                <w:szCs w:val="18"/>
                <w:b/>
                <w:bCs/>
                <w:spacing w:val="-3"/>
              </w:rPr>
              <w:t>年</w:t>
            </w:r>
            <w:r>
              <w:rPr>
                <w:sz w:val="18"/>
                <w:szCs w:val="18"/>
                <w:spacing w:val="-32"/>
              </w:rPr>
              <w:t xml:space="preserve"> </w:t>
            </w:r>
            <w:r>
              <w:rPr>
                <w:rFonts w:ascii="Times New Roman" w:hAnsi="Times New Roman" w:eastAsia="Times New Roman" w:cs="Times New Roman"/>
                <w:sz w:val="18"/>
                <w:szCs w:val="18"/>
                <w:b/>
                <w:bCs/>
                <w:spacing w:val="-3"/>
              </w:rPr>
              <w:t>12</w:t>
            </w:r>
            <w:r>
              <w:rPr>
                <w:rFonts w:ascii="Times New Roman" w:hAnsi="Times New Roman" w:eastAsia="Times New Roman" w:cs="Times New Roman"/>
                <w:sz w:val="18"/>
                <w:szCs w:val="18"/>
                <w:b/>
                <w:bCs/>
                <w:spacing w:val="11"/>
              </w:rPr>
              <w:t xml:space="preserve"> </w:t>
            </w:r>
            <w:r>
              <w:rPr>
                <w:sz w:val="18"/>
                <w:szCs w:val="18"/>
                <w:b/>
                <w:bCs/>
                <w:spacing w:val="-3"/>
              </w:rPr>
              <w:t>月</w:t>
            </w:r>
            <w:r>
              <w:rPr>
                <w:sz w:val="18"/>
                <w:szCs w:val="18"/>
                <w:spacing w:val="-42"/>
              </w:rPr>
              <w:t xml:space="preserve"> </w:t>
            </w:r>
            <w:r>
              <w:rPr>
                <w:rFonts w:ascii="Times New Roman" w:hAnsi="Times New Roman" w:eastAsia="Times New Roman" w:cs="Times New Roman"/>
                <w:sz w:val="18"/>
                <w:szCs w:val="18"/>
                <w:b/>
                <w:bCs/>
                <w:spacing w:val="-3"/>
              </w:rPr>
              <w:t>31  </w:t>
            </w:r>
            <w:r>
              <w:rPr>
                <w:sz w:val="18"/>
                <w:szCs w:val="18"/>
                <w:b/>
                <w:bCs/>
                <w:spacing w:val="-3"/>
              </w:rPr>
              <w:t>日</w:t>
            </w:r>
          </w:p>
        </w:tc>
        <w:tc>
          <w:tcPr>
            <w:tcW w:w="293" w:type="dxa"/>
            <w:vAlign w:val="top"/>
            <w:tcBorders>
              <w:bottom w:val="single" w:color="000000" w:sz="2" w:space="0"/>
              <w:top w:val="single" w:color="000000" w:sz="2" w:space="0"/>
            </w:tcBorders>
          </w:tcPr>
          <w:p>
            <w:pPr>
              <w:spacing w:before="4" w:line="388" w:lineRule="exact"/>
              <w:rPr/>
            </w:pPr>
            <w:r>
              <w:rPr>
                <w:position w:val="-8"/>
              </w:rPr>
              <w:pict>
                <v:shape id="_x0000_s292" style="mso-position-vertical-relative:line;mso-position-horizontal-relative:char;width:2.9pt;height:19.7pt;" fillcolor="#DBE5F1" filled="true" stroked="false" coordsize="58,394" coordorigin="0,0" path="m0,393l57,393l57,0l0,0l0,393xe"/>
              </w:pict>
            </w:r>
          </w:p>
        </w:tc>
        <w:tc>
          <w:tcPr>
            <w:tcW w:w="2588" w:type="dxa"/>
            <w:vAlign w:val="top"/>
            <w:gridSpan w:val="2"/>
            <w:tcBorders>
              <w:bottom w:val="single" w:color="000000" w:sz="2" w:space="0"/>
              <w:top w:val="single" w:color="000000" w:sz="2" w:space="0"/>
            </w:tcBorders>
          </w:tcPr>
          <w:p>
            <w:pPr>
              <w:pStyle w:val="TableText"/>
              <w:ind w:left="235"/>
              <w:spacing w:before="131" w:line="220" w:lineRule="auto"/>
              <w:rPr>
                <w:sz w:val="18"/>
                <w:szCs w:val="18"/>
              </w:rPr>
            </w:pPr>
            <w:r>
              <w:rPr>
                <w:rFonts w:ascii="Times New Roman" w:hAnsi="Times New Roman" w:eastAsia="Times New Roman" w:cs="Times New Roman"/>
                <w:sz w:val="18"/>
                <w:szCs w:val="18"/>
                <w:spacing w:val="-5"/>
              </w:rPr>
              <w:t>2021</w:t>
            </w:r>
            <w:r>
              <w:rPr>
                <w:rFonts w:ascii="Times New Roman" w:hAnsi="Times New Roman" w:eastAsia="Times New Roman" w:cs="Times New Roman"/>
                <w:sz w:val="18"/>
                <w:szCs w:val="18"/>
                <w:spacing w:val="11"/>
              </w:rPr>
              <w:t xml:space="preserve"> </w:t>
            </w:r>
            <w:r>
              <w:rPr>
                <w:sz w:val="18"/>
                <w:szCs w:val="18"/>
                <w:spacing w:val="-5"/>
              </w:rPr>
              <w:t>年</w:t>
            </w:r>
            <w:r>
              <w:rPr>
                <w:sz w:val="18"/>
                <w:szCs w:val="18"/>
                <w:spacing w:val="-26"/>
              </w:rPr>
              <w:t xml:space="preserve"> </w:t>
            </w:r>
            <w:r>
              <w:rPr>
                <w:rFonts w:ascii="Times New Roman" w:hAnsi="Times New Roman" w:eastAsia="Times New Roman" w:cs="Times New Roman"/>
                <w:sz w:val="18"/>
                <w:szCs w:val="18"/>
                <w:spacing w:val="-5"/>
              </w:rPr>
              <w:t>12</w:t>
            </w:r>
            <w:r>
              <w:rPr>
                <w:rFonts w:ascii="Times New Roman" w:hAnsi="Times New Roman" w:eastAsia="Times New Roman" w:cs="Times New Roman"/>
                <w:sz w:val="18"/>
                <w:szCs w:val="18"/>
                <w:spacing w:val="13"/>
                <w:w w:val="101"/>
              </w:rPr>
              <w:t xml:space="preserve"> </w:t>
            </w:r>
            <w:r>
              <w:rPr>
                <w:sz w:val="18"/>
                <w:szCs w:val="18"/>
                <w:spacing w:val="-5"/>
              </w:rPr>
              <w:t>月</w:t>
            </w:r>
            <w:r>
              <w:rPr>
                <w:sz w:val="18"/>
                <w:szCs w:val="18"/>
                <w:spacing w:val="-37"/>
              </w:rPr>
              <w:t xml:space="preserve"> </w:t>
            </w:r>
            <w:r>
              <w:rPr>
                <w:rFonts w:ascii="Times New Roman" w:hAnsi="Times New Roman" w:eastAsia="Times New Roman" w:cs="Times New Roman"/>
                <w:sz w:val="18"/>
                <w:szCs w:val="18"/>
                <w:spacing w:val="-5"/>
              </w:rPr>
              <w:t>31</w:t>
            </w:r>
            <w:r>
              <w:rPr>
                <w:rFonts w:ascii="Times New Roman" w:hAnsi="Times New Roman" w:eastAsia="Times New Roman" w:cs="Times New Roman"/>
                <w:sz w:val="18"/>
                <w:szCs w:val="18"/>
                <w:spacing w:val="40"/>
              </w:rPr>
              <w:t xml:space="preserve"> </w:t>
            </w:r>
            <w:r>
              <w:rPr>
                <w:sz w:val="18"/>
                <w:szCs w:val="18"/>
                <w:spacing w:val="-5"/>
              </w:rPr>
              <w:t>日</w:t>
            </w:r>
          </w:p>
        </w:tc>
        <w:tc>
          <w:tcPr>
            <w:tcW w:w="2392" w:type="dxa"/>
            <w:vAlign w:val="top"/>
            <w:gridSpan w:val="2"/>
            <w:tcBorders>
              <w:bottom w:val="single" w:color="000000" w:sz="2" w:space="0"/>
              <w:top w:val="single" w:color="000000" w:sz="2" w:space="0"/>
            </w:tcBorders>
          </w:tcPr>
          <w:p>
            <w:pPr>
              <w:pStyle w:val="TableText"/>
              <w:ind w:left="254"/>
              <w:spacing w:before="131" w:line="220" w:lineRule="auto"/>
              <w:rPr>
                <w:sz w:val="18"/>
                <w:szCs w:val="18"/>
              </w:rPr>
            </w:pPr>
            <w:r>
              <w:rPr>
                <w:rFonts w:ascii="Times New Roman" w:hAnsi="Times New Roman" w:eastAsia="Times New Roman" w:cs="Times New Roman"/>
                <w:sz w:val="18"/>
                <w:szCs w:val="18"/>
                <w:spacing w:val="-5"/>
              </w:rPr>
              <w:t>2020</w:t>
            </w:r>
            <w:r>
              <w:rPr>
                <w:rFonts w:ascii="Times New Roman" w:hAnsi="Times New Roman" w:eastAsia="Times New Roman" w:cs="Times New Roman"/>
                <w:sz w:val="18"/>
                <w:szCs w:val="18"/>
                <w:spacing w:val="11"/>
                <w:w w:val="101"/>
              </w:rPr>
              <w:t xml:space="preserve"> </w:t>
            </w:r>
            <w:r>
              <w:rPr>
                <w:sz w:val="18"/>
                <w:szCs w:val="18"/>
                <w:spacing w:val="-5"/>
              </w:rPr>
              <w:t>年</w:t>
            </w:r>
            <w:r>
              <w:rPr>
                <w:sz w:val="18"/>
                <w:szCs w:val="18"/>
                <w:spacing w:val="-26"/>
              </w:rPr>
              <w:t xml:space="preserve"> </w:t>
            </w:r>
            <w:r>
              <w:rPr>
                <w:rFonts w:ascii="Times New Roman" w:hAnsi="Times New Roman" w:eastAsia="Times New Roman" w:cs="Times New Roman"/>
                <w:sz w:val="18"/>
                <w:szCs w:val="18"/>
                <w:spacing w:val="-5"/>
              </w:rPr>
              <w:t>12</w:t>
            </w:r>
            <w:r>
              <w:rPr>
                <w:rFonts w:ascii="Times New Roman" w:hAnsi="Times New Roman" w:eastAsia="Times New Roman" w:cs="Times New Roman"/>
                <w:sz w:val="18"/>
                <w:szCs w:val="18"/>
                <w:spacing w:val="13"/>
                <w:w w:val="101"/>
              </w:rPr>
              <w:t xml:space="preserve"> </w:t>
            </w:r>
            <w:r>
              <w:rPr>
                <w:sz w:val="18"/>
                <w:szCs w:val="18"/>
                <w:spacing w:val="-5"/>
              </w:rPr>
              <w:t>月</w:t>
            </w:r>
            <w:r>
              <w:rPr>
                <w:sz w:val="18"/>
                <w:szCs w:val="18"/>
                <w:spacing w:val="-37"/>
              </w:rPr>
              <w:t xml:space="preserve"> </w:t>
            </w:r>
            <w:r>
              <w:rPr>
                <w:rFonts w:ascii="Times New Roman" w:hAnsi="Times New Roman" w:eastAsia="Times New Roman" w:cs="Times New Roman"/>
                <w:sz w:val="18"/>
                <w:szCs w:val="18"/>
                <w:spacing w:val="-5"/>
              </w:rPr>
              <w:t>31</w:t>
            </w:r>
            <w:r>
              <w:rPr>
                <w:rFonts w:ascii="Times New Roman" w:hAnsi="Times New Roman" w:eastAsia="Times New Roman" w:cs="Times New Roman"/>
                <w:sz w:val="18"/>
                <w:szCs w:val="18"/>
                <w:spacing w:val="39"/>
                <w:w w:val="101"/>
              </w:rPr>
              <w:t xml:space="preserve"> </w:t>
            </w:r>
            <w:r>
              <w:rPr>
                <w:sz w:val="18"/>
                <w:szCs w:val="18"/>
                <w:spacing w:val="-5"/>
              </w:rPr>
              <w:t>日</w:t>
            </w:r>
          </w:p>
        </w:tc>
      </w:tr>
      <w:tr>
        <w:trPr>
          <w:trHeight w:val="400" w:hRule="atLeast"/>
        </w:trPr>
        <w:tc>
          <w:tcPr>
            <w:tcW w:w="1827" w:type="dxa"/>
            <w:vAlign w:val="top"/>
            <w:vMerge w:val="continue"/>
            <w:tcBorders>
              <w:bottom w:val="single" w:color="000000" w:sz="2" w:space="0"/>
              <w:top w:val="nil"/>
            </w:tcBorders>
          </w:tcPr>
          <w:p>
            <w:pPr>
              <w:rPr>
                <w:rFonts w:ascii="Arial"/>
                <w:sz w:val="21"/>
              </w:rPr>
            </w:pPr>
            <w:r/>
          </w:p>
        </w:tc>
        <w:tc>
          <w:tcPr>
            <w:shd w:val="clear" w:fill="DBE5F1"/>
            <w:tcW w:w="343" w:type="dxa"/>
            <w:vAlign w:val="top"/>
            <w:tcBorders>
              <w:bottom w:val="single" w:color="000000" w:sz="2" w:space="0"/>
              <w:top w:val="single" w:color="000000" w:sz="2" w:space="0"/>
            </w:tcBorders>
          </w:tcPr>
          <w:p>
            <w:pPr>
              <w:ind w:firstLine="2"/>
              <w:spacing w:line="390" w:lineRule="exact"/>
              <w:rPr/>
            </w:pPr>
            <w:r>
              <w:rPr>
                <w:position w:val="-8"/>
              </w:rPr>
              <w:pict>
                <v:shape id="_x0000_s294" style="mso-position-vertical-relative:line;mso-position-horizontal-relative:char;width:2.9pt;height:19.8pt;" fillcolor="#DBE5F1" filled="true" stroked="false" coordsize="58,395" coordorigin="0,0" path="m0,395l57,395l57,0l0,0l0,395xe"/>
              </w:pict>
            </w:r>
          </w:p>
        </w:tc>
        <w:tc>
          <w:tcPr>
            <w:shd w:val="clear" w:fill="DBE5F1"/>
            <w:tcW w:w="1266" w:type="dxa"/>
            <w:vAlign w:val="top"/>
            <w:tcBorders>
              <w:bottom w:val="single" w:color="000000" w:sz="2" w:space="0"/>
              <w:top w:val="single" w:color="000000" w:sz="2" w:space="0"/>
            </w:tcBorders>
          </w:tcPr>
          <w:p>
            <w:pPr>
              <w:pStyle w:val="TableText"/>
              <w:jc w:val="right"/>
              <w:rPr>
                <w:sz w:val="18"/>
                <w:szCs w:val="18"/>
              </w:rPr>
            </w:pPr>
            <w:r>
              <w:rPr>
                <w:sz w:val="18"/>
                <w:szCs w:val="18"/>
                <w:b/>
                <w:bCs/>
                <w:spacing w:val="-5"/>
              </w:rPr>
              <w:t>金额</w:t>
            </w:r>
            <w:r>
              <w:rPr>
                <w:sz w:val="18"/>
                <w:szCs w:val="18"/>
                <w:spacing w:val="-35"/>
              </w:rPr>
              <w:t xml:space="preserve"> </w:t>
            </w:r>
            <w:r>
              <w:rPr>
                <w:sz w:val="18"/>
                <w:szCs w:val="18"/>
                <w:position w:val="-11"/>
              </w:rPr>
              <w:drawing>
                <wp:inline distT="0" distB="0" distL="0" distR="0">
                  <wp:extent cx="36576" cy="247650"/>
                  <wp:effectExtent l="0" t="0" r="0" b="0"/>
                  <wp:docPr id="86" name="IM 86"/>
                  <wp:cNvGraphicFramePr/>
                  <a:graphic>
                    <a:graphicData uri="http://schemas.openxmlformats.org/drawingml/2006/picture">
                      <pic:pic>
                        <pic:nvPicPr>
                          <pic:cNvPr id="86" name="IM 86"/>
                          <pic:cNvPicPr/>
                        </pic:nvPicPr>
                        <pic:blipFill>
                          <a:blip r:embed="rId49"/>
                          <a:stretch>
                            <a:fillRect/>
                          </a:stretch>
                        </pic:blipFill>
                        <pic:spPr>
                          <a:xfrm rot="0">
                            <a:off x="0" y="0"/>
                            <a:ext cx="36576" cy="247650"/>
                          </a:xfrm>
                          <a:prstGeom prst="rect">
                            <a:avLst/>
                          </a:prstGeom>
                        </pic:spPr>
                      </pic:pic>
                    </a:graphicData>
                  </a:graphic>
                </wp:inline>
              </w:drawing>
            </w:r>
          </w:p>
        </w:tc>
        <w:tc>
          <w:tcPr>
            <w:shd w:val="clear" w:fill="DBE5F1"/>
            <w:tcW w:w="1061" w:type="dxa"/>
            <w:vAlign w:val="top"/>
            <w:tcBorders>
              <w:bottom w:val="single" w:color="000000" w:sz="2" w:space="0"/>
              <w:top w:val="single" w:color="000000" w:sz="2" w:space="0"/>
            </w:tcBorders>
          </w:tcPr>
          <w:p>
            <w:pPr>
              <w:pStyle w:val="TableText"/>
              <w:ind w:left="196"/>
              <w:spacing w:before="125" w:line="222" w:lineRule="auto"/>
              <w:rPr>
                <w:sz w:val="18"/>
                <w:szCs w:val="18"/>
              </w:rPr>
            </w:pPr>
            <w:r>
              <w:rPr>
                <w:sz w:val="18"/>
                <w:szCs w:val="18"/>
                <w:b/>
                <w:bCs/>
                <w:spacing w:val="17"/>
                <w:w w:val="110"/>
              </w:rPr>
              <w:t>占比(%)</w:t>
            </w:r>
          </w:p>
        </w:tc>
        <w:tc>
          <w:tcPr>
            <w:tcW w:w="293" w:type="dxa"/>
            <w:vAlign w:val="top"/>
            <w:tcBorders>
              <w:bottom w:val="single" w:color="000000" w:sz="2" w:space="0"/>
              <w:top w:val="single" w:color="000000" w:sz="2" w:space="0"/>
            </w:tcBorders>
          </w:tcPr>
          <w:p>
            <w:pPr>
              <w:spacing w:line="390" w:lineRule="exact"/>
              <w:rPr/>
            </w:pPr>
            <w:r>
              <w:rPr>
                <w:position w:val="-8"/>
              </w:rPr>
              <w:pict>
                <v:shape id="_x0000_s296" style="mso-position-vertical-relative:line;mso-position-horizontal-relative:char;width:2.9pt;height:19.8pt;" fillcolor="#DBE5F1" filled="true" stroked="false" coordsize="58,395" coordorigin="0,0" path="m0,395l57,395l57,0l0,0l0,395xe"/>
              </w:pict>
            </w:r>
          </w:p>
        </w:tc>
        <w:tc>
          <w:tcPr>
            <w:tcW w:w="1090" w:type="dxa"/>
            <w:vAlign w:val="top"/>
            <w:tcBorders>
              <w:bottom w:val="single" w:color="000000" w:sz="2" w:space="0"/>
              <w:top w:val="single" w:color="000000" w:sz="2" w:space="0"/>
            </w:tcBorders>
          </w:tcPr>
          <w:p>
            <w:pPr>
              <w:pStyle w:val="TableText"/>
              <w:ind w:left="567"/>
              <w:spacing w:before="126" w:line="220" w:lineRule="auto"/>
              <w:rPr>
                <w:sz w:val="18"/>
                <w:szCs w:val="18"/>
              </w:rPr>
            </w:pPr>
            <w:r>
              <w:rPr>
                <w:sz w:val="18"/>
                <w:szCs w:val="18"/>
                <w:spacing w:val="-3"/>
              </w:rPr>
              <w:t>金额</w:t>
            </w:r>
          </w:p>
        </w:tc>
        <w:tc>
          <w:tcPr>
            <w:tcW w:w="1498" w:type="dxa"/>
            <w:vAlign w:val="top"/>
            <w:tcBorders>
              <w:bottom w:val="single" w:color="000000" w:sz="2" w:space="0"/>
              <w:top w:val="single" w:color="000000" w:sz="2" w:space="0"/>
            </w:tcBorders>
          </w:tcPr>
          <w:p>
            <w:pPr>
              <w:pStyle w:val="TableText"/>
              <w:ind w:left="177"/>
              <w:spacing w:before="125" w:line="222" w:lineRule="auto"/>
              <w:rPr>
                <w:sz w:val="18"/>
                <w:szCs w:val="18"/>
              </w:rPr>
            </w:pPr>
            <w:r>
              <w:rPr>
                <w:sz w:val="18"/>
                <w:szCs w:val="18"/>
                <w:spacing w:val="17"/>
                <w:w w:val="111"/>
              </w:rPr>
              <w:t>占比(%)</w:t>
            </w:r>
          </w:p>
        </w:tc>
        <w:tc>
          <w:tcPr>
            <w:tcW w:w="1320" w:type="dxa"/>
            <w:vAlign w:val="top"/>
            <w:tcBorders>
              <w:bottom w:val="single" w:color="000000" w:sz="2" w:space="0"/>
              <w:top w:val="single" w:color="000000" w:sz="2" w:space="0"/>
            </w:tcBorders>
          </w:tcPr>
          <w:p>
            <w:pPr>
              <w:pStyle w:val="TableText"/>
              <w:ind w:left="823"/>
              <w:spacing w:before="126" w:line="220" w:lineRule="auto"/>
              <w:rPr>
                <w:sz w:val="18"/>
                <w:szCs w:val="18"/>
              </w:rPr>
            </w:pPr>
            <w:r>
              <w:rPr>
                <w:sz w:val="18"/>
                <w:szCs w:val="18"/>
                <w:spacing w:val="-3"/>
              </w:rPr>
              <w:t>金额</w:t>
            </w:r>
          </w:p>
        </w:tc>
        <w:tc>
          <w:tcPr>
            <w:tcW w:w="1072" w:type="dxa"/>
            <w:vAlign w:val="top"/>
            <w:tcBorders>
              <w:bottom w:val="single" w:color="000000" w:sz="2" w:space="0"/>
              <w:top w:val="single" w:color="000000" w:sz="2" w:space="0"/>
            </w:tcBorders>
          </w:tcPr>
          <w:p>
            <w:pPr>
              <w:pStyle w:val="TableText"/>
              <w:ind w:left="150"/>
              <w:spacing w:before="125" w:line="222" w:lineRule="auto"/>
              <w:rPr>
                <w:sz w:val="18"/>
                <w:szCs w:val="18"/>
              </w:rPr>
            </w:pPr>
            <w:r>
              <w:rPr>
                <w:sz w:val="18"/>
                <w:szCs w:val="18"/>
                <w:spacing w:val="17"/>
                <w:w w:val="111"/>
              </w:rPr>
              <w:t>占比(%)</w:t>
            </w:r>
          </w:p>
        </w:tc>
      </w:tr>
      <w:tr>
        <w:trPr>
          <w:trHeight w:val="398" w:hRule="atLeast"/>
        </w:trPr>
        <w:tc>
          <w:tcPr>
            <w:tcW w:w="1827" w:type="dxa"/>
            <w:vAlign w:val="top"/>
            <w:tcBorders>
              <w:bottom w:val="single" w:color="000000" w:sz="2" w:space="0"/>
              <w:top w:val="single" w:color="000000" w:sz="2" w:space="0"/>
            </w:tcBorders>
          </w:tcPr>
          <w:p>
            <w:pPr>
              <w:pStyle w:val="TableText"/>
              <w:ind w:left="82"/>
              <w:spacing w:before="127" w:line="220" w:lineRule="auto"/>
              <w:rPr>
                <w:sz w:val="18"/>
                <w:szCs w:val="18"/>
              </w:rPr>
            </w:pPr>
            <w:r>
              <w:rPr>
                <w:sz w:val="18"/>
                <w:szCs w:val="18"/>
                <w:spacing w:val="-2"/>
              </w:rPr>
              <w:t>正常类贷款</w:t>
            </w:r>
          </w:p>
        </w:tc>
        <w:tc>
          <w:tcPr>
            <w:shd w:val="clear" w:fill="DBE5F1"/>
            <w:tcW w:w="343" w:type="dxa"/>
            <w:vAlign w:val="top"/>
            <w:tcBorders>
              <w:bottom w:val="single" w:color="000000" w:sz="2" w:space="0"/>
              <w:top w:val="single" w:color="000000" w:sz="2" w:space="0"/>
            </w:tcBorders>
          </w:tcPr>
          <w:p>
            <w:pPr>
              <w:ind w:firstLine="2"/>
              <w:spacing w:line="387" w:lineRule="exact"/>
              <w:rPr/>
            </w:pPr>
            <w:r>
              <w:rPr>
                <w:position w:val="-8"/>
              </w:rPr>
              <w:pict>
                <v:shape id="_x0000_s298" style="mso-position-vertical-relative:line;mso-position-horizontal-relative:char;width:2.9pt;height:19.75pt;" fillcolor="#DBE5F1" filled="true" stroked="false" coordsize="58,395" coordorigin="0,0" path="m0,394l57,394l57,0l0,0l0,394xe"/>
              </w:pict>
            </w:r>
          </w:p>
        </w:tc>
        <w:tc>
          <w:tcPr>
            <w:shd w:val="clear" w:fill="DBE5F1"/>
            <w:tcW w:w="1266" w:type="dxa"/>
            <w:vAlign w:val="top"/>
            <w:tcBorders>
              <w:bottom w:val="single" w:color="000000" w:sz="2" w:space="0"/>
              <w:top w:val="single" w:color="000000" w:sz="2" w:space="0"/>
            </w:tcBorders>
          </w:tcPr>
          <w:p>
            <w:pPr>
              <w:jc w:val="right"/>
              <w:rPr>
                <w:sz w:val="18"/>
                <w:szCs w:val="18"/>
              </w:rPr>
            </w:pPr>
            <w:r>
              <w:rPr>
                <w:rFonts w:ascii="Times New Roman" w:hAnsi="Times New Roman" w:eastAsia="Times New Roman" w:cs="Times New Roman"/>
                <w:sz w:val="18"/>
                <w:szCs w:val="18"/>
                <w:b/>
                <w:bCs/>
                <w:spacing w:val="-1"/>
              </w:rPr>
              <w:t>7,092,545</w:t>
            </w:r>
            <w:r>
              <w:rPr>
                <w:rFonts w:ascii="Times New Roman" w:hAnsi="Times New Roman" w:eastAsia="Times New Roman" w:cs="Times New Roman"/>
                <w:sz w:val="18"/>
                <w:szCs w:val="18"/>
                <w:b/>
                <w:bCs/>
                <w:spacing w:val="12"/>
                <w:w w:val="101"/>
              </w:rPr>
              <w:t xml:space="preserve"> </w:t>
            </w:r>
            <w:r>
              <w:rPr>
                <w:sz w:val="18"/>
                <w:szCs w:val="18"/>
                <w:position w:val="-11"/>
              </w:rPr>
              <w:drawing>
                <wp:inline distT="0" distB="0" distL="0" distR="0">
                  <wp:extent cx="36576" cy="246176"/>
                  <wp:effectExtent l="0" t="0" r="0" b="0"/>
                  <wp:docPr id="88" name="IM 88"/>
                  <wp:cNvGraphicFramePr/>
                  <a:graphic>
                    <a:graphicData uri="http://schemas.openxmlformats.org/drawingml/2006/picture">
                      <pic:pic>
                        <pic:nvPicPr>
                          <pic:cNvPr id="88" name="IM 88"/>
                          <pic:cNvPicPr/>
                        </pic:nvPicPr>
                        <pic:blipFill>
                          <a:blip r:embed="rId50"/>
                          <a:stretch>
                            <a:fillRect/>
                          </a:stretch>
                        </pic:blipFill>
                        <pic:spPr>
                          <a:xfrm rot="0">
                            <a:off x="0" y="0"/>
                            <a:ext cx="36576" cy="246176"/>
                          </a:xfrm>
                          <a:prstGeom prst="rect">
                            <a:avLst/>
                          </a:prstGeom>
                        </pic:spPr>
                      </pic:pic>
                    </a:graphicData>
                  </a:graphic>
                </wp:inline>
              </w:drawing>
            </w:r>
          </w:p>
        </w:tc>
        <w:tc>
          <w:tcPr>
            <w:shd w:val="clear" w:fill="DBE5F1"/>
            <w:tcW w:w="1061" w:type="dxa"/>
            <w:vAlign w:val="top"/>
            <w:tcBorders>
              <w:bottom w:val="single" w:color="000000" w:sz="2" w:space="0"/>
              <w:top w:val="single" w:color="000000" w:sz="2" w:space="0"/>
            </w:tcBorders>
          </w:tcPr>
          <w:p>
            <w:pPr>
              <w:spacing w:before="160"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97.21</w:t>
            </w:r>
          </w:p>
        </w:tc>
        <w:tc>
          <w:tcPr>
            <w:tcW w:w="293" w:type="dxa"/>
            <w:vAlign w:val="top"/>
            <w:tcBorders>
              <w:bottom w:val="single" w:color="000000" w:sz="2" w:space="0"/>
              <w:top w:val="single" w:color="000000" w:sz="2" w:space="0"/>
            </w:tcBorders>
          </w:tcPr>
          <w:p>
            <w:pPr>
              <w:spacing w:line="387" w:lineRule="exact"/>
              <w:rPr/>
            </w:pPr>
            <w:r>
              <w:rPr>
                <w:position w:val="-8"/>
              </w:rPr>
              <w:pict>
                <v:shape id="_x0000_s300" style="mso-position-vertical-relative:line;mso-position-horizontal-relative:char;width:2.9pt;height:19.75pt;" fillcolor="#DBE5F1" filled="true" stroked="false" coordsize="58,395" coordorigin="0,0" path="m0,394l57,394l57,0l0,0l0,394xe"/>
              </w:pict>
            </w:r>
          </w:p>
        </w:tc>
        <w:tc>
          <w:tcPr>
            <w:tcW w:w="1090" w:type="dxa"/>
            <w:vAlign w:val="top"/>
            <w:tcBorders>
              <w:bottom w:val="single" w:color="000000" w:sz="2" w:space="0"/>
              <w:top w:val="single" w:color="000000" w:sz="2" w:space="0"/>
            </w:tcBorders>
          </w:tcPr>
          <w:p>
            <w:pPr>
              <w:ind w:left="205"/>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6,374,975</w:t>
            </w:r>
          </w:p>
        </w:tc>
        <w:tc>
          <w:tcPr>
            <w:tcW w:w="1498" w:type="dxa"/>
            <w:vAlign w:val="top"/>
            <w:tcBorders>
              <w:bottom w:val="single" w:color="000000" w:sz="2" w:space="0"/>
              <w:top w:val="single" w:color="000000" w:sz="2" w:space="0"/>
            </w:tcBorders>
          </w:tcPr>
          <w:p>
            <w:pPr>
              <w:ind w:left="642"/>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97.17</w:t>
            </w:r>
          </w:p>
        </w:tc>
        <w:tc>
          <w:tcPr>
            <w:tcW w:w="1320" w:type="dxa"/>
            <w:vAlign w:val="top"/>
            <w:tcBorders>
              <w:bottom w:val="single" w:color="000000" w:sz="2" w:space="0"/>
              <w:top w:val="single" w:color="000000" w:sz="2" w:space="0"/>
            </w:tcBorders>
          </w:tcPr>
          <w:p>
            <w:pPr>
              <w:ind w:left="463"/>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5,668,199</w:t>
            </w:r>
          </w:p>
        </w:tc>
        <w:tc>
          <w:tcPr>
            <w:tcW w:w="1072" w:type="dxa"/>
            <w:vAlign w:val="top"/>
            <w:tcBorders>
              <w:bottom w:val="single" w:color="000000" w:sz="2" w:space="0"/>
              <w:top w:val="single" w:color="000000" w:sz="2" w:space="0"/>
            </w:tcBorders>
          </w:tcPr>
          <w:p>
            <w:pPr>
              <w:ind w:left="615"/>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96.92</w:t>
            </w:r>
          </w:p>
        </w:tc>
      </w:tr>
      <w:tr>
        <w:trPr>
          <w:trHeight w:val="398" w:hRule="atLeast"/>
        </w:trPr>
        <w:tc>
          <w:tcPr>
            <w:tcW w:w="1827" w:type="dxa"/>
            <w:vAlign w:val="top"/>
            <w:tcBorders>
              <w:bottom w:val="single" w:color="000000" w:sz="2" w:space="0"/>
              <w:top w:val="single" w:color="000000" w:sz="2" w:space="0"/>
            </w:tcBorders>
          </w:tcPr>
          <w:p>
            <w:pPr>
              <w:pStyle w:val="TableText"/>
              <w:ind w:left="81"/>
              <w:spacing w:before="127" w:line="220" w:lineRule="auto"/>
              <w:rPr>
                <w:sz w:val="18"/>
                <w:szCs w:val="18"/>
              </w:rPr>
            </w:pPr>
            <w:r>
              <w:rPr>
                <w:sz w:val="18"/>
                <w:szCs w:val="18"/>
                <w:spacing w:val="-2"/>
              </w:rPr>
              <w:t>关注类贷款</w:t>
            </w:r>
          </w:p>
        </w:tc>
        <w:tc>
          <w:tcPr>
            <w:shd w:val="clear" w:fill="DBE5F1"/>
            <w:tcW w:w="343" w:type="dxa"/>
            <w:vAlign w:val="top"/>
            <w:tcBorders>
              <w:bottom w:val="single" w:color="000000" w:sz="2" w:space="0"/>
              <w:top w:val="single" w:color="000000" w:sz="2" w:space="0"/>
            </w:tcBorders>
          </w:tcPr>
          <w:p>
            <w:pPr>
              <w:ind w:firstLine="2"/>
              <w:spacing w:before="1" w:line="386" w:lineRule="exact"/>
              <w:rPr/>
            </w:pPr>
            <w:r>
              <w:rPr>
                <w:position w:val="-8"/>
              </w:rPr>
              <w:pict>
                <v:shape id="_x0000_s302" style="mso-position-vertical-relative:line;mso-position-horizontal-relative:char;width:2.9pt;height:19.7pt;" fillcolor="#DBE5F1" filled="true" stroked="false" coordsize="58,394" coordorigin="0,0" path="m0,393l57,393l57,0l0,0l0,393xe"/>
              </w:pict>
            </w:r>
          </w:p>
        </w:tc>
        <w:tc>
          <w:tcPr>
            <w:shd w:val="clear" w:fill="DBE5F1"/>
            <w:tcW w:w="1266" w:type="dxa"/>
            <w:vAlign w:val="top"/>
            <w:tcBorders>
              <w:bottom w:val="single" w:color="000000" w:sz="2" w:space="0"/>
              <w:top w:val="single" w:color="000000" w:sz="2" w:space="0"/>
            </w:tcBorders>
          </w:tcPr>
          <w:p>
            <w:pPr>
              <w:spacing w:before="1"/>
              <w:jc w:val="right"/>
              <w:rPr>
                <w:sz w:val="18"/>
                <w:szCs w:val="18"/>
              </w:rPr>
            </w:pPr>
            <w:r>
              <w:rPr>
                <w:rFonts w:ascii="Times New Roman" w:hAnsi="Times New Roman" w:eastAsia="Times New Roman" w:cs="Times New Roman"/>
                <w:sz w:val="18"/>
                <w:szCs w:val="18"/>
                <w:b/>
                <w:bCs/>
                <w:spacing w:val="-2"/>
              </w:rPr>
              <w:t>105,084</w:t>
            </w:r>
            <w:r>
              <w:rPr>
                <w:rFonts w:ascii="Times New Roman" w:hAnsi="Times New Roman" w:eastAsia="Times New Roman" w:cs="Times New Roman"/>
                <w:sz w:val="18"/>
                <w:szCs w:val="18"/>
                <w:b/>
                <w:bCs/>
                <w:spacing w:val="12"/>
                <w:w w:val="101"/>
              </w:rPr>
              <w:t xml:space="preserve"> </w:t>
            </w:r>
            <w:r>
              <w:rPr>
                <w:sz w:val="18"/>
                <w:szCs w:val="18"/>
                <w:position w:val="-11"/>
              </w:rPr>
              <w:drawing>
                <wp:inline distT="0" distB="0" distL="0" distR="0">
                  <wp:extent cx="36576" cy="245744"/>
                  <wp:effectExtent l="0" t="0" r="0" b="0"/>
                  <wp:docPr id="90" name="IM 90"/>
                  <wp:cNvGraphicFramePr/>
                  <a:graphic>
                    <a:graphicData uri="http://schemas.openxmlformats.org/drawingml/2006/picture">
                      <pic:pic>
                        <pic:nvPicPr>
                          <pic:cNvPr id="90" name="IM 90"/>
                          <pic:cNvPicPr/>
                        </pic:nvPicPr>
                        <pic:blipFill>
                          <a:blip r:embed="rId51"/>
                          <a:stretch>
                            <a:fillRect/>
                          </a:stretch>
                        </pic:blipFill>
                        <pic:spPr>
                          <a:xfrm rot="0">
                            <a:off x="0" y="0"/>
                            <a:ext cx="36576" cy="245744"/>
                          </a:xfrm>
                          <a:prstGeom prst="rect">
                            <a:avLst/>
                          </a:prstGeom>
                        </pic:spPr>
                      </pic:pic>
                    </a:graphicData>
                  </a:graphic>
                </wp:inline>
              </w:drawing>
            </w:r>
          </w:p>
        </w:tc>
        <w:tc>
          <w:tcPr>
            <w:shd w:val="clear" w:fill="DBE5F1"/>
            <w:tcW w:w="1061" w:type="dxa"/>
            <w:vAlign w:val="top"/>
            <w:tcBorders>
              <w:bottom w:val="single" w:color="000000" w:sz="2" w:space="0"/>
              <w:top w:val="single" w:color="000000" w:sz="2" w:space="0"/>
            </w:tcBorders>
          </w:tcPr>
          <w:p>
            <w:pPr>
              <w:spacing w:before="160"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1.44</w:t>
            </w:r>
          </w:p>
        </w:tc>
        <w:tc>
          <w:tcPr>
            <w:tcW w:w="293" w:type="dxa"/>
            <w:vAlign w:val="top"/>
            <w:tcBorders>
              <w:bottom w:val="single" w:color="000000" w:sz="2" w:space="0"/>
              <w:top w:val="single" w:color="000000" w:sz="2" w:space="0"/>
            </w:tcBorders>
          </w:tcPr>
          <w:p>
            <w:pPr>
              <w:spacing w:before="1" w:line="386" w:lineRule="exact"/>
              <w:rPr/>
            </w:pPr>
            <w:r>
              <w:rPr>
                <w:position w:val="-8"/>
              </w:rPr>
              <w:pict>
                <v:shape id="_x0000_s304" style="mso-position-vertical-relative:line;mso-position-horizontal-relative:char;width:2.9pt;height:19.7pt;" fillcolor="#DBE5F1" filled="true" stroked="false" coordsize="58,394" coordorigin="0,0" path="m0,393l57,393l57,0l0,0l0,393xe"/>
              </w:pict>
            </w:r>
          </w:p>
        </w:tc>
        <w:tc>
          <w:tcPr>
            <w:tcW w:w="1090" w:type="dxa"/>
            <w:vAlign w:val="top"/>
            <w:tcBorders>
              <w:bottom w:val="single" w:color="000000" w:sz="2" w:space="0"/>
              <w:top w:val="single" w:color="000000" w:sz="2" w:space="0"/>
            </w:tcBorders>
          </w:tcPr>
          <w:p>
            <w:pPr>
              <w:ind w:left="434"/>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88,629</w:t>
            </w:r>
          </w:p>
        </w:tc>
        <w:tc>
          <w:tcPr>
            <w:tcW w:w="1498" w:type="dxa"/>
            <w:vAlign w:val="top"/>
            <w:tcBorders>
              <w:bottom w:val="single" w:color="000000" w:sz="2" w:space="0"/>
              <w:top w:val="single" w:color="000000" w:sz="2" w:space="0"/>
            </w:tcBorders>
          </w:tcPr>
          <w:p>
            <w:pPr>
              <w:ind w:left="747"/>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1.35</w:t>
            </w:r>
          </w:p>
        </w:tc>
        <w:tc>
          <w:tcPr>
            <w:tcW w:w="1320" w:type="dxa"/>
            <w:vAlign w:val="top"/>
            <w:tcBorders>
              <w:bottom w:val="single" w:color="000000" w:sz="2" w:space="0"/>
              <w:top w:val="single" w:color="000000" w:sz="2" w:space="0"/>
            </w:tcBorders>
          </w:tcPr>
          <w:p>
            <w:pPr>
              <w:ind w:left="691"/>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82,527</w:t>
            </w:r>
          </w:p>
        </w:tc>
        <w:tc>
          <w:tcPr>
            <w:tcW w:w="1072" w:type="dxa"/>
            <w:vAlign w:val="top"/>
            <w:tcBorders>
              <w:bottom w:val="single" w:color="000000" w:sz="2" w:space="0"/>
              <w:top w:val="single" w:color="000000" w:sz="2" w:space="0"/>
            </w:tcBorders>
          </w:tcPr>
          <w:p>
            <w:pPr>
              <w:ind w:left="721"/>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1.41</w:t>
            </w:r>
          </w:p>
        </w:tc>
      </w:tr>
      <w:tr>
        <w:trPr>
          <w:trHeight w:val="400" w:hRule="atLeast"/>
        </w:trPr>
        <w:tc>
          <w:tcPr>
            <w:tcW w:w="1827" w:type="dxa"/>
            <w:vAlign w:val="top"/>
            <w:tcBorders>
              <w:bottom w:val="single" w:color="000000" w:sz="2" w:space="0"/>
              <w:top w:val="single" w:color="000000" w:sz="2" w:space="0"/>
            </w:tcBorders>
          </w:tcPr>
          <w:p>
            <w:pPr>
              <w:pStyle w:val="TableText"/>
              <w:ind w:left="82"/>
              <w:spacing w:before="127" w:line="220" w:lineRule="auto"/>
              <w:rPr>
                <w:sz w:val="18"/>
                <w:szCs w:val="18"/>
              </w:rPr>
            </w:pPr>
            <w:r>
              <w:rPr>
                <w:sz w:val="18"/>
                <w:szCs w:val="18"/>
                <w:b/>
                <w:bCs/>
                <w:spacing w:val="-3"/>
              </w:rPr>
              <w:t>正常贷款合计</w:t>
            </w:r>
          </w:p>
        </w:tc>
        <w:tc>
          <w:tcPr>
            <w:shd w:val="clear" w:fill="DBE5F1"/>
            <w:tcW w:w="343" w:type="dxa"/>
            <w:vAlign w:val="top"/>
            <w:tcBorders>
              <w:bottom w:val="single" w:color="000000" w:sz="2" w:space="0"/>
              <w:top w:val="single" w:color="000000" w:sz="2" w:space="0"/>
            </w:tcBorders>
          </w:tcPr>
          <w:p>
            <w:pPr>
              <w:ind w:firstLine="2"/>
              <w:spacing w:before="1" w:line="389" w:lineRule="exact"/>
              <w:rPr/>
            </w:pPr>
            <w:r>
              <w:rPr>
                <w:position w:val="-8"/>
              </w:rPr>
              <w:pict>
                <v:shape id="_x0000_s306" style="mso-position-vertical-relative:line;mso-position-horizontal-relative:char;width:2.9pt;height:19.8pt;" fillcolor="#DBE5F1" filled="true" stroked="false" coordsize="58,395" coordorigin="0,0" path="m0,395l57,395l57,0l0,0l0,395xe"/>
              </w:pict>
            </w:r>
          </w:p>
        </w:tc>
        <w:tc>
          <w:tcPr>
            <w:shd w:val="clear" w:fill="DBE5F1"/>
            <w:tcW w:w="1266" w:type="dxa"/>
            <w:vAlign w:val="top"/>
            <w:tcBorders>
              <w:bottom w:val="single" w:color="000000" w:sz="2" w:space="0"/>
              <w:top w:val="single" w:color="000000" w:sz="2" w:space="0"/>
            </w:tcBorders>
          </w:tcPr>
          <w:p>
            <w:pPr>
              <w:spacing w:before="1"/>
              <w:jc w:val="right"/>
              <w:rPr>
                <w:sz w:val="18"/>
                <w:szCs w:val="18"/>
              </w:rPr>
            </w:pPr>
            <w:r>
              <w:rPr>
                <w:rFonts w:ascii="Times New Roman" w:hAnsi="Times New Roman" w:eastAsia="Times New Roman" w:cs="Times New Roman"/>
                <w:sz w:val="18"/>
                <w:szCs w:val="18"/>
                <w:b/>
                <w:bCs/>
                <w:spacing w:val="-1"/>
              </w:rPr>
              <w:t>7,197,629</w:t>
            </w:r>
            <w:r>
              <w:rPr>
                <w:rFonts w:ascii="Times New Roman" w:hAnsi="Times New Roman" w:eastAsia="Times New Roman" w:cs="Times New Roman"/>
                <w:sz w:val="18"/>
                <w:szCs w:val="18"/>
                <w:b/>
                <w:bCs/>
                <w:spacing w:val="12"/>
                <w:w w:val="101"/>
              </w:rPr>
              <w:t xml:space="preserve"> </w:t>
            </w:r>
            <w:r>
              <w:rPr>
                <w:sz w:val="18"/>
                <w:szCs w:val="18"/>
                <w:position w:val="-11"/>
              </w:rPr>
              <w:drawing>
                <wp:inline distT="0" distB="0" distL="0" distR="0">
                  <wp:extent cx="36576" cy="246887"/>
                  <wp:effectExtent l="0" t="0" r="0" b="0"/>
                  <wp:docPr id="92" name="IM 92"/>
                  <wp:cNvGraphicFramePr/>
                  <a:graphic>
                    <a:graphicData uri="http://schemas.openxmlformats.org/drawingml/2006/picture">
                      <pic:pic>
                        <pic:nvPicPr>
                          <pic:cNvPr id="92" name="IM 92"/>
                          <pic:cNvPicPr/>
                        </pic:nvPicPr>
                        <pic:blipFill>
                          <a:blip r:embed="rId52"/>
                          <a:stretch>
                            <a:fillRect/>
                          </a:stretch>
                        </pic:blipFill>
                        <pic:spPr>
                          <a:xfrm rot="0">
                            <a:off x="0" y="0"/>
                            <a:ext cx="36576" cy="246887"/>
                          </a:xfrm>
                          <a:prstGeom prst="rect">
                            <a:avLst/>
                          </a:prstGeom>
                        </pic:spPr>
                      </pic:pic>
                    </a:graphicData>
                  </a:graphic>
                </wp:inline>
              </w:drawing>
            </w:r>
          </w:p>
        </w:tc>
        <w:tc>
          <w:tcPr>
            <w:shd w:val="clear" w:fill="DBE5F1"/>
            <w:tcW w:w="1061" w:type="dxa"/>
            <w:vAlign w:val="top"/>
            <w:tcBorders>
              <w:bottom w:val="single" w:color="000000" w:sz="2" w:space="0"/>
              <w:top w:val="single" w:color="000000" w:sz="2" w:space="0"/>
            </w:tcBorders>
          </w:tcPr>
          <w:p>
            <w:pPr>
              <w:spacing w:before="160"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98.65</w:t>
            </w:r>
          </w:p>
        </w:tc>
        <w:tc>
          <w:tcPr>
            <w:tcW w:w="293" w:type="dxa"/>
            <w:vAlign w:val="top"/>
            <w:tcBorders>
              <w:bottom w:val="single" w:color="000000" w:sz="2" w:space="0"/>
              <w:top w:val="single" w:color="000000" w:sz="2" w:space="0"/>
            </w:tcBorders>
          </w:tcPr>
          <w:p>
            <w:pPr>
              <w:spacing w:before="1" w:line="389" w:lineRule="exact"/>
              <w:rPr/>
            </w:pPr>
            <w:r>
              <w:rPr>
                <w:position w:val="-8"/>
              </w:rPr>
              <w:pict>
                <v:shape id="_x0000_s308" style="mso-position-vertical-relative:line;mso-position-horizontal-relative:char;width:2.9pt;height:19.8pt;" fillcolor="#DBE5F1" filled="true" stroked="false" coordsize="58,395" coordorigin="0,0" path="m0,395l57,395l57,0l0,0l0,395xe"/>
              </w:pict>
            </w:r>
          </w:p>
        </w:tc>
        <w:tc>
          <w:tcPr>
            <w:tcW w:w="1090" w:type="dxa"/>
            <w:vAlign w:val="top"/>
            <w:tcBorders>
              <w:bottom w:val="single" w:color="000000" w:sz="2" w:space="0"/>
              <w:top w:val="single" w:color="000000" w:sz="2" w:space="0"/>
            </w:tcBorders>
          </w:tcPr>
          <w:p>
            <w:pPr>
              <w:ind w:left="205"/>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6,463,604</w:t>
            </w:r>
          </w:p>
        </w:tc>
        <w:tc>
          <w:tcPr>
            <w:tcW w:w="1498" w:type="dxa"/>
            <w:vAlign w:val="top"/>
            <w:tcBorders>
              <w:bottom w:val="single" w:color="000000" w:sz="2" w:space="0"/>
              <w:top w:val="single" w:color="000000" w:sz="2" w:space="0"/>
            </w:tcBorders>
          </w:tcPr>
          <w:p>
            <w:pPr>
              <w:ind w:left="642"/>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98.52</w:t>
            </w:r>
          </w:p>
        </w:tc>
        <w:tc>
          <w:tcPr>
            <w:tcW w:w="1320" w:type="dxa"/>
            <w:vAlign w:val="top"/>
            <w:tcBorders>
              <w:bottom w:val="single" w:color="000000" w:sz="2" w:space="0"/>
              <w:top w:val="single" w:color="000000" w:sz="2" w:space="0"/>
            </w:tcBorders>
          </w:tcPr>
          <w:p>
            <w:pPr>
              <w:ind w:left="463"/>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5,750,726</w:t>
            </w:r>
          </w:p>
        </w:tc>
        <w:tc>
          <w:tcPr>
            <w:tcW w:w="1072" w:type="dxa"/>
            <w:vAlign w:val="top"/>
            <w:tcBorders>
              <w:bottom w:val="single" w:color="000000" w:sz="2" w:space="0"/>
              <w:top w:val="single" w:color="000000" w:sz="2" w:space="0"/>
            </w:tcBorders>
          </w:tcPr>
          <w:p>
            <w:pPr>
              <w:ind w:left="615"/>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98.33</w:t>
            </w:r>
          </w:p>
        </w:tc>
      </w:tr>
      <w:tr>
        <w:trPr>
          <w:trHeight w:val="398" w:hRule="atLeast"/>
        </w:trPr>
        <w:tc>
          <w:tcPr>
            <w:tcW w:w="1827" w:type="dxa"/>
            <w:vAlign w:val="top"/>
            <w:tcBorders>
              <w:bottom w:val="single" w:color="000000" w:sz="2" w:space="0"/>
              <w:top w:val="single" w:color="000000" w:sz="2" w:space="0"/>
            </w:tcBorders>
          </w:tcPr>
          <w:p>
            <w:pPr>
              <w:pStyle w:val="TableText"/>
              <w:ind w:left="83"/>
              <w:spacing w:before="128" w:line="220" w:lineRule="auto"/>
              <w:rPr>
                <w:sz w:val="18"/>
                <w:szCs w:val="18"/>
              </w:rPr>
            </w:pPr>
            <w:r>
              <w:rPr>
                <w:sz w:val="18"/>
                <w:szCs w:val="18"/>
                <w:spacing w:val="-2"/>
              </w:rPr>
              <w:t>次级类贷款</w:t>
            </w:r>
          </w:p>
        </w:tc>
        <w:tc>
          <w:tcPr>
            <w:shd w:val="clear" w:fill="DBE5F1"/>
            <w:tcW w:w="343" w:type="dxa"/>
            <w:vAlign w:val="top"/>
            <w:tcBorders>
              <w:bottom w:val="single" w:color="000000" w:sz="2" w:space="0"/>
              <w:top w:val="single" w:color="000000" w:sz="2" w:space="0"/>
            </w:tcBorders>
          </w:tcPr>
          <w:p>
            <w:pPr>
              <w:ind w:firstLine="2"/>
              <w:spacing w:before="1" w:line="386" w:lineRule="exact"/>
              <w:rPr/>
            </w:pPr>
            <w:r>
              <w:rPr>
                <w:position w:val="-8"/>
              </w:rPr>
              <w:pict>
                <v:shape id="_x0000_s310" style="mso-position-vertical-relative:line;mso-position-horizontal-relative:char;width:2.9pt;height:19.7pt;" fillcolor="#DBE5F1" filled="true" stroked="false" coordsize="58,394" coordorigin="0,0" path="m0,393l57,393l57,0l0,0l0,393xe"/>
              </w:pict>
            </w:r>
          </w:p>
        </w:tc>
        <w:tc>
          <w:tcPr>
            <w:shd w:val="clear" w:fill="DBE5F1"/>
            <w:tcW w:w="1266" w:type="dxa"/>
            <w:vAlign w:val="top"/>
            <w:tcBorders>
              <w:bottom w:val="single" w:color="000000" w:sz="2" w:space="0"/>
              <w:top w:val="single" w:color="000000" w:sz="2" w:space="0"/>
            </w:tcBorders>
          </w:tcPr>
          <w:p>
            <w:pPr>
              <w:spacing w:before="1"/>
              <w:jc w:val="right"/>
              <w:rPr>
                <w:sz w:val="18"/>
                <w:szCs w:val="18"/>
              </w:rPr>
            </w:pPr>
            <w:r>
              <w:rPr>
                <w:rFonts w:ascii="Times New Roman" w:hAnsi="Times New Roman" w:eastAsia="Times New Roman" w:cs="Times New Roman"/>
                <w:sz w:val="18"/>
                <w:szCs w:val="18"/>
                <w:b/>
                <w:bCs/>
                <w:spacing w:val="-1"/>
              </w:rPr>
              <w:t>40,465</w:t>
            </w:r>
            <w:r>
              <w:rPr>
                <w:rFonts w:ascii="Times New Roman" w:hAnsi="Times New Roman" w:eastAsia="Times New Roman" w:cs="Times New Roman"/>
                <w:sz w:val="18"/>
                <w:szCs w:val="18"/>
                <w:b/>
                <w:bCs/>
                <w:spacing w:val="10"/>
              </w:rPr>
              <w:t xml:space="preserve"> </w:t>
            </w:r>
            <w:r>
              <w:rPr>
                <w:sz w:val="18"/>
                <w:szCs w:val="18"/>
                <w:position w:val="-11"/>
              </w:rPr>
              <w:drawing>
                <wp:inline distT="0" distB="0" distL="0" distR="0">
                  <wp:extent cx="36576" cy="245236"/>
                  <wp:effectExtent l="0" t="0" r="0" b="0"/>
                  <wp:docPr id="94" name="IM 94"/>
                  <wp:cNvGraphicFramePr/>
                  <a:graphic>
                    <a:graphicData uri="http://schemas.openxmlformats.org/drawingml/2006/picture">
                      <pic:pic>
                        <pic:nvPicPr>
                          <pic:cNvPr id="94" name="IM 94"/>
                          <pic:cNvPicPr/>
                        </pic:nvPicPr>
                        <pic:blipFill>
                          <a:blip r:embed="rId53"/>
                          <a:stretch>
                            <a:fillRect/>
                          </a:stretch>
                        </pic:blipFill>
                        <pic:spPr>
                          <a:xfrm rot="0">
                            <a:off x="0" y="0"/>
                            <a:ext cx="36576" cy="245236"/>
                          </a:xfrm>
                          <a:prstGeom prst="rect">
                            <a:avLst/>
                          </a:prstGeom>
                        </pic:spPr>
                      </pic:pic>
                    </a:graphicData>
                  </a:graphic>
                </wp:inline>
              </w:drawing>
            </w:r>
          </w:p>
        </w:tc>
        <w:tc>
          <w:tcPr>
            <w:shd w:val="clear" w:fill="DBE5F1"/>
            <w:tcW w:w="1061" w:type="dxa"/>
            <w:vAlign w:val="top"/>
            <w:tcBorders>
              <w:bottom w:val="single" w:color="000000" w:sz="2" w:space="0"/>
              <w:top w:val="single" w:color="000000" w:sz="2" w:space="0"/>
            </w:tcBorders>
          </w:tcPr>
          <w:p>
            <w:pPr>
              <w:spacing w:before="161"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0.55</w:t>
            </w:r>
          </w:p>
        </w:tc>
        <w:tc>
          <w:tcPr>
            <w:tcW w:w="293" w:type="dxa"/>
            <w:vAlign w:val="top"/>
            <w:tcBorders>
              <w:bottom w:val="single" w:color="000000" w:sz="2" w:space="0"/>
              <w:top w:val="single" w:color="000000" w:sz="2" w:space="0"/>
            </w:tcBorders>
          </w:tcPr>
          <w:p>
            <w:pPr>
              <w:spacing w:before="1" w:line="386" w:lineRule="exact"/>
              <w:rPr/>
            </w:pPr>
            <w:r>
              <w:rPr>
                <w:position w:val="-8"/>
              </w:rPr>
              <w:pict>
                <v:shape id="_x0000_s312" style="mso-position-vertical-relative:line;mso-position-horizontal-relative:char;width:2.9pt;height:19.7pt;" fillcolor="#DBE5F1" filled="true" stroked="false" coordsize="58,394" coordorigin="0,0" path="m0,393l57,393l57,0l0,0l0,393xe"/>
              </w:pict>
            </w:r>
          </w:p>
        </w:tc>
        <w:tc>
          <w:tcPr>
            <w:tcW w:w="1090" w:type="dxa"/>
            <w:vAlign w:val="top"/>
            <w:tcBorders>
              <w:bottom w:val="single" w:color="000000" w:sz="2" w:space="0"/>
              <w:top w:val="single" w:color="000000" w:sz="2" w:space="0"/>
            </w:tcBorders>
          </w:tcPr>
          <w:p>
            <w:pPr>
              <w:ind w:left="432"/>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52,960</w:t>
            </w:r>
          </w:p>
        </w:tc>
        <w:tc>
          <w:tcPr>
            <w:tcW w:w="1498" w:type="dxa"/>
            <w:vAlign w:val="top"/>
            <w:tcBorders>
              <w:bottom w:val="single" w:color="000000" w:sz="2" w:space="0"/>
              <w:top w:val="single" w:color="000000" w:sz="2" w:space="0"/>
            </w:tcBorders>
          </w:tcPr>
          <w:p>
            <w:pPr>
              <w:ind w:left="732"/>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0.81</w:t>
            </w:r>
          </w:p>
        </w:tc>
        <w:tc>
          <w:tcPr>
            <w:tcW w:w="1320" w:type="dxa"/>
            <w:vAlign w:val="top"/>
            <w:tcBorders>
              <w:bottom w:val="single" w:color="000000" w:sz="2" w:space="0"/>
              <w:top w:val="single" w:color="000000" w:sz="2" w:space="0"/>
            </w:tcBorders>
          </w:tcPr>
          <w:p>
            <w:pPr>
              <w:ind w:left="689"/>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52,652</w:t>
            </w:r>
          </w:p>
        </w:tc>
        <w:tc>
          <w:tcPr>
            <w:tcW w:w="1072" w:type="dxa"/>
            <w:vAlign w:val="top"/>
            <w:tcBorders>
              <w:bottom w:val="single" w:color="000000" w:sz="2" w:space="0"/>
              <w:top w:val="single" w:color="000000" w:sz="2" w:space="0"/>
            </w:tcBorders>
          </w:tcPr>
          <w:p>
            <w:pPr>
              <w:ind w:left="706"/>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0.90</w:t>
            </w:r>
          </w:p>
        </w:tc>
      </w:tr>
      <w:tr>
        <w:trPr>
          <w:trHeight w:val="398" w:hRule="atLeast"/>
        </w:trPr>
        <w:tc>
          <w:tcPr>
            <w:tcW w:w="1827" w:type="dxa"/>
            <w:vAlign w:val="top"/>
            <w:tcBorders>
              <w:bottom w:val="single" w:color="000000" w:sz="2" w:space="0"/>
              <w:top w:val="single" w:color="000000" w:sz="2" w:space="0"/>
            </w:tcBorders>
          </w:tcPr>
          <w:p>
            <w:pPr>
              <w:pStyle w:val="TableText"/>
              <w:ind w:left="80"/>
              <w:spacing w:before="128" w:line="220" w:lineRule="auto"/>
              <w:rPr>
                <w:sz w:val="18"/>
                <w:szCs w:val="18"/>
              </w:rPr>
            </w:pPr>
            <w:r>
              <w:rPr>
                <w:sz w:val="18"/>
                <w:szCs w:val="18"/>
                <w:spacing w:val="-2"/>
              </w:rPr>
              <w:t>可疑类贷款</w:t>
            </w:r>
          </w:p>
        </w:tc>
        <w:tc>
          <w:tcPr>
            <w:shd w:val="clear" w:fill="DBE5F1"/>
            <w:tcW w:w="343" w:type="dxa"/>
            <w:vAlign w:val="top"/>
            <w:tcBorders>
              <w:bottom w:val="single" w:color="000000" w:sz="2" w:space="0"/>
              <w:top w:val="single" w:color="000000" w:sz="2" w:space="0"/>
            </w:tcBorders>
          </w:tcPr>
          <w:p>
            <w:pPr>
              <w:ind w:firstLine="2"/>
              <w:spacing w:before="2" w:line="385" w:lineRule="exact"/>
              <w:rPr/>
            </w:pPr>
            <w:r>
              <w:rPr>
                <w:position w:val="-8"/>
              </w:rPr>
              <w:pict>
                <v:shape id="_x0000_s314" style="mso-position-vertical-relative:line;mso-position-horizontal-relative:char;width:2.9pt;height:19.7pt;" fillcolor="#DBE5F1" filled="true" stroked="false" coordsize="58,394" coordorigin="0,0" path="m0,393l57,393l57,0l0,0l0,393xe"/>
              </w:pict>
            </w:r>
          </w:p>
        </w:tc>
        <w:tc>
          <w:tcPr>
            <w:shd w:val="clear" w:fill="DBE5F1"/>
            <w:tcW w:w="1266" w:type="dxa"/>
            <w:vAlign w:val="top"/>
            <w:tcBorders>
              <w:bottom w:val="single" w:color="000000" w:sz="2" w:space="0"/>
              <w:top w:val="single" w:color="000000" w:sz="2" w:space="0"/>
            </w:tcBorders>
          </w:tcPr>
          <w:p>
            <w:pPr>
              <w:spacing w:before="2"/>
              <w:jc w:val="right"/>
              <w:rPr>
                <w:sz w:val="18"/>
                <w:szCs w:val="18"/>
              </w:rPr>
            </w:pPr>
            <w:r>
              <w:rPr>
                <w:rFonts w:ascii="Times New Roman" w:hAnsi="Times New Roman" w:eastAsia="Times New Roman" w:cs="Times New Roman"/>
                <w:sz w:val="18"/>
                <w:szCs w:val="18"/>
                <w:b/>
                <w:bCs/>
                <w:spacing w:val="-1"/>
              </w:rPr>
              <w:t>33,257</w:t>
            </w:r>
            <w:r>
              <w:rPr>
                <w:rFonts w:ascii="Times New Roman" w:hAnsi="Times New Roman" w:eastAsia="Times New Roman" w:cs="Times New Roman"/>
                <w:sz w:val="18"/>
                <w:szCs w:val="18"/>
                <w:b/>
                <w:bCs/>
                <w:spacing w:val="11"/>
                <w:w w:val="101"/>
              </w:rPr>
              <w:t xml:space="preserve"> </w:t>
            </w:r>
            <w:r>
              <w:rPr>
                <w:sz w:val="18"/>
                <w:szCs w:val="18"/>
                <w:position w:val="-11"/>
              </w:rPr>
              <w:drawing>
                <wp:inline distT="0" distB="0" distL="0" distR="0">
                  <wp:extent cx="36576" cy="245109"/>
                  <wp:effectExtent l="0" t="0" r="0" b="0"/>
                  <wp:docPr id="96" name="IM 96"/>
                  <wp:cNvGraphicFramePr/>
                  <a:graphic>
                    <a:graphicData uri="http://schemas.openxmlformats.org/drawingml/2006/picture">
                      <pic:pic>
                        <pic:nvPicPr>
                          <pic:cNvPr id="96" name="IM 96"/>
                          <pic:cNvPicPr/>
                        </pic:nvPicPr>
                        <pic:blipFill>
                          <a:blip r:embed="rId54"/>
                          <a:stretch>
                            <a:fillRect/>
                          </a:stretch>
                        </pic:blipFill>
                        <pic:spPr>
                          <a:xfrm rot="0">
                            <a:off x="0" y="0"/>
                            <a:ext cx="36576" cy="245109"/>
                          </a:xfrm>
                          <a:prstGeom prst="rect">
                            <a:avLst/>
                          </a:prstGeom>
                        </pic:spPr>
                      </pic:pic>
                    </a:graphicData>
                  </a:graphic>
                </wp:inline>
              </w:drawing>
            </w:r>
          </w:p>
        </w:tc>
        <w:tc>
          <w:tcPr>
            <w:shd w:val="clear" w:fill="DBE5F1"/>
            <w:tcW w:w="1061" w:type="dxa"/>
            <w:vAlign w:val="top"/>
            <w:tcBorders>
              <w:bottom w:val="single" w:color="000000" w:sz="2" w:space="0"/>
              <w:top w:val="single" w:color="000000" w:sz="2" w:space="0"/>
            </w:tcBorders>
          </w:tcPr>
          <w:p>
            <w:pPr>
              <w:spacing w:before="161"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0.46</w:t>
            </w:r>
          </w:p>
        </w:tc>
        <w:tc>
          <w:tcPr>
            <w:tcW w:w="293" w:type="dxa"/>
            <w:vAlign w:val="top"/>
            <w:tcBorders>
              <w:bottom w:val="single" w:color="000000" w:sz="2" w:space="0"/>
              <w:top w:val="single" w:color="000000" w:sz="2" w:space="0"/>
            </w:tcBorders>
          </w:tcPr>
          <w:p>
            <w:pPr>
              <w:spacing w:before="2" w:line="385" w:lineRule="exact"/>
              <w:rPr/>
            </w:pPr>
            <w:r>
              <w:rPr>
                <w:position w:val="-8"/>
              </w:rPr>
              <w:pict>
                <v:shape id="_x0000_s316" style="mso-position-vertical-relative:line;mso-position-horizontal-relative:char;width:2.9pt;height:19.7pt;" fillcolor="#DBE5F1" filled="true" stroked="false" coordsize="58,394" coordorigin="0,0" path="m0,393l57,393l57,0l0,0l0,393xe"/>
              </w:pict>
            </w:r>
          </w:p>
        </w:tc>
        <w:tc>
          <w:tcPr>
            <w:tcW w:w="1090" w:type="dxa"/>
            <w:vAlign w:val="top"/>
            <w:tcBorders>
              <w:bottom w:val="single" w:color="000000" w:sz="2" w:space="0"/>
              <w:top w:val="single" w:color="000000" w:sz="2" w:space="0"/>
            </w:tcBorders>
          </w:tcPr>
          <w:p>
            <w:pPr>
              <w:ind w:left="427"/>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25,978</w:t>
            </w:r>
          </w:p>
        </w:tc>
        <w:tc>
          <w:tcPr>
            <w:tcW w:w="1498" w:type="dxa"/>
            <w:vAlign w:val="top"/>
            <w:tcBorders>
              <w:bottom w:val="single" w:color="000000" w:sz="2" w:space="0"/>
              <w:top w:val="single" w:color="000000" w:sz="2" w:space="0"/>
            </w:tcBorders>
          </w:tcPr>
          <w:p>
            <w:pPr>
              <w:ind w:left="732"/>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0.40</w:t>
            </w:r>
          </w:p>
        </w:tc>
        <w:tc>
          <w:tcPr>
            <w:tcW w:w="1320" w:type="dxa"/>
            <w:vAlign w:val="top"/>
            <w:tcBorders>
              <w:bottom w:val="single" w:color="000000" w:sz="2" w:space="0"/>
              <w:top w:val="single" w:color="000000" w:sz="2" w:space="0"/>
            </w:tcBorders>
          </w:tcPr>
          <w:p>
            <w:pPr>
              <w:ind w:left="684"/>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26,713</w:t>
            </w:r>
          </w:p>
        </w:tc>
        <w:tc>
          <w:tcPr>
            <w:tcW w:w="1072" w:type="dxa"/>
            <w:vAlign w:val="top"/>
            <w:tcBorders>
              <w:bottom w:val="single" w:color="000000" w:sz="2" w:space="0"/>
              <w:top w:val="single" w:color="000000" w:sz="2" w:space="0"/>
            </w:tcBorders>
          </w:tcPr>
          <w:p>
            <w:pPr>
              <w:ind w:left="706"/>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0.46</w:t>
            </w:r>
          </w:p>
        </w:tc>
      </w:tr>
      <w:tr>
        <w:trPr>
          <w:trHeight w:val="400" w:hRule="atLeast"/>
        </w:trPr>
        <w:tc>
          <w:tcPr>
            <w:tcW w:w="1827" w:type="dxa"/>
            <w:vAlign w:val="top"/>
            <w:tcBorders>
              <w:bottom w:val="single" w:color="000000" w:sz="2" w:space="0"/>
              <w:top w:val="single" w:color="000000" w:sz="2" w:space="0"/>
            </w:tcBorders>
          </w:tcPr>
          <w:p>
            <w:pPr>
              <w:pStyle w:val="TableText"/>
              <w:ind w:left="79"/>
              <w:spacing w:before="128" w:line="220" w:lineRule="auto"/>
              <w:rPr>
                <w:sz w:val="18"/>
                <w:szCs w:val="18"/>
              </w:rPr>
            </w:pPr>
            <w:r>
              <w:rPr>
                <w:sz w:val="18"/>
                <w:szCs w:val="18"/>
                <w:spacing w:val="-2"/>
              </w:rPr>
              <w:t>损失类贷款</w:t>
            </w:r>
          </w:p>
        </w:tc>
        <w:tc>
          <w:tcPr>
            <w:shd w:val="clear" w:fill="DBE5F1"/>
            <w:tcW w:w="343" w:type="dxa"/>
            <w:vAlign w:val="top"/>
            <w:tcBorders>
              <w:bottom w:val="single" w:color="000000" w:sz="2" w:space="0"/>
              <w:top w:val="single" w:color="000000" w:sz="2" w:space="0"/>
            </w:tcBorders>
          </w:tcPr>
          <w:p>
            <w:pPr>
              <w:ind w:firstLine="2"/>
              <w:spacing w:before="2" w:line="387" w:lineRule="exact"/>
              <w:rPr/>
            </w:pPr>
            <w:r>
              <w:rPr>
                <w:position w:val="-8"/>
              </w:rPr>
              <w:pict>
                <v:shape id="_x0000_s318" style="mso-position-vertical-relative:line;mso-position-horizontal-relative:char;width:2.9pt;height:19.8pt;" fillcolor="#DBE5F1" filled="true" stroked="false" coordsize="58,395" coordorigin="0,0" path="m0,395l57,395l57,0l0,0l0,395xe"/>
              </w:pict>
            </w:r>
          </w:p>
        </w:tc>
        <w:tc>
          <w:tcPr>
            <w:shd w:val="clear" w:fill="DBE5F1"/>
            <w:tcW w:w="1266" w:type="dxa"/>
            <w:vAlign w:val="top"/>
            <w:tcBorders>
              <w:bottom w:val="single" w:color="000000" w:sz="2" w:space="0"/>
              <w:top w:val="single" w:color="000000" w:sz="2" w:space="0"/>
            </w:tcBorders>
          </w:tcPr>
          <w:p>
            <w:pPr>
              <w:spacing w:before="2"/>
              <w:jc w:val="right"/>
              <w:rPr>
                <w:sz w:val="18"/>
                <w:szCs w:val="18"/>
              </w:rPr>
            </w:pPr>
            <w:r>
              <w:rPr>
                <w:rFonts w:ascii="Times New Roman" w:hAnsi="Times New Roman" w:eastAsia="Times New Roman" w:cs="Times New Roman"/>
                <w:sz w:val="18"/>
                <w:szCs w:val="18"/>
                <w:b/>
                <w:bCs/>
                <w:spacing w:val="-1"/>
              </w:rPr>
              <w:t>24,804</w:t>
            </w:r>
            <w:r>
              <w:rPr>
                <w:rFonts w:ascii="Times New Roman" w:hAnsi="Times New Roman" w:eastAsia="Times New Roman" w:cs="Times New Roman"/>
                <w:sz w:val="18"/>
                <w:szCs w:val="18"/>
                <w:b/>
                <w:bCs/>
                <w:spacing w:val="10"/>
              </w:rPr>
              <w:t xml:space="preserve"> </w:t>
            </w:r>
            <w:r>
              <w:rPr>
                <w:sz w:val="18"/>
                <w:szCs w:val="18"/>
                <w:position w:val="-11"/>
              </w:rPr>
              <w:drawing>
                <wp:inline distT="0" distB="0" distL="0" distR="0">
                  <wp:extent cx="36576" cy="246252"/>
                  <wp:effectExtent l="0" t="0" r="0" b="0"/>
                  <wp:docPr id="98" name="IM 98"/>
                  <wp:cNvGraphicFramePr/>
                  <a:graphic>
                    <a:graphicData uri="http://schemas.openxmlformats.org/drawingml/2006/picture">
                      <pic:pic>
                        <pic:nvPicPr>
                          <pic:cNvPr id="98" name="IM 98"/>
                          <pic:cNvPicPr/>
                        </pic:nvPicPr>
                        <pic:blipFill>
                          <a:blip r:embed="rId55"/>
                          <a:stretch>
                            <a:fillRect/>
                          </a:stretch>
                        </pic:blipFill>
                        <pic:spPr>
                          <a:xfrm rot="0">
                            <a:off x="0" y="0"/>
                            <a:ext cx="36576" cy="246252"/>
                          </a:xfrm>
                          <a:prstGeom prst="rect">
                            <a:avLst/>
                          </a:prstGeom>
                        </pic:spPr>
                      </pic:pic>
                    </a:graphicData>
                  </a:graphic>
                </wp:inline>
              </w:drawing>
            </w:r>
          </w:p>
        </w:tc>
        <w:tc>
          <w:tcPr>
            <w:shd w:val="clear" w:fill="DBE5F1"/>
            <w:tcW w:w="1061" w:type="dxa"/>
            <w:vAlign w:val="top"/>
            <w:tcBorders>
              <w:bottom w:val="single" w:color="000000" w:sz="2" w:space="0"/>
              <w:top w:val="single" w:color="000000" w:sz="2" w:space="0"/>
            </w:tcBorders>
          </w:tcPr>
          <w:p>
            <w:pPr>
              <w:spacing w:before="161"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0.34</w:t>
            </w:r>
          </w:p>
        </w:tc>
        <w:tc>
          <w:tcPr>
            <w:tcW w:w="293" w:type="dxa"/>
            <w:vAlign w:val="top"/>
            <w:tcBorders>
              <w:bottom w:val="single" w:color="000000" w:sz="2" w:space="0"/>
              <w:top w:val="single" w:color="000000" w:sz="2" w:space="0"/>
            </w:tcBorders>
          </w:tcPr>
          <w:p>
            <w:pPr>
              <w:spacing w:before="2" w:line="387" w:lineRule="exact"/>
              <w:rPr/>
            </w:pPr>
            <w:r>
              <w:rPr>
                <w:position w:val="-8"/>
              </w:rPr>
              <w:pict>
                <v:shape id="_x0000_s320" style="mso-position-vertical-relative:line;mso-position-horizontal-relative:char;width:2.9pt;height:19.8pt;" fillcolor="#DBE5F1" filled="true" stroked="false" coordsize="58,395" coordorigin="0,0" path="m0,395l57,395l57,0l0,0l0,395xe"/>
              </w:pict>
            </w:r>
          </w:p>
        </w:tc>
        <w:tc>
          <w:tcPr>
            <w:tcW w:w="1090" w:type="dxa"/>
            <w:vAlign w:val="top"/>
            <w:tcBorders>
              <w:bottom w:val="single" w:color="000000" w:sz="2" w:space="0"/>
              <w:top w:val="single" w:color="000000" w:sz="2" w:space="0"/>
            </w:tcBorders>
          </w:tcPr>
          <w:p>
            <w:pPr>
              <w:ind w:left="444"/>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17,858</w:t>
            </w:r>
          </w:p>
        </w:tc>
        <w:tc>
          <w:tcPr>
            <w:tcW w:w="1498" w:type="dxa"/>
            <w:vAlign w:val="top"/>
            <w:tcBorders>
              <w:bottom w:val="single" w:color="000000" w:sz="2" w:space="0"/>
              <w:top w:val="single" w:color="000000" w:sz="2" w:space="0"/>
            </w:tcBorders>
          </w:tcPr>
          <w:p>
            <w:pPr>
              <w:ind w:left="732"/>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0.27</w:t>
            </w:r>
          </w:p>
        </w:tc>
        <w:tc>
          <w:tcPr>
            <w:tcW w:w="1320" w:type="dxa"/>
            <w:vAlign w:val="top"/>
            <w:tcBorders>
              <w:bottom w:val="single" w:color="000000" w:sz="2" w:space="0"/>
              <w:top w:val="single" w:color="000000" w:sz="2" w:space="0"/>
            </w:tcBorders>
          </w:tcPr>
          <w:p>
            <w:pPr>
              <w:ind w:left="701"/>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18,333</w:t>
            </w:r>
          </w:p>
        </w:tc>
        <w:tc>
          <w:tcPr>
            <w:tcW w:w="1072" w:type="dxa"/>
            <w:vAlign w:val="top"/>
            <w:tcBorders>
              <w:bottom w:val="single" w:color="000000" w:sz="2" w:space="0"/>
              <w:top w:val="single" w:color="000000" w:sz="2" w:space="0"/>
            </w:tcBorders>
          </w:tcPr>
          <w:p>
            <w:pPr>
              <w:ind w:left="706"/>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0.31</w:t>
            </w:r>
          </w:p>
        </w:tc>
      </w:tr>
      <w:tr>
        <w:trPr>
          <w:trHeight w:val="398" w:hRule="atLeast"/>
        </w:trPr>
        <w:tc>
          <w:tcPr>
            <w:tcW w:w="1827" w:type="dxa"/>
            <w:vAlign w:val="top"/>
            <w:tcBorders>
              <w:bottom w:val="single" w:color="000000" w:sz="2" w:space="0"/>
              <w:top w:val="single" w:color="000000" w:sz="2" w:space="0"/>
            </w:tcBorders>
          </w:tcPr>
          <w:p>
            <w:pPr>
              <w:pStyle w:val="TableText"/>
              <w:ind w:left="81"/>
              <w:spacing w:before="129" w:line="220" w:lineRule="auto"/>
              <w:rPr>
                <w:sz w:val="18"/>
                <w:szCs w:val="18"/>
              </w:rPr>
            </w:pPr>
            <w:r>
              <w:rPr>
                <w:sz w:val="18"/>
                <w:szCs w:val="18"/>
                <w:b/>
                <w:bCs/>
                <w:spacing w:val="-3"/>
              </w:rPr>
              <w:t>不良贷款合计</w:t>
            </w:r>
          </w:p>
        </w:tc>
        <w:tc>
          <w:tcPr>
            <w:shd w:val="clear" w:fill="DBE5F1"/>
            <w:tcW w:w="343" w:type="dxa"/>
            <w:vAlign w:val="top"/>
            <w:tcBorders>
              <w:bottom w:val="single" w:color="000000" w:sz="2" w:space="0"/>
              <w:top w:val="single" w:color="000000" w:sz="2" w:space="0"/>
            </w:tcBorders>
          </w:tcPr>
          <w:p>
            <w:pPr>
              <w:ind w:firstLine="2"/>
              <w:spacing w:before="2" w:line="385" w:lineRule="exact"/>
              <w:rPr/>
            </w:pPr>
            <w:r>
              <w:rPr>
                <w:position w:val="-8"/>
              </w:rPr>
              <w:pict>
                <v:shape id="_x0000_s322" style="mso-position-vertical-relative:line;mso-position-horizontal-relative:char;width:2.9pt;height:19.7pt;" fillcolor="#DBE5F1" filled="true" stroked="false" coordsize="58,394" coordorigin="0,0" path="m0,393l57,393l57,0l0,0l0,393xe"/>
              </w:pict>
            </w:r>
          </w:p>
        </w:tc>
        <w:tc>
          <w:tcPr>
            <w:shd w:val="clear" w:fill="DBE5F1"/>
            <w:tcW w:w="1266" w:type="dxa"/>
            <w:vAlign w:val="top"/>
            <w:tcBorders>
              <w:bottom w:val="single" w:color="000000" w:sz="2" w:space="0"/>
              <w:top w:val="single" w:color="000000" w:sz="2" w:space="0"/>
            </w:tcBorders>
          </w:tcPr>
          <w:p>
            <w:pPr>
              <w:spacing w:before="2"/>
              <w:jc w:val="right"/>
              <w:rPr>
                <w:sz w:val="18"/>
                <w:szCs w:val="18"/>
              </w:rPr>
            </w:pPr>
            <w:r>
              <w:rPr>
                <w:rFonts w:ascii="Times New Roman" w:hAnsi="Times New Roman" w:eastAsia="Times New Roman" w:cs="Times New Roman"/>
                <w:sz w:val="18"/>
                <w:szCs w:val="18"/>
                <w:b/>
                <w:bCs/>
                <w:spacing w:val="-1"/>
              </w:rPr>
              <w:t>98,526</w:t>
            </w:r>
            <w:r>
              <w:rPr>
                <w:rFonts w:ascii="Times New Roman" w:hAnsi="Times New Roman" w:eastAsia="Times New Roman" w:cs="Times New Roman"/>
                <w:sz w:val="18"/>
                <w:szCs w:val="18"/>
                <w:b/>
                <w:bCs/>
                <w:spacing w:val="9"/>
              </w:rPr>
              <w:t xml:space="preserve"> </w:t>
            </w:r>
            <w:r>
              <w:rPr>
                <w:sz w:val="18"/>
                <w:szCs w:val="18"/>
                <w:position w:val="-11"/>
              </w:rPr>
              <w:drawing>
                <wp:inline distT="0" distB="0" distL="0" distR="0">
                  <wp:extent cx="36576" cy="244600"/>
                  <wp:effectExtent l="0" t="0" r="0" b="0"/>
                  <wp:docPr id="100" name="IM 100"/>
                  <wp:cNvGraphicFramePr/>
                  <a:graphic>
                    <a:graphicData uri="http://schemas.openxmlformats.org/drawingml/2006/picture">
                      <pic:pic>
                        <pic:nvPicPr>
                          <pic:cNvPr id="100" name="IM 100"/>
                          <pic:cNvPicPr/>
                        </pic:nvPicPr>
                        <pic:blipFill>
                          <a:blip r:embed="rId56"/>
                          <a:stretch>
                            <a:fillRect/>
                          </a:stretch>
                        </pic:blipFill>
                        <pic:spPr>
                          <a:xfrm rot="0">
                            <a:off x="0" y="0"/>
                            <a:ext cx="36576" cy="244600"/>
                          </a:xfrm>
                          <a:prstGeom prst="rect">
                            <a:avLst/>
                          </a:prstGeom>
                        </pic:spPr>
                      </pic:pic>
                    </a:graphicData>
                  </a:graphic>
                </wp:inline>
              </w:drawing>
            </w:r>
          </w:p>
        </w:tc>
        <w:tc>
          <w:tcPr>
            <w:shd w:val="clear" w:fill="DBE5F1"/>
            <w:tcW w:w="1061" w:type="dxa"/>
            <w:vAlign w:val="top"/>
            <w:tcBorders>
              <w:bottom w:val="single" w:color="000000" w:sz="2" w:space="0"/>
              <w:top w:val="single" w:color="000000" w:sz="2" w:space="0"/>
            </w:tcBorders>
          </w:tcPr>
          <w:p>
            <w:pPr>
              <w:spacing w:before="161"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1.35</w:t>
            </w:r>
          </w:p>
        </w:tc>
        <w:tc>
          <w:tcPr>
            <w:tcW w:w="293" w:type="dxa"/>
            <w:vAlign w:val="top"/>
            <w:tcBorders>
              <w:bottom w:val="single" w:color="000000" w:sz="2" w:space="0"/>
              <w:top w:val="single" w:color="000000" w:sz="2" w:space="0"/>
            </w:tcBorders>
          </w:tcPr>
          <w:p>
            <w:pPr>
              <w:spacing w:before="2" w:line="385" w:lineRule="exact"/>
              <w:rPr/>
            </w:pPr>
            <w:r>
              <w:rPr>
                <w:position w:val="-8"/>
              </w:rPr>
              <w:pict>
                <v:shape id="_x0000_s324" style="mso-position-vertical-relative:line;mso-position-horizontal-relative:char;width:2.9pt;height:19.7pt;" fillcolor="#DBE5F1" filled="true" stroked="false" coordsize="58,394" coordorigin="0,0" path="m0,393l57,393l57,0l0,0l0,393xe"/>
              </w:pict>
            </w:r>
          </w:p>
        </w:tc>
        <w:tc>
          <w:tcPr>
            <w:tcW w:w="1090" w:type="dxa"/>
            <w:vAlign w:val="top"/>
            <w:tcBorders>
              <w:bottom w:val="single" w:color="000000" w:sz="2" w:space="0"/>
              <w:top w:val="single" w:color="000000" w:sz="2" w:space="0"/>
            </w:tcBorders>
          </w:tcPr>
          <w:p>
            <w:pPr>
              <w:ind w:left="430"/>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96,796</w:t>
            </w:r>
          </w:p>
        </w:tc>
        <w:tc>
          <w:tcPr>
            <w:tcW w:w="1498" w:type="dxa"/>
            <w:vAlign w:val="top"/>
            <w:tcBorders>
              <w:bottom w:val="single" w:color="000000" w:sz="2" w:space="0"/>
              <w:top w:val="single" w:color="000000" w:sz="2" w:space="0"/>
            </w:tcBorders>
          </w:tcPr>
          <w:p>
            <w:pPr>
              <w:ind w:left="747"/>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1.48</w:t>
            </w:r>
          </w:p>
        </w:tc>
        <w:tc>
          <w:tcPr>
            <w:tcW w:w="1320" w:type="dxa"/>
            <w:vAlign w:val="top"/>
            <w:tcBorders>
              <w:bottom w:val="single" w:color="000000" w:sz="2" w:space="0"/>
              <w:top w:val="single" w:color="000000" w:sz="2" w:space="0"/>
            </w:tcBorders>
          </w:tcPr>
          <w:p>
            <w:pPr>
              <w:ind w:left="687"/>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97,698</w:t>
            </w:r>
          </w:p>
        </w:tc>
        <w:tc>
          <w:tcPr>
            <w:tcW w:w="1072" w:type="dxa"/>
            <w:vAlign w:val="top"/>
            <w:tcBorders>
              <w:bottom w:val="single" w:color="000000" w:sz="2" w:space="0"/>
              <w:top w:val="single" w:color="000000" w:sz="2" w:space="0"/>
            </w:tcBorders>
          </w:tcPr>
          <w:p>
            <w:pPr>
              <w:ind w:left="721"/>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1.67</w:t>
            </w:r>
          </w:p>
        </w:tc>
      </w:tr>
      <w:tr>
        <w:trPr>
          <w:trHeight w:val="398" w:hRule="atLeast"/>
        </w:trPr>
        <w:tc>
          <w:tcPr>
            <w:tcW w:w="1827" w:type="dxa"/>
            <w:vAlign w:val="top"/>
            <w:tcBorders>
              <w:bottom w:val="single" w:color="000000" w:sz="2" w:space="0"/>
              <w:top w:val="single" w:color="000000" w:sz="2" w:space="0"/>
            </w:tcBorders>
          </w:tcPr>
          <w:p>
            <w:pPr>
              <w:pStyle w:val="TableText"/>
              <w:ind w:left="79"/>
              <w:spacing w:before="128" w:line="222" w:lineRule="auto"/>
              <w:rPr>
                <w:sz w:val="18"/>
                <w:szCs w:val="18"/>
              </w:rPr>
            </w:pPr>
            <w:r>
              <w:rPr>
                <w:sz w:val="18"/>
                <w:szCs w:val="18"/>
                <w:b/>
                <w:bCs/>
                <w:spacing w:val="-4"/>
              </w:rPr>
              <w:t>合计</w:t>
            </w:r>
          </w:p>
        </w:tc>
        <w:tc>
          <w:tcPr>
            <w:shd w:val="clear" w:fill="DBE5F1"/>
            <w:tcW w:w="343" w:type="dxa"/>
            <w:vAlign w:val="top"/>
            <w:tcBorders>
              <w:bottom w:val="single" w:color="000000" w:sz="2" w:space="0"/>
              <w:top w:val="single" w:color="000000" w:sz="2" w:space="0"/>
            </w:tcBorders>
          </w:tcPr>
          <w:p>
            <w:pPr>
              <w:ind w:firstLine="2"/>
              <w:spacing w:before="3" w:line="384" w:lineRule="exact"/>
              <w:rPr/>
            </w:pPr>
            <w:r>
              <w:rPr>
                <w:position w:val="-8"/>
              </w:rPr>
              <w:pict>
                <v:shape id="_x0000_s326" style="mso-position-vertical-relative:line;mso-position-horizontal-relative:char;width:2.9pt;height:19.7pt;" fillcolor="#DBE5F1" filled="true" stroked="false" coordsize="58,394" coordorigin="0,0" path="m0,393l57,393l57,0l0,0l0,393xe"/>
              </w:pict>
            </w:r>
          </w:p>
        </w:tc>
        <w:tc>
          <w:tcPr>
            <w:shd w:val="clear" w:fill="DBE5F1"/>
            <w:tcW w:w="1266" w:type="dxa"/>
            <w:vAlign w:val="top"/>
            <w:tcBorders>
              <w:bottom w:val="single" w:color="000000" w:sz="2" w:space="0"/>
              <w:top w:val="single" w:color="000000" w:sz="2" w:space="0"/>
            </w:tcBorders>
          </w:tcPr>
          <w:p>
            <w:pPr>
              <w:spacing w:before="3"/>
              <w:jc w:val="right"/>
              <w:rPr>
                <w:sz w:val="18"/>
                <w:szCs w:val="18"/>
              </w:rPr>
            </w:pPr>
            <w:r>
              <w:rPr>
                <w:rFonts w:ascii="Times New Roman" w:hAnsi="Times New Roman" w:eastAsia="Times New Roman" w:cs="Times New Roman"/>
                <w:sz w:val="18"/>
                <w:szCs w:val="18"/>
                <w:b/>
                <w:bCs/>
                <w:spacing w:val="-1"/>
              </w:rPr>
              <w:t>7,296,155</w:t>
            </w:r>
            <w:r>
              <w:rPr>
                <w:rFonts w:ascii="Times New Roman" w:hAnsi="Times New Roman" w:eastAsia="Times New Roman" w:cs="Times New Roman"/>
                <w:sz w:val="18"/>
                <w:szCs w:val="18"/>
                <w:b/>
                <w:bCs/>
                <w:spacing w:val="15"/>
              </w:rPr>
              <w:t xml:space="preserve"> </w:t>
            </w:r>
            <w:r>
              <w:rPr>
                <w:sz w:val="18"/>
                <w:szCs w:val="18"/>
                <w:position w:val="-11"/>
              </w:rPr>
              <w:drawing>
                <wp:inline distT="0" distB="0" distL="0" distR="0">
                  <wp:extent cx="36576" cy="244474"/>
                  <wp:effectExtent l="0" t="0" r="0" b="0"/>
                  <wp:docPr id="102" name="IM 102"/>
                  <wp:cNvGraphicFramePr/>
                  <a:graphic>
                    <a:graphicData uri="http://schemas.openxmlformats.org/drawingml/2006/picture">
                      <pic:pic>
                        <pic:nvPicPr>
                          <pic:cNvPr id="102" name="IM 102"/>
                          <pic:cNvPicPr/>
                        </pic:nvPicPr>
                        <pic:blipFill>
                          <a:blip r:embed="rId57"/>
                          <a:stretch>
                            <a:fillRect/>
                          </a:stretch>
                        </pic:blipFill>
                        <pic:spPr>
                          <a:xfrm rot="0">
                            <a:off x="0" y="0"/>
                            <a:ext cx="36576" cy="244474"/>
                          </a:xfrm>
                          <a:prstGeom prst="rect">
                            <a:avLst/>
                          </a:prstGeom>
                        </pic:spPr>
                      </pic:pic>
                    </a:graphicData>
                  </a:graphic>
                </wp:inline>
              </w:drawing>
            </w:r>
          </w:p>
        </w:tc>
        <w:tc>
          <w:tcPr>
            <w:shd w:val="clear" w:fill="DBE5F1"/>
            <w:tcW w:w="1061" w:type="dxa"/>
            <w:vAlign w:val="top"/>
            <w:tcBorders>
              <w:bottom w:val="single" w:color="000000" w:sz="2" w:space="0"/>
              <w:top w:val="single" w:color="000000" w:sz="2" w:space="0"/>
            </w:tcBorders>
          </w:tcPr>
          <w:p>
            <w:pPr>
              <w:spacing w:before="162"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100.00</w:t>
            </w:r>
          </w:p>
        </w:tc>
        <w:tc>
          <w:tcPr>
            <w:tcW w:w="293" w:type="dxa"/>
            <w:vAlign w:val="top"/>
            <w:tcBorders>
              <w:bottom w:val="single" w:color="000000" w:sz="2" w:space="0"/>
              <w:top w:val="single" w:color="000000" w:sz="2" w:space="0"/>
            </w:tcBorders>
          </w:tcPr>
          <w:p>
            <w:pPr>
              <w:spacing w:before="3" w:line="384" w:lineRule="exact"/>
              <w:rPr/>
            </w:pPr>
            <w:r>
              <w:rPr>
                <w:position w:val="-8"/>
              </w:rPr>
              <w:pict>
                <v:shape id="_x0000_s328" style="mso-position-vertical-relative:line;mso-position-horizontal-relative:char;width:2.9pt;height:19.7pt;" fillcolor="#DBE5F1" filled="true" stroked="false" coordsize="58,394" coordorigin="0,0" path="m0,393l57,393l57,0l0,0l0,393xe"/>
              </w:pict>
            </w:r>
          </w:p>
        </w:tc>
        <w:tc>
          <w:tcPr>
            <w:tcW w:w="1090" w:type="dxa"/>
            <w:vAlign w:val="top"/>
            <w:tcBorders>
              <w:bottom w:val="single" w:color="000000" w:sz="2" w:space="0"/>
              <w:top w:val="single" w:color="000000" w:sz="2" w:space="0"/>
            </w:tcBorders>
          </w:tcPr>
          <w:p>
            <w:pPr>
              <w:ind w:left="205"/>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6,560,400</w:t>
            </w:r>
          </w:p>
        </w:tc>
        <w:tc>
          <w:tcPr>
            <w:tcW w:w="1498" w:type="dxa"/>
            <w:vAlign w:val="top"/>
            <w:tcBorders>
              <w:bottom w:val="single" w:color="000000" w:sz="2" w:space="0"/>
              <w:top w:val="single" w:color="000000" w:sz="2" w:space="0"/>
            </w:tcBorders>
          </w:tcPr>
          <w:p>
            <w:pPr>
              <w:ind w:left="567"/>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100.00</w:t>
            </w:r>
          </w:p>
        </w:tc>
        <w:tc>
          <w:tcPr>
            <w:tcW w:w="1320" w:type="dxa"/>
            <w:vAlign w:val="top"/>
            <w:tcBorders>
              <w:bottom w:val="single" w:color="000000" w:sz="2" w:space="0"/>
              <w:top w:val="single" w:color="000000" w:sz="2" w:space="0"/>
            </w:tcBorders>
          </w:tcPr>
          <w:p>
            <w:pPr>
              <w:ind w:left="463"/>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5,848,424</w:t>
            </w:r>
          </w:p>
        </w:tc>
        <w:tc>
          <w:tcPr>
            <w:tcW w:w="1072" w:type="dxa"/>
            <w:vAlign w:val="top"/>
            <w:tcBorders>
              <w:bottom w:val="single" w:color="000000" w:sz="2" w:space="0"/>
              <w:top w:val="single" w:color="000000" w:sz="2" w:space="0"/>
            </w:tcBorders>
          </w:tcPr>
          <w:p>
            <w:pPr>
              <w:ind w:left="541"/>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100.00</w:t>
            </w:r>
          </w:p>
        </w:tc>
      </w:tr>
      <w:tr>
        <w:trPr>
          <w:trHeight w:val="1489" w:hRule="atLeast"/>
        </w:trPr>
        <w:tc>
          <w:tcPr>
            <w:tcW w:w="9770" w:type="dxa"/>
            <w:vAlign w:val="top"/>
            <w:gridSpan w:val="9"/>
            <w:tcBorders>
              <w:bottom w:val="single" w:color="000000" w:sz="2" w:space="0"/>
              <w:top w:val="single" w:color="000000" w:sz="2" w:space="0"/>
            </w:tcBorders>
          </w:tcPr>
          <w:p>
            <w:pPr>
              <w:spacing w:line="299" w:lineRule="auto"/>
              <w:rPr>
                <w:rFonts w:ascii="Arial"/>
                <w:sz w:val="21"/>
              </w:rPr>
            </w:pPr>
            <w:r/>
          </w:p>
          <w:p>
            <w:pPr>
              <w:spacing w:line="300" w:lineRule="auto"/>
              <w:rPr>
                <w:rFonts w:ascii="Arial"/>
                <w:sz w:val="21"/>
              </w:rPr>
            </w:pPr>
            <w:r/>
          </w:p>
          <w:p>
            <w:pPr>
              <w:pStyle w:val="TableText"/>
              <w:ind w:left="504"/>
              <w:spacing w:before="68" w:line="221" w:lineRule="auto"/>
              <w:rPr/>
            </w:pPr>
            <w:r>
              <w:rPr>
                <w:b/>
                <w:bCs/>
                <w:spacing w:val="-2"/>
              </w:rPr>
              <w:t>按业务类型划分的关注类及逾期贷款分布情况</w:t>
            </w:r>
          </w:p>
          <w:p>
            <w:pPr>
              <w:spacing w:line="275" w:lineRule="auto"/>
              <w:rPr>
                <w:rFonts w:ascii="Arial"/>
                <w:sz w:val="21"/>
              </w:rPr>
            </w:pPr>
            <w:r/>
          </w:p>
          <w:p>
            <w:pPr>
              <w:pStyle w:val="TableText"/>
              <w:ind w:left="7113"/>
              <w:spacing w:before="58" w:line="217" w:lineRule="auto"/>
              <w:rPr>
                <w:sz w:val="18"/>
                <w:szCs w:val="18"/>
              </w:rPr>
            </w:pPr>
            <w:r>
              <w:rPr>
                <w:sz w:val="18"/>
                <w:szCs w:val="18"/>
                <w:spacing w:val="6"/>
              </w:rPr>
              <w:t>(除另有标明外,人民币百万元)</w:t>
            </w:r>
          </w:p>
        </w:tc>
      </w:tr>
    </w:tbl>
    <w:p>
      <w:pPr>
        <w:ind w:firstLine="1584"/>
        <w:spacing w:line="393" w:lineRule="exact"/>
        <w:rPr/>
      </w:pPr>
      <w:r>
        <w:rPr>
          <w:position w:val="-7"/>
        </w:rPr>
        <w:pict>
          <v:group id="_x0000_s330" style="mso-position-vertical-relative:line;mso-position-horizontal-relative:char;width:204.7pt;height:19.7pt;" filled="false" stroked="false" coordsize="4093,394" coordorigin="0,0">
            <v:rect id="_x0000_s332" style="position:absolute;left:55;top:0;width:4037;height:394;" fillcolor="#DBE5F1" filled="true" stroked="false"/>
            <v:shape id="_x0000_s334" style="position:absolute;left:1283;top:106;width:1523;height:221;" filled="false" stroked="false" type="#_x0000_t202">
              <v:fill on="false"/>
              <v:stroke on="false"/>
              <v:path/>
              <v:imagedata o:title=""/>
              <o:lock v:ext="edit" aspectratio="false"/>
              <v:textbox inset="0mm,0mm,0mm,0mm">
                <w:txbxContent>
                  <w:p>
                    <w:pPr>
                      <w:spacing w:before="20" w:line="220" w:lineRule="auto"/>
                      <w:jc w:val="right"/>
                      <w:rPr>
                        <w:rFonts w:ascii="SimSun" w:hAnsi="SimSun" w:eastAsia="SimSun" w:cs="SimSun"/>
                        <w:sz w:val="18"/>
                        <w:szCs w:val="18"/>
                      </w:rPr>
                    </w:pPr>
                    <w:r>
                      <w:rPr>
                        <w:rFonts w:ascii="Times New Roman" w:hAnsi="Times New Roman" w:eastAsia="Times New Roman" w:cs="Times New Roman"/>
                        <w:sz w:val="18"/>
                        <w:szCs w:val="18"/>
                        <w:b/>
                        <w:bCs/>
                        <w:spacing w:val="-6"/>
                      </w:rPr>
                      <w:t>2022 </w:t>
                    </w:r>
                    <w:r>
                      <w:rPr>
                        <w:rFonts w:ascii="SimSun" w:hAnsi="SimSun" w:eastAsia="SimSun" w:cs="SimSun"/>
                        <w:sz w:val="18"/>
                        <w:szCs w:val="18"/>
                        <w:b/>
                        <w:bCs/>
                        <w:spacing w:val="-6"/>
                      </w:rPr>
                      <w:t>年</w:t>
                    </w:r>
                    <w:r>
                      <w:rPr>
                        <w:rFonts w:ascii="SimSun" w:hAnsi="SimSun" w:eastAsia="SimSun" w:cs="SimSun"/>
                        <w:sz w:val="18"/>
                        <w:szCs w:val="18"/>
                        <w:spacing w:val="-29"/>
                      </w:rPr>
                      <w:t xml:space="preserve"> </w:t>
                    </w:r>
                    <w:r>
                      <w:rPr>
                        <w:rFonts w:ascii="Times New Roman" w:hAnsi="Times New Roman" w:eastAsia="Times New Roman" w:cs="Times New Roman"/>
                        <w:sz w:val="18"/>
                        <w:szCs w:val="18"/>
                        <w:b/>
                        <w:bCs/>
                        <w:spacing w:val="-6"/>
                      </w:rPr>
                      <w:t>12</w:t>
                    </w:r>
                    <w:r>
                      <w:rPr>
                        <w:rFonts w:ascii="Times New Roman" w:hAnsi="Times New Roman" w:eastAsia="Times New Roman" w:cs="Times New Roman"/>
                        <w:sz w:val="18"/>
                        <w:szCs w:val="18"/>
                        <w:b/>
                        <w:bCs/>
                        <w:spacing w:val="11"/>
                        <w:w w:val="101"/>
                      </w:rPr>
                      <w:t xml:space="preserve"> </w:t>
                    </w:r>
                    <w:r>
                      <w:rPr>
                        <w:rFonts w:ascii="SimSun" w:hAnsi="SimSun" w:eastAsia="SimSun" w:cs="SimSun"/>
                        <w:sz w:val="18"/>
                        <w:szCs w:val="18"/>
                        <w:b/>
                        <w:bCs/>
                        <w:spacing w:val="-6"/>
                      </w:rPr>
                      <w:t>月</w:t>
                    </w:r>
                    <w:r>
                      <w:rPr>
                        <w:rFonts w:ascii="SimSun" w:hAnsi="SimSun" w:eastAsia="SimSun" w:cs="SimSun"/>
                        <w:sz w:val="18"/>
                        <w:szCs w:val="18"/>
                        <w:spacing w:val="-42"/>
                      </w:rPr>
                      <w:t xml:space="preserve"> </w:t>
                    </w:r>
                    <w:r>
                      <w:rPr>
                        <w:rFonts w:ascii="Times New Roman" w:hAnsi="Times New Roman" w:eastAsia="Times New Roman" w:cs="Times New Roman"/>
                        <w:sz w:val="18"/>
                        <w:szCs w:val="18"/>
                        <w:b/>
                        <w:bCs/>
                        <w:spacing w:val="-6"/>
                      </w:rPr>
                      <w:t>31  </w:t>
                    </w:r>
                    <w:r>
                      <w:rPr>
                        <w:rFonts w:ascii="SimSun" w:hAnsi="SimSun" w:eastAsia="SimSun" w:cs="SimSun"/>
                        <w:sz w:val="18"/>
                        <w:szCs w:val="18"/>
                        <w:b/>
                        <w:bCs/>
                        <w:spacing w:val="-6"/>
                      </w:rPr>
                      <w:t>日</w:t>
                    </w:r>
                  </w:p>
                </w:txbxContent>
              </v:textbox>
            </v:shape>
            <v:shape id="_x0000_s336" style="position:absolute;left:0;top:0;width:55;height:394;" fillcolor="#DBE5F1" filled="true" stroked="false" coordsize="55,394" coordorigin="0,0" path="m0,393l55,393l55,0l0,0l0,393xe"/>
          </v:group>
        </w:pict>
      </w:r>
    </w:p>
    <w:tbl>
      <w:tblPr>
        <w:tblStyle w:val="TableNormal"/>
        <w:tblW w:w="9769"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631"/>
        <w:gridCol w:w="1006"/>
        <w:gridCol w:w="1007"/>
        <w:gridCol w:w="976"/>
        <w:gridCol w:w="979"/>
        <w:gridCol w:w="1364"/>
        <w:gridCol w:w="946"/>
        <w:gridCol w:w="1121"/>
        <w:gridCol w:w="739"/>
      </w:tblGrid>
      <w:tr>
        <w:trPr>
          <w:trHeight w:val="682" w:hRule="atLeast"/>
        </w:trPr>
        <w:tc>
          <w:tcPr>
            <w:tcW w:w="1631" w:type="dxa"/>
            <w:vAlign w:val="top"/>
            <w:tcBorders>
              <w:left w:val="nil"/>
              <w:top w:val="nil"/>
              <w:right w:val="single" w:color="FFFFFF" w:sz="2" w:space="0"/>
            </w:tcBorders>
          </w:tcPr>
          <w:p>
            <w:pPr>
              <w:rPr>
                <w:rFonts w:ascii="Arial"/>
                <w:sz w:val="21"/>
              </w:rPr>
            </w:pPr>
            <w:r/>
          </w:p>
        </w:tc>
        <w:tc>
          <w:tcPr>
            <w:shd w:val="clear" w:fill="DBE5F1"/>
            <w:tcW w:w="1006" w:type="dxa"/>
            <w:vAlign w:val="top"/>
            <w:tcBorders>
              <w:left w:val="single" w:color="DBE5F1" w:sz="2" w:space="0"/>
              <w:right w:val="single" w:color="DBE5F1" w:sz="22" w:space="0"/>
            </w:tcBorders>
          </w:tcPr>
          <w:p>
            <w:pPr>
              <w:pStyle w:val="TableText"/>
              <w:ind w:left="557" w:right="62" w:hanging="537"/>
              <w:spacing w:before="132" w:line="253" w:lineRule="auto"/>
              <w:rPr>
                <w:sz w:val="18"/>
                <w:szCs w:val="18"/>
              </w:rPr>
            </w:pPr>
            <w:r>
              <w:rPr>
                <w:sz w:val="18"/>
                <w:szCs w:val="18"/>
                <w:b/>
                <w:bCs/>
                <w:spacing w:val="-4"/>
              </w:rPr>
              <w:t>关注类贷款</w:t>
            </w:r>
            <w:r>
              <w:rPr>
                <w:sz w:val="18"/>
                <w:szCs w:val="18"/>
                <w:spacing w:val="1"/>
              </w:rPr>
              <w:t xml:space="preserve"> </w:t>
            </w:r>
            <w:r>
              <w:rPr>
                <w:sz w:val="18"/>
                <w:szCs w:val="18"/>
                <w:b/>
                <w:bCs/>
                <w:spacing w:val="-5"/>
              </w:rPr>
              <w:t>余额</w:t>
            </w:r>
          </w:p>
        </w:tc>
        <w:tc>
          <w:tcPr>
            <w:shd w:val="clear" w:fill="DBE5F1"/>
            <w:tcW w:w="1007" w:type="dxa"/>
            <w:vAlign w:val="top"/>
            <w:tcBorders>
              <w:right w:val="single" w:color="DBE5F1" w:sz="2" w:space="0"/>
              <w:left w:val="single" w:color="DBE5F1" w:sz="22" w:space="0"/>
            </w:tcBorders>
          </w:tcPr>
          <w:p>
            <w:pPr>
              <w:pStyle w:val="TableText"/>
              <w:ind w:left="14" w:right="70"/>
              <w:spacing w:before="132" w:line="249" w:lineRule="auto"/>
              <w:jc w:val="right"/>
              <w:rPr>
                <w:rFonts w:ascii="Times New Roman" w:hAnsi="Times New Roman" w:eastAsia="Times New Roman" w:cs="Times New Roman"/>
                <w:sz w:val="18"/>
                <w:szCs w:val="18"/>
              </w:rPr>
            </w:pPr>
            <w:r>
              <w:rPr>
                <w:sz w:val="18"/>
                <w:szCs w:val="18"/>
                <w:b/>
                <w:bCs/>
                <w:spacing w:val="-4"/>
              </w:rPr>
              <w:t>关注类贷款</w:t>
            </w:r>
            <w:r>
              <w:rPr>
                <w:sz w:val="18"/>
                <w:szCs w:val="18"/>
                <w:spacing w:val="1"/>
              </w:rPr>
              <w:t xml:space="preserve"> </w:t>
            </w:r>
            <w:r>
              <w:rPr>
                <w:sz w:val="18"/>
                <w:szCs w:val="18"/>
                <w:b/>
                <w:bCs/>
                <w:spacing w:val="-2"/>
              </w:rPr>
              <w:t>率</w:t>
            </w:r>
            <w:r>
              <w:rPr>
                <w:rFonts w:ascii="Times New Roman" w:hAnsi="Times New Roman" w:eastAsia="Times New Roman" w:cs="Times New Roman"/>
                <w:sz w:val="18"/>
                <w:szCs w:val="18"/>
                <w:b/>
                <w:bCs/>
                <w:spacing w:val="-2"/>
              </w:rPr>
              <w:t>(%)</w:t>
            </w:r>
          </w:p>
        </w:tc>
        <w:tc>
          <w:tcPr>
            <w:shd w:val="clear" w:fill="DBE5F1"/>
            <w:tcW w:w="976" w:type="dxa"/>
            <w:vAlign w:val="top"/>
            <w:tcBorders>
              <w:left w:val="single" w:color="DBE5F1" w:sz="2" w:space="0"/>
              <w:right w:val="single" w:color="DBE5F1" w:sz="2" w:space="0"/>
            </w:tcBorders>
          </w:tcPr>
          <w:p>
            <w:pPr>
              <w:pStyle w:val="TableText"/>
              <w:ind w:left="776" w:right="20" w:hanging="723"/>
              <w:spacing w:before="132" w:line="253" w:lineRule="auto"/>
              <w:rPr>
                <w:sz w:val="18"/>
                <w:szCs w:val="18"/>
              </w:rPr>
            </w:pPr>
            <w:r>
              <w:rPr>
                <w:sz w:val="18"/>
                <w:szCs w:val="18"/>
                <w:b/>
                <w:bCs/>
                <w:spacing w:val="-3"/>
              </w:rPr>
              <w:t>逾期贷款余</w:t>
            </w:r>
            <w:r>
              <w:rPr>
                <w:sz w:val="18"/>
                <w:szCs w:val="18"/>
                <w:spacing w:val="1"/>
              </w:rPr>
              <w:t xml:space="preserve"> </w:t>
            </w:r>
            <w:r>
              <w:rPr>
                <w:sz w:val="18"/>
                <w:szCs w:val="18"/>
                <w:b/>
                <w:bCs/>
                <w:spacing w:val="-9"/>
              </w:rPr>
              <w:t>额</w:t>
            </w:r>
          </w:p>
        </w:tc>
        <w:tc>
          <w:tcPr>
            <w:shd w:val="clear" w:fill="DBE5F1"/>
            <w:tcW w:w="979" w:type="dxa"/>
            <w:vAlign w:val="top"/>
            <w:tcBorders>
              <w:left w:val="single" w:color="DBE5F1" w:sz="2" w:space="0"/>
              <w:right w:val="single" w:color="DBE5F1" w:sz="2" w:space="0"/>
            </w:tcBorders>
          </w:tcPr>
          <w:p>
            <w:pPr>
              <w:pStyle w:val="TableText"/>
              <w:ind w:left="100"/>
              <w:spacing w:before="132" w:line="257" w:lineRule="auto"/>
              <w:jc w:val="right"/>
              <w:rPr>
                <w:rFonts w:ascii="Times New Roman" w:hAnsi="Times New Roman" w:eastAsia="Times New Roman" w:cs="Times New Roman"/>
                <w:sz w:val="18"/>
                <w:szCs w:val="18"/>
              </w:rPr>
            </w:pPr>
            <w:r>
              <w:rPr>
                <w:sz w:val="18"/>
                <w:szCs w:val="18"/>
                <w:b/>
                <w:bCs/>
                <w:spacing w:val="-8"/>
              </w:rPr>
              <w:t>逾期贷款率</w:t>
            </w:r>
            <w:r>
              <w:rPr>
                <w:sz w:val="18"/>
                <w:szCs w:val="18"/>
                <w:spacing w:val="3"/>
              </w:rPr>
              <w:t xml:space="preserve"> </w:t>
            </w:r>
            <w:r>
              <w:rPr>
                <w:rFonts w:ascii="Times New Roman" w:hAnsi="Times New Roman" w:eastAsia="Times New Roman" w:cs="Times New Roman"/>
                <w:sz w:val="18"/>
                <w:szCs w:val="18"/>
                <w:b/>
                <w:bCs/>
                <w:spacing w:val="-4"/>
              </w:rPr>
              <w:t>(%)</w:t>
            </w:r>
          </w:p>
        </w:tc>
        <w:tc>
          <w:tcPr>
            <w:tcW w:w="4170" w:type="dxa"/>
            <w:vAlign w:val="top"/>
            <w:gridSpan w:val="4"/>
            <w:tcBorders>
              <w:right w:val="nil"/>
              <w:left w:val="single" w:color="FFFFFF" w:sz="2" w:space="0"/>
            </w:tcBorders>
          </w:tcPr>
          <w:p>
            <w:pPr>
              <w:pStyle w:val="TableText"/>
              <w:ind w:left="150" w:right="56"/>
              <w:spacing w:before="134" w:line="257" w:lineRule="auto"/>
              <w:jc w:val="right"/>
              <w:rPr>
                <w:rFonts w:ascii="Times New Roman" w:hAnsi="Times New Roman" w:eastAsia="Times New Roman" w:cs="Times New Roman"/>
                <w:sz w:val="18"/>
                <w:szCs w:val="18"/>
              </w:rPr>
            </w:pPr>
            <w:r>
              <w:rPr>
                <w:sz w:val="18"/>
                <w:szCs w:val="18"/>
                <w:spacing w:val="-2"/>
              </w:rPr>
              <w:t>关注类贷款</w:t>
            </w:r>
            <w:r>
              <w:rPr>
                <w:sz w:val="18"/>
                <w:szCs w:val="18"/>
                <w:spacing w:val="52"/>
              </w:rPr>
              <w:t xml:space="preserve"> </w:t>
            </w:r>
            <w:r>
              <w:rPr>
                <w:sz w:val="18"/>
                <w:szCs w:val="18"/>
                <w:spacing w:val="-2"/>
              </w:rPr>
              <w:t>关注类贷款</w:t>
            </w:r>
            <w:r>
              <w:rPr>
                <w:sz w:val="18"/>
                <w:szCs w:val="18"/>
                <w:spacing w:val="38"/>
              </w:rPr>
              <w:t xml:space="preserve"> </w:t>
            </w:r>
            <w:r>
              <w:rPr>
                <w:sz w:val="18"/>
                <w:szCs w:val="18"/>
                <w:spacing w:val="-2"/>
              </w:rPr>
              <w:t>逾期贷款余</w:t>
            </w:r>
            <w:r>
              <w:rPr>
                <w:sz w:val="18"/>
                <w:szCs w:val="18"/>
                <w:spacing w:val="39"/>
              </w:rPr>
              <w:t xml:space="preserve"> </w:t>
            </w:r>
            <w:r>
              <w:rPr>
                <w:sz w:val="18"/>
                <w:szCs w:val="18"/>
                <w:spacing w:val="-2"/>
              </w:rPr>
              <w:t>逾期贷款率</w:t>
            </w:r>
            <w:r>
              <w:rPr>
                <w:sz w:val="18"/>
                <w:szCs w:val="18"/>
              </w:rPr>
              <w:t xml:space="preserve"> </w:t>
            </w:r>
            <w:r>
              <w:rPr>
                <w:sz w:val="18"/>
                <w:szCs w:val="18"/>
                <w:spacing w:val="-1"/>
              </w:rPr>
              <w:t>余额</w:t>
            </w:r>
            <w:r>
              <w:rPr>
                <w:sz w:val="18"/>
                <w:szCs w:val="18"/>
                <w:spacing w:val="7"/>
              </w:rPr>
              <w:t xml:space="preserve">      </w:t>
            </w:r>
            <w:r>
              <w:rPr>
                <w:sz w:val="18"/>
                <w:szCs w:val="18"/>
                <w:spacing w:val="-1"/>
              </w:rPr>
              <w:t>率</w:t>
            </w:r>
            <w:r>
              <w:rPr>
                <w:rFonts w:ascii="Times New Roman" w:hAnsi="Times New Roman" w:eastAsia="Times New Roman" w:cs="Times New Roman"/>
                <w:sz w:val="18"/>
                <w:szCs w:val="18"/>
                <w:spacing w:val="-1"/>
              </w:rPr>
              <w:t>(%)              </w:t>
            </w:r>
            <w:r>
              <w:rPr>
                <w:rFonts w:ascii="Times New Roman" w:hAnsi="Times New Roman" w:eastAsia="Times New Roman" w:cs="Times New Roman"/>
                <w:sz w:val="18"/>
                <w:szCs w:val="18"/>
                <w:spacing w:val="-2"/>
              </w:rPr>
              <w:t xml:space="preserve">     </w:t>
            </w:r>
            <w:r>
              <w:rPr>
                <w:sz w:val="18"/>
                <w:szCs w:val="18"/>
                <w:spacing w:val="-2"/>
              </w:rPr>
              <w:t>额</w:t>
            </w:r>
            <w:r>
              <w:rPr>
                <w:sz w:val="18"/>
                <w:szCs w:val="18"/>
                <w:spacing w:val="5"/>
              </w:rPr>
              <w:t xml:space="preserve">        </w:t>
            </w:r>
            <w:r>
              <w:rPr>
                <w:rFonts w:ascii="Times New Roman" w:hAnsi="Times New Roman" w:eastAsia="Times New Roman" w:cs="Times New Roman"/>
                <w:sz w:val="18"/>
                <w:szCs w:val="18"/>
                <w:spacing w:val="-2"/>
              </w:rPr>
              <w:t>(%)</w:t>
            </w:r>
          </w:p>
        </w:tc>
      </w:tr>
      <w:tr>
        <w:trPr>
          <w:trHeight w:val="399" w:hRule="atLeast"/>
        </w:trPr>
        <w:tc>
          <w:tcPr>
            <w:tcW w:w="1631" w:type="dxa"/>
            <w:vAlign w:val="top"/>
            <w:tcBorders>
              <w:left w:val="nil"/>
              <w:right w:val="single" w:color="FFFFFF" w:sz="2" w:space="0"/>
            </w:tcBorders>
          </w:tcPr>
          <w:p>
            <w:pPr>
              <w:pStyle w:val="TableText"/>
              <w:ind w:left="84"/>
              <w:spacing w:before="130" w:line="220" w:lineRule="auto"/>
              <w:rPr>
                <w:sz w:val="18"/>
                <w:szCs w:val="18"/>
              </w:rPr>
            </w:pPr>
            <w:r>
              <w:rPr>
                <w:sz w:val="18"/>
                <w:szCs w:val="18"/>
                <w:b/>
                <w:bCs/>
                <w:spacing w:val="-4"/>
              </w:rPr>
              <w:t>公司类贷款</w:t>
            </w:r>
          </w:p>
        </w:tc>
        <w:tc>
          <w:tcPr>
            <w:shd w:val="clear" w:fill="DBE5F1"/>
            <w:tcW w:w="1006" w:type="dxa"/>
            <w:vAlign w:val="top"/>
            <w:tcBorders>
              <w:left w:val="single" w:color="DBE5F1" w:sz="2" w:space="0"/>
              <w:right w:val="single" w:color="DBE5F1" w:sz="22" w:space="0"/>
            </w:tcBorders>
          </w:tcPr>
          <w:p>
            <w:pPr>
              <w:ind w:left="425"/>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84,584</w:t>
            </w:r>
          </w:p>
        </w:tc>
        <w:tc>
          <w:tcPr>
            <w:shd w:val="clear" w:fill="DBE5F1"/>
            <w:tcW w:w="1007" w:type="dxa"/>
            <w:vAlign w:val="top"/>
            <w:tcBorders>
              <w:right w:val="single" w:color="DBE5F1" w:sz="2" w:space="0"/>
              <w:left w:val="single" w:color="DBE5F1" w:sz="22" w:space="0"/>
            </w:tcBorders>
          </w:tcPr>
          <w:p>
            <w:pPr>
              <w:ind w:left="605"/>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1.80</w:t>
            </w:r>
          </w:p>
        </w:tc>
        <w:tc>
          <w:tcPr>
            <w:shd w:val="clear" w:fill="DBE5F1"/>
            <w:tcW w:w="976" w:type="dxa"/>
            <w:vAlign w:val="top"/>
            <w:tcBorders>
              <w:left w:val="single" w:color="DBE5F1" w:sz="2" w:space="0"/>
              <w:right w:val="single" w:color="DBE5F1" w:sz="2" w:space="0"/>
            </w:tcBorders>
          </w:tcPr>
          <w:p>
            <w:pPr>
              <w:ind w:right="18"/>
              <w:spacing w:before="163"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46,309</w:t>
            </w:r>
          </w:p>
        </w:tc>
        <w:tc>
          <w:tcPr>
            <w:shd w:val="clear" w:fill="DBE5F1"/>
            <w:tcW w:w="979" w:type="dxa"/>
            <w:vAlign w:val="top"/>
            <w:tcBorders>
              <w:left w:val="single" w:color="DBE5F1" w:sz="2" w:space="0"/>
              <w:right w:val="single" w:color="DBE5F1" w:sz="2" w:space="0"/>
            </w:tcBorders>
          </w:tcPr>
          <w:p>
            <w:pPr>
              <w:spacing w:before="163"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9"/>
              </w:rPr>
              <w:t>0</w:t>
            </w:r>
            <w:r>
              <w:rPr>
                <w:rFonts w:ascii="Times New Roman" w:hAnsi="Times New Roman" w:eastAsia="Times New Roman" w:cs="Times New Roman"/>
                <w:sz w:val="18"/>
                <w:szCs w:val="18"/>
                <w:b/>
                <w:bCs/>
                <w:spacing w:val="-8"/>
              </w:rPr>
              <w:t>.9</w:t>
            </w:r>
            <w:r>
              <w:rPr>
                <w:rFonts w:ascii="Times New Roman" w:hAnsi="Times New Roman" w:eastAsia="Times New Roman" w:cs="Times New Roman"/>
                <w:sz w:val="18"/>
                <w:szCs w:val="18"/>
                <w:b/>
                <w:bCs/>
                <w:spacing w:val="-7"/>
              </w:rPr>
              <w:t>8</w:t>
            </w:r>
          </w:p>
        </w:tc>
        <w:tc>
          <w:tcPr>
            <w:tcW w:w="1364" w:type="dxa"/>
            <w:vAlign w:val="top"/>
            <w:tcBorders>
              <w:right w:val="nil"/>
              <w:left w:val="single" w:color="FFFFFF" w:sz="2" w:space="0"/>
            </w:tcBorders>
          </w:tcPr>
          <w:p>
            <w:pPr>
              <w:ind w:left="552"/>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73,858</w:t>
            </w:r>
          </w:p>
        </w:tc>
        <w:tc>
          <w:tcPr>
            <w:tcW w:w="946" w:type="dxa"/>
            <w:vAlign w:val="top"/>
            <w:tcBorders>
              <w:left w:val="nil"/>
              <w:right w:val="nil"/>
            </w:tcBorders>
          </w:tcPr>
          <w:p>
            <w:pPr>
              <w:ind w:left="410"/>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1.78</w:t>
            </w:r>
          </w:p>
        </w:tc>
        <w:tc>
          <w:tcPr>
            <w:tcW w:w="1121" w:type="dxa"/>
            <w:vAlign w:val="top"/>
            <w:tcBorders>
              <w:left w:val="nil"/>
              <w:right w:val="nil"/>
            </w:tcBorders>
          </w:tcPr>
          <w:p>
            <w:pPr>
              <w:ind w:left="295"/>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53,503</w:t>
            </w:r>
          </w:p>
        </w:tc>
        <w:tc>
          <w:tcPr>
            <w:tcW w:w="739" w:type="dxa"/>
            <w:vAlign w:val="top"/>
            <w:tcBorders>
              <w:left w:val="nil"/>
              <w:right w:val="nil"/>
            </w:tcBorders>
          </w:tcPr>
          <w:p>
            <w:pPr>
              <w:ind w:left="389"/>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1.29</w:t>
            </w:r>
          </w:p>
        </w:tc>
      </w:tr>
      <w:tr>
        <w:trPr>
          <w:trHeight w:val="398" w:hRule="atLeast"/>
        </w:trPr>
        <w:tc>
          <w:tcPr>
            <w:tcW w:w="1631" w:type="dxa"/>
            <w:vAlign w:val="top"/>
            <w:tcBorders>
              <w:left w:val="nil"/>
              <w:right w:val="single" w:color="FFFFFF" w:sz="2" w:space="0"/>
            </w:tcBorders>
          </w:tcPr>
          <w:p>
            <w:pPr>
              <w:pStyle w:val="TableText"/>
              <w:ind w:left="79"/>
              <w:spacing w:before="129" w:line="220" w:lineRule="auto"/>
              <w:rPr>
                <w:sz w:val="18"/>
                <w:szCs w:val="18"/>
              </w:rPr>
            </w:pPr>
            <w:r>
              <w:rPr>
                <w:sz w:val="18"/>
                <w:szCs w:val="18"/>
                <w:b/>
                <w:bCs/>
                <w:spacing w:val="-4"/>
              </w:rPr>
              <w:t>个人贷款</w:t>
            </w:r>
          </w:p>
        </w:tc>
        <w:tc>
          <w:tcPr>
            <w:shd w:val="clear" w:fill="DBE5F1"/>
            <w:tcW w:w="1006" w:type="dxa"/>
            <w:vAlign w:val="top"/>
            <w:tcBorders>
              <w:left w:val="single" w:color="DBE5F1" w:sz="2" w:space="0"/>
              <w:right w:val="single" w:color="DBE5F1" w:sz="22" w:space="0"/>
            </w:tcBorders>
          </w:tcPr>
          <w:p>
            <w:pPr>
              <w:ind w:left="423"/>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20,499</w:t>
            </w:r>
          </w:p>
        </w:tc>
        <w:tc>
          <w:tcPr>
            <w:shd w:val="clear" w:fill="DBE5F1"/>
            <w:tcW w:w="1007" w:type="dxa"/>
            <w:vAlign w:val="top"/>
            <w:tcBorders>
              <w:right w:val="single" w:color="DBE5F1" w:sz="2" w:space="0"/>
              <w:left w:val="single" w:color="DBE5F1" w:sz="22" w:space="0"/>
            </w:tcBorders>
          </w:tcPr>
          <w:p>
            <w:pPr>
              <w:ind w:left="599"/>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0.87</w:t>
            </w:r>
          </w:p>
        </w:tc>
        <w:tc>
          <w:tcPr>
            <w:shd w:val="clear" w:fill="DBE5F1"/>
            <w:tcW w:w="976" w:type="dxa"/>
            <w:vAlign w:val="top"/>
            <w:tcBorders>
              <w:left w:val="single" w:color="DBE5F1" w:sz="2" w:space="0"/>
              <w:right w:val="single" w:color="DBE5F1" w:sz="2" w:space="0"/>
            </w:tcBorders>
          </w:tcPr>
          <w:p>
            <w:pPr>
              <w:ind w:right="18"/>
              <w:spacing w:before="162"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38,483</w:t>
            </w:r>
          </w:p>
        </w:tc>
        <w:tc>
          <w:tcPr>
            <w:shd w:val="clear" w:fill="DBE5F1"/>
            <w:tcW w:w="979" w:type="dxa"/>
            <w:vAlign w:val="top"/>
            <w:tcBorders>
              <w:left w:val="single" w:color="DBE5F1" w:sz="2" w:space="0"/>
              <w:right w:val="single" w:color="DBE5F1" w:sz="2" w:space="0"/>
            </w:tcBorders>
          </w:tcPr>
          <w:p>
            <w:pPr>
              <w:spacing w:before="162"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9"/>
              </w:rPr>
              <w:t>1.63</w:t>
            </w:r>
          </w:p>
        </w:tc>
        <w:tc>
          <w:tcPr>
            <w:tcW w:w="1364" w:type="dxa"/>
            <w:vAlign w:val="top"/>
            <w:tcBorders>
              <w:right w:val="nil"/>
              <w:left w:val="single" w:color="FFFFFF" w:sz="2" w:space="0"/>
            </w:tcBorders>
          </w:tcPr>
          <w:p>
            <w:pPr>
              <w:ind w:left="567"/>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14,737</w:t>
            </w:r>
          </w:p>
        </w:tc>
        <w:tc>
          <w:tcPr>
            <w:tcW w:w="946" w:type="dxa"/>
            <w:vAlign w:val="top"/>
            <w:tcBorders>
              <w:left w:val="nil"/>
              <w:right w:val="nil"/>
            </w:tcBorders>
          </w:tcPr>
          <w:p>
            <w:pPr>
              <w:ind w:left="396"/>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0.64</w:t>
            </w:r>
          </w:p>
        </w:tc>
        <w:tc>
          <w:tcPr>
            <w:tcW w:w="1121" w:type="dxa"/>
            <w:vAlign w:val="top"/>
            <w:tcBorders>
              <w:left w:val="nil"/>
              <w:right w:val="nil"/>
            </w:tcBorders>
          </w:tcPr>
          <w:p>
            <w:pPr>
              <w:ind w:left="293"/>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33,653</w:t>
            </w:r>
          </w:p>
        </w:tc>
        <w:tc>
          <w:tcPr>
            <w:tcW w:w="739" w:type="dxa"/>
            <w:vAlign w:val="top"/>
            <w:tcBorders>
              <w:left w:val="nil"/>
              <w:right w:val="nil"/>
            </w:tcBorders>
          </w:tcPr>
          <w:p>
            <w:pPr>
              <w:ind w:left="389"/>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1.47</w:t>
            </w:r>
          </w:p>
        </w:tc>
      </w:tr>
      <w:tr>
        <w:trPr>
          <w:trHeight w:val="404" w:hRule="atLeast"/>
        </w:trPr>
        <w:tc>
          <w:tcPr>
            <w:tcW w:w="1631" w:type="dxa"/>
            <w:vAlign w:val="top"/>
            <w:tcBorders>
              <w:left w:val="nil"/>
              <w:right w:val="single" w:color="FFFFFF" w:sz="2" w:space="0"/>
            </w:tcBorders>
          </w:tcPr>
          <w:p>
            <w:pPr>
              <w:pStyle w:val="TableText"/>
              <w:ind w:left="78"/>
              <w:spacing w:before="130" w:line="220" w:lineRule="auto"/>
              <w:rPr>
                <w:sz w:val="18"/>
                <w:szCs w:val="18"/>
              </w:rPr>
            </w:pPr>
            <w:r>
              <w:rPr>
                <w:sz w:val="18"/>
                <w:szCs w:val="18"/>
                <w:spacing w:val="-2"/>
              </w:rPr>
              <w:t>住房贷款</w:t>
            </w:r>
          </w:p>
        </w:tc>
        <w:tc>
          <w:tcPr>
            <w:shd w:val="clear" w:fill="DBE5F1"/>
            <w:tcW w:w="1006" w:type="dxa"/>
            <w:vAlign w:val="top"/>
            <w:tcBorders>
              <w:left w:val="single" w:color="DBE5F1" w:sz="2" w:space="0"/>
              <w:right w:val="single" w:color="DBE5F1" w:sz="22" w:space="0"/>
            </w:tcBorders>
          </w:tcPr>
          <w:p>
            <w:pPr>
              <w:ind w:left="514"/>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8,051</w:t>
            </w:r>
          </w:p>
        </w:tc>
        <w:tc>
          <w:tcPr>
            <w:shd w:val="clear" w:fill="DBE5F1"/>
            <w:tcW w:w="1007" w:type="dxa"/>
            <w:vAlign w:val="top"/>
            <w:tcBorders>
              <w:right w:val="single" w:color="DBE5F1" w:sz="2" w:space="0"/>
              <w:left w:val="single" w:color="DBE5F1" w:sz="22" w:space="0"/>
            </w:tcBorders>
          </w:tcPr>
          <w:p>
            <w:pPr>
              <w:ind w:left="599"/>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0.53</w:t>
            </w:r>
          </w:p>
        </w:tc>
        <w:tc>
          <w:tcPr>
            <w:shd w:val="clear" w:fill="DBE5F1"/>
            <w:tcW w:w="976" w:type="dxa"/>
            <w:vAlign w:val="top"/>
            <w:tcBorders>
              <w:left w:val="single" w:color="DBE5F1" w:sz="2" w:space="0"/>
              <w:right w:val="single" w:color="DBE5F1" w:sz="2" w:space="0"/>
            </w:tcBorders>
          </w:tcPr>
          <w:p>
            <w:pPr>
              <w:ind w:right="18"/>
              <w:spacing w:before="162"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13,023</w:t>
            </w:r>
          </w:p>
        </w:tc>
        <w:tc>
          <w:tcPr>
            <w:shd w:val="clear" w:fill="DBE5F1"/>
            <w:tcW w:w="979" w:type="dxa"/>
            <w:vAlign w:val="top"/>
            <w:tcBorders>
              <w:left w:val="single" w:color="DBE5F1" w:sz="2" w:space="0"/>
              <w:right w:val="single" w:color="DBE5F1" w:sz="22" w:space="0"/>
            </w:tcBorders>
          </w:tcPr>
          <w:p>
            <w:pPr>
              <w:spacing w:before="163"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6"/>
                <w:w w:val="98"/>
              </w:rPr>
              <w:t>0</w:t>
            </w:r>
            <w:r>
              <w:rPr>
                <w:rFonts w:ascii="Times New Roman" w:hAnsi="Times New Roman" w:eastAsia="Times New Roman" w:cs="Times New Roman"/>
                <w:sz w:val="18"/>
                <w:szCs w:val="18"/>
                <w:b/>
                <w:bCs/>
                <w:spacing w:val="-15"/>
                <w:w w:val="98"/>
              </w:rPr>
              <w:t>.8</w:t>
            </w:r>
            <w:r>
              <w:rPr>
                <w:rFonts w:ascii="Times New Roman" w:hAnsi="Times New Roman" w:eastAsia="Times New Roman" w:cs="Times New Roman"/>
                <w:sz w:val="18"/>
                <w:szCs w:val="18"/>
                <w:b/>
                <w:bCs/>
                <w:spacing w:val="-6"/>
                <w:w w:val="98"/>
              </w:rPr>
              <w:t>6</w:t>
            </w:r>
          </w:p>
        </w:tc>
        <w:tc>
          <w:tcPr>
            <w:tcW w:w="1364" w:type="dxa"/>
            <w:vAlign w:val="top"/>
            <w:tcBorders>
              <w:right w:val="nil"/>
              <w:left w:val="single" w:color="000000" w:sz="22" w:space="0"/>
            </w:tcBorders>
          </w:tcPr>
          <w:p>
            <w:pPr>
              <w:ind w:left="617"/>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3,966</w:t>
            </w:r>
          </w:p>
        </w:tc>
        <w:tc>
          <w:tcPr>
            <w:tcW w:w="946" w:type="dxa"/>
            <w:vAlign w:val="top"/>
            <w:tcBorders>
              <w:left w:val="nil"/>
              <w:right w:val="nil"/>
            </w:tcBorders>
          </w:tcPr>
          <w:p>
            <w:pPr>
              <w:ind w:left="396"/>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0.27</w:t>
            </w:r>
          </w:p>
        </w:tc>
        <w:tc>
          <w:tcPr>
            <w:tcW w:w="1121" w:type="dxa"/>
            <w:vAlign w:val="top"/>
            <w:tcBorders>
              <w:left w:val="nil"/>
              <w:right w:val="nil"/>
            </w:tcBorders>
          </w:tcPr>
          <w:p>
            <w:pPr>
              <w:ind w:left="382"/>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9,001</w:t>
            </w:r>
          </w:p>
        </w:tc>
        <w:tc>
          <w:tcPr>
            <w:tcW w:w="739" w:type="dxa"/>
            <w:vAlign w:val="top"/>
            <w:tcBorders>
              <w:left w:val="nil"/>
              <w:right w:val="nil"/>
            </w:tcBorders>
          </w:tcPr>
          <w:p>
            <w:pPr>
              <w:ind w:left="374"/>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0.60</w:t>
            </w:r>
          </w:p>
        </w:tc>
      </w:tr>
    </w:tbl>
    <w:p>
      <w:pPr>
        <w:pStyle w:val="BodyText"/>
        <w:rPr/>
      </w:pPr>
      <w:r/>
    </w:p>
    <w:p>
      <w:pPr>
        <w:sectPr>
          <w:footerReference w:type="default" r:id="rId48"/>
          <w:pgSz w:w="11907" w:h="16839"/>
          <w:pgMar w:top="1196" w:right="1075" w:bottom="1374" w:left="1060" w:header="0" w:footer="1211" w:gutter="0"/>
        </w:sectPr>
        <w:rPr/>
      </w:pPr>
    </w:p>
    <w:tbl>
      <w:tblPr>
        <w:tblStyle w:val="TableNormal"/>
        <w:tblW w:w="9769"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098"/>
        <w:gridCol w:w="360"/>
        <w:gridCol w:w="181"/>
        <w:gridCol w:w="1022"/>
        <w:gridCol w:w="1025"/>
        <w:gridCol w:w="1022"/>
        <w:gridCol w:w="910"/>
        <w:gridCol w:w="341"/>
        <w:gridCol w:w="1038"/>
        <w:gridCol w:w="932"/>
        <w:gridCol w:w="1068"/>
        <w:gridCol w:w="772"/>
      </w:tblGrid>
      <w:tr>
        <w:trPr>
          <w:trHeight w:val="405" w:hRule="atLeast"/>
        </w:trPr>
        <w:tc>
          <w:tcPr>
            <w:tcW w:w="1098" w:type="dxa"/>
            <w:vAlign w:val="top"/>
            <w:tcBorders>
              <w:bottom w:val="single" w:color="000000" w:sz="2" w:space="0"/>
              <w:top w:val="single" w:color="000000" w:sz="2" w:space="0"/>
            </w:tcBorders>
          </w:tcPr>
          <w:p>
            <w:pPr>
              <w:pStyle w:val="TableText"/>
              <w:ind w:left="79"/>
              <w:spacing w:before="133" w:line="220" w:lineRule="auto"/>
              <w:rPr>
                <w:sz w:val="18"/>
                <w:szCs w:val="18"/>
              </w:rPr>
            </w:pPr>
            <w:r>
              <w:pict>
                <v:shape id="_x0000_s338" style="position:absolute;margin-left:398.499pt;margin-top:281.839pt;mso-position-vertical-relative:page;mso-position-horizontal-relative:page;width:76.25pt;height:12.75pt;z-index:251892736;" o:allowincell="f" filled="false" stroked="false" type="#_x0000_t202">
                  <v:fill on="false"/>
                  <v:stroke on="false"/>
                  <v:path/>
                  <v:imagedata o:title=""/>
                  <o:lock v:ext="edit" aspectratio="false"/>
                  <v:textbox inset="0mm,0mm,0mm,0mm">
                    <w:txbxContent>
                      <w:p>
                        <w:pPr>
                          <w:spacing w:before="20" w:line="220" w:lineRule="auto"/>
                          <w:jc w:val="right"/>
                          <w:rPr>
                            <w:rFonts w:ascii="SimSun" w:hAnsi="SimSun" w:eastAsia="SimSun" w:cs="SimSun"/>
                            <w:sz w:val="18"/>
                            <w:szCs w:val="18"/>
                          </w:rPr>
                        </w:pPr>
                        <w:r>
                          <w:rPr>
                            <w:rFonts w:ascii="Times New Roman" w:hAnsi="Times New Roman" w:eastAsia="Times New Roman" w:cs="Times New Roman"/>
                            <w:sz w:val="18"/>
                            <w:szCs w:val="18"/>
                            <w:spacing w:val="-8"/>
                          </w:rPr>
                          <w:t>2021</w:t>
                        </w:r>
                        <w:r>
                          <w:rPr>
                            <w:rFonts w:ascii="Times New Roman" w:hAnsi="Times New Roman" w:eastAsia="Times New Roman" w:cs="Times New Roman"/>
                            <w:sz w:val="18"/>
                            <w:szCs w:val="18"/>
                            <w:spacing w:val="16"/>
                            <w:w w:val="101"/>
                          </w:rPr>
                          <w:t xml:space="preserve"> </w:t>
                        </w:r>
                        <w:r>
                          <w:rPr>
                            <w:rFonts w:ascii="SimSun" w:hAnsi="SimSun" w:eastAsia="SimSun" w:cs="SimSun"/>
                            <w:sz w:val="18"/>
                            <w:szCs w:val="18"/>
                            <w:spacing w:val="-8"/>
                          </w:rPr>
                          <w:t>年</w:t>
                        </w:r>
                        <w:r>
                          <w:rPr>
                            <w:rFonts w:ascii="SimSun" w:hAnsi="SimSun" w:eastAsia="SimSun" w:cs="SimSun"/>
                            <w:sz w:val="18"/>
                            <w:szCs w:val="18"/>
                            <w:spacing w:val="-26"/>
                          </w:rPr>
                          <w:t xml:space="preserve"> </w:t>
                        </w:r>
                        <w:r>
                          <w:rPr>
                            <w:rFonts w:ascii="Times New Roman" w:hAnsi="Times New Roman" w:eastAsia="Times New Roman" w:cs="Times New Roman"/>
                            <w:sz w:val="18"/>
                            <w:szCs w:val="18"/>
                            <w:spacing w:val="-8"/>
                          </w:rPr>
                          <w:t>12</w:t>
                        </w:r>
                        <w:r>
                          <w:rPr>
                            <w:rFonts w:ascii="Times New Roman" w:hAnsi="Times New Roman" w:eastAsia="Times New Roman" w:cs="Times New Roman"/>
                            <w:sz w:val="18"/>
                            <w:szCs w:val="18"/>
                            <w:spacing w:val="13"/>
                            <w:w w:val="101"/>
                          </w:rPr>
                          <w:t xml:space="preserve"> </w:t>
                        </w:r>
                        <w:r>
                          <w:rPr>
                            <w:rFonts w:ascii="SimSun" w:hAnsi="SimSun" w:eastAsia="SimSun" w:cs="SimSun"/>
                            <w:sz w:val="18"/>
                            <w:szCs w:val="18"/>
                            <w:spacing w:val="-8"/>
                          </w:rPr>
                          <w:t>月</w:t>
                        </w:r>
                        <w:r>
                          <w:rPr>
                            <w:rFonts w:ascii="SimSun" w:hAnsi="SimSun" w:eastAsia="SimSun" w:cs="SimSun"/>
                            <w:sz w:val="18"/>
                            <w:szCs w:val="18"/>
                            <w:spacing w:val="-37"/>
                          </w:rPr>
                          <w:t xml:space="preserve"> </w:t>
                        </w:r>
                        <w:r>
                          <w:rPr>
                            <w:rFonts w:ascii="Times New Roman" w:hAnsi="Times New Roman" w:eastAsia="Times New Roman" w:cs="Times New Roman"/>
                            <w:sz w:val="18"/>
                            <w:szCs w:val="18"/>
                            <w:spacing w:val="-8"/>
                          </w:rPr>
                          <w:t>31  </w:t>
                        </w:r>
                        <w:r>
                          <w:rPr>
                            <w:rFonts w:ascii="SimSun" w:hAnsi="SimSun" w:eastAsia="SimSun" w:cs="SimSun"/>
                            <w:sz w:val="18"/>
                            <w:szCs w:val="18"/>
                            <w:spacing w:val="-8"/>
                          </w:rPr>
                          <w:t>日</w:t>
                        </w:r>
                      </w:p>
                    </w:txbxContent>
                  </v:textbox>
                </v:shape>
              </w:pict>
            </w:r>
            <w:r>
              <w:rPr>
                <w:sz w:val="18"/>
                <w:szCs w:val="18"/>
                <w:spacing w:val="-2"/>
              </w:rPr>
              <w:t>信用卡</w:t>
            </w:r>
          </w:p>
        </w:tc>
        <w:tc>
          <w:tcPr>
            <w:tcW w:w="541" w:type="dxa"/>
            <w:vAlign w:val="top"/>
            <w:gridSpan w:val="2"/>
            <w:tcBorders>
              <w:bottom w:val="single" w:color="000000" w:sz="2" w:space="0"/>
              <w:top w:val="single" w:color="000000" w:sz="2" w:space="0"/>
            </w:tcBorders>
          </w:tcPr>
          <w:p>
            <w:pPr>
              <w:ind w:firstLine="486"/>
              <w:spacing w:before="6" w:line="389" w:lineRule="exact"/>
              <w:rPr/>
            </w:pPr>
            <w:r>
              <w:rPr>
                <w:position w:val="-8"/>
              </w:rPr>
              <w:pict>
                <v:shape id="_x0000_s340" style="mso-position-vertical-relative:line;mso-position-horizontal-relative:char;width:2.8pt;height:19.7pt;" fillcolor="#DBE5F1" filled="true" stroked="false" coordsize="55,394" coordorigin="0,0" path="m0,393l55,393l55,0l0,0l0,393xe"/>
              </w:pict>
            </w:r>
          </w:p>
        </w:tc>
        <w:tc>
          <w:tcPr>
            <w:tcW w:w="1022" w:type="dxa"/>
            <w:vAlign w:val="top"/>
            <w:tcBorders>
              <w:bottom w:val="single" w:color="000000" w:sz="2" w:space="0"/>
              <w:top w:val="single" w:color="000000" w:sz="2" w:space="0"/>
            </w:tcBorders>
          </w:tcPr>
          <w:p>
            <w:pPr>
              <w:spacing w:before="6"/>
              <w:jc w:val="right"/>
              <w:rPr>
                <w:sz w:val="18"/>
                <w:szCs w:val="18"/>
              </w:rPr>
            </w:pPr>
            <w:r>
              <mc:AlternateContent xmlns:mc="http://schemas.openxmlformats.org/markup-compatibility/2006">
                <mc:Choice Requires="wps">
                  <w:drawing>
                    <wp:anchor distT="0" distB="0" distL="0" distR="0" simplePos="0" relativeHeight="251889664" behindDoc="1" locked="0" layoutInCell="1" allowOverlap="1">
                      <wp:simplePos x="0" y="0"/>
                      <wp:positionH relativeFrom="column">
                        <wp:posOffset>380</wp:posOffset>
                      </wp:positionH>
                      <wp:positionV relativeFrom="paragraph">
                        <wp:posOffset>4444</wp:posOffset>
                      </wp:positionV>
                      <wp:extent cx="577850" cy="250190"/>
                      <wp:effectExtent l="0" t="0" r="0" b="0"/>
                      <wp:wrapNone/>
                      <wp:docPr id="104" name="Rect 104"/>
                      <wp:cNvGraphicFramePr/>
                      <a:graphic>
                        <a:graphicData uri="http://schemas.microsoft.com/office/word/2010/wordprocessingShape">
                          <wps:wsp>
                            <wps:cNvPr id="104" name="Rect 104"/>
                            <wps:cNvSpPr/>
                            <wps:spPr>
                              <a:xfrm>
                                <a:off x="380" y="4444"/>
                                <a:ext cx="577850" cy="250190"/>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342" style="position:absolute;margin-left:0.029999pt;margin-top:0.349976pt;mso-position-vertical-relative:text;mso-position-horizontal-relative:text;width:45.5pt;height:19.7pt;z-index:-251426816;" fillcolor="#DBE5F1" filled="true" stroked="false"/>
                  </w:pict>
                </mc:Fallback>
              </mc:AlternateContent>
            </w:r>
            <w:r>
              <w:rPr>
                <w:rFonts w:ascii="Times New Roman" w:hAnsi="Times New Roman" w:eastAsia="Times New Roman" w:cs="Times New Roman"/>
                <w:sz w:val="18"/>
                <w:szCs w:val="18"/>
                <w:b/>
                <w:bCs/>
                <w:spacing w:val="-3"/>
              </w:rPr>
              <w:t>10,808</w:t>
            </w:r>
            <w:r>
              <w:rPr>
                <w:sz w:val="18"/>
                <w:szCs w:val="18"/>
                <w:position w:val="-11"/>
              </w:rPr>
              <w:drawing>
                <wp:inline distT="0" distB="0" distL="0" distR="0">
                  <wp:extent cx="72535" cy="246380"/>
                  <wp:effectExtent l="0" t="0" r="0" b="0"/>
                  <wp:docPr id="106" name="IM 106"/>
                  <wp:cNvGraphicFramePr/>
                  <a:graphic>
                    <a:graphicData uri="http://schemas.openxmlformats.org/drawingml/2006/picture">
                      <pic:pic>
                        <pic:nvPicPr>
                          <pic:cNvPr id="106" name="IM 106"/>
                          <pic:cNvPicPr/>
                        </pic:nvPicPr>
                        <pic:blipFill>
                          <a:blip r:embed="rId59"/>
                          <a:stretch>
                            <a:fillRect/>
                          </a:stretch>
                        </pic:blipFill>
                        <pic:spPr>
                          <a:xfrm rot="0">
                            <a:off x="0" y="0"/>
                            <a:ext cx="72535" cy="246380"/>
                          </a:xfrm>
                          <a:prstGeom prst="rect">
                            <a:avLst/>
                          </a:prstGeom>
                        </pic:spPr>
                      </pic:pic>
                    </a:graphicData>
                  </a:graphic>
                </wp:inline>
              </w:drawing>
            </w:r>
          </w:p>
        </w:tc>
        <w:tc>
          <w:tcPr>
            <w:shd w:val="clear" w:fill="DBE5F1"/>
            <w:tcW w:w="1025" w:type="dxa"/>
            <w:vAlign w:val="top"/>
            <w:tcBorders>
              <w:bottom w:val="single" w:color="000000" w:sz="2" w:space="0"/>
              <w:top w:val="single" w:color="000000" w:sz="2" w:space="0"/>
            </w:tcBorders>
          </w:tcPr>
          <w:p>
            <w:pPr>
              <w:ind w:left="601"/>
              <w:spacing w:before="166" w:line="186" w:lineRule="auto"/>
              <w:rPr>
                <w:rFonts w:ascii="Times New Roman" w:hAnsi="Times New Roman" w:eastAsia="Times New Roman" w:cs="Times New Roman"/>
                <w:sz w:val="18"/>
                <w:szCs w:val="18"/>
              </w:rPr>
            </w:pPr>
            <w:r>
              <w:pict>
                <v:shape id="_x0000_s344" style="position:absolute;margin-left:-2.81pt;margin-top:0.349976pt;mso-position-vertical-relative:top-margin-area;mso-position-horizontal-relative:right-margin-area;width:2.9pt;height:19.7pt;z-index:251908096;" fillcolor="#DBE5F1" filled="true" stroked="false" coordsize="58,394" coordorigin="0,0" path="m0,393l57,393l57,0l0,0l0,393xe"/>
              </w:pict>
            </w:r>
            <w:r>
              <w:rPr>
                <w:rFonts w:ascii="Times New Roman" w:hAnsi="Times New Roman" w:eastAsia="Times New Roman" w:cs="Times New Roman"/>
                <w:sz w:val="18"/>
                <w:szCs w:val="18"/>
                <w:b/>
                <w:bCs/>
                <w:spacing w:val="-1"/>
              </w:rPr>
              <w:t>2.26</w:t>
            </w:r>
          </w:p>
        </w:tc>
        <w:tc>
          <w:tcPr>
            <w:shd w:val="clear" w:fill="DBE5F1"/>
            <w:tcW w:w="1022" w:type="dxa"/>
            <w:vAlign w:val="top"/>
            <w:tcBorders>
              <w:bottom w:val="single" w:color="000000" w:sz="2" w:space="0"/>
              <w:top w:val="single" w:color="000000" w:sz="2" w:space="0"/>
            </w:tcBorders>
          </w:tcPr>
          <w:p>
            <w:pPr>
              <w:spacing w:before="6"/>
              <w:jc w:val="right"/>
              <w:rPr>
                <w:sz w:val="18"/>
                <w:szCs w:val="18"/>
              </w:rPr>
            </w:pPr>
            <w:r>
              <w:rPr>
                <w:rFonts w:ascii="Times New Roman" w:hAnsi="Times New Roman" w:eastAsia="Times New Roman" w:cs="Times New Roman"/>
                <w:sz w:val="18"/>
                <w:szCs w:val="18"/>
                <w:b/>
                <w:bCs/>
                <w:spacing w:val="-1"/>
              </w:rPr>
              <w:t>20,122</w:t>
            </w:r>
            <w:r>
              <w:rPr>
                <w:rFonts w:ascii="Times New Roman" w:hAnsi="Times New Roman" w:eastAsia="Times New Roman" w:cs="Times New Roman"/>
                <w:sz w:val="18"/>
                <w:szCs w:val="18"/>
                <w:b/>
                <w:bCs/>
                <w:spacing w:val="9"/>
              </w:rPr>
              <w:t xml:space="preserve"> </w:t>
            </w:r>
            <w:r>
              <w:rPr>
                <w:sz w:val="18"/>
                <w:szCs w:val="18"/>
                <w:position w:val="-11"/>
              </w:rPr>
              <w:drawing>
                <wp:inline distT="0" distB="0" distL="0" distR="0">
                  <wp:extent cx="36466" cy="246380"/>
                  <wp:effectExtent l="0" t="0" r="0" b="0"/>
                  <wp:docPr id="108" name="IM 108"/>
                  <wp:cNvGraphicFramePr/>
                  <a:graphic>
                    <a:graphicData uri="http://schemas.openxmlformats.org/drawingml/2006/picture">
                      <pic:pic>
                        <pic:nvPicPr>
                          <pic:cNvPr id="108" name="IM 108"/>
                          <pic:cNvPicPr/>
                        </pic:nvPicPr>
                        <pic:blipFill>
                          <a:blip r:embed="rId60"/>
                          <a:stretch>
                            <a:fillRect/>
                          </a:stretch>
                        </pic:blipFill>
                        <pic:spPr>
                          <a:xfrm rot="0">
                            <a:off x="0" y="0"/>
                            <a:ext cx="36466" cy="246380"/>
                          </a:xfrm>
                          <a:prstGeom prst="rect">
                            <a:avLst/>
                          </a:prstGeom>
                        </pic:spPr>
                      </pic:pic>
                    </a:graphicData>
                  </a:graphic>
                </wp:inline>
              </w:drawing>
            </w:r>
          </w:p>
        </w:tc>
        <w:tc>
          <w:tcPr>
            <w:shd w:val="clear" w:fill="DBE5F1"/>
            <w:tcW w:w="910" w:type="dxa"/>
            <w:vAlign w:val="top"/>
            <w:tcBorders>
              <w:bottom w:val="single" w:color="000000" w:sz="2" w:space="0"/>
              <w:top w:val="single" w:color="000000" w:sz="2" w:space="0"/>
            </w:tcBorders>
          </w:tcPr>
          <w:p>
            <w:pPr>
              <w:spacing w:before="166"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4.21</w:t>
            </w:r>
          </w:p>
        </w:tc>
        <w:tc>
          <w:tcPr>
            <w:tcW w:w="341" w:type="dxa"/>
            <w:vAlign w:val="top"/>
            <w:tcBorders>
              <w:bottom w:val="single" w:color="000000" w:sz="2" w:space="0"/>
              <w:top w:val="single" w:color="000000" w:sz="2" w:space="0"/>
            </w:tcBorders>
          </w:tcPr>
          <w:p>
            <w:pPr>
              <w:rPr>
                <w:rFonts w:ascii="Arial"/>
                <w:sz w:val="21"/>
              </w:rPr>
            </w:pPr>
            <w:r>
              <w:pict>
                <v:rect id="_x0000_s346" style="position:absolute;margin-left:-16.96pt;margin-top:0.349976pt;mso-position-vertical-relative:top-margin-area;mso-position-horizontal-relative:right-margin-area;width:2.9pt;height:19.7pt;z-index:251915264;" fillcolor="#DBE5F1" filled="true" stroked="false"/>
              </w:pict>
            </w:r>
            <w:r/>
          </w:p>
        </w:tc>
        <w:tc>
          <w:tcPr>
            <w:tcW w:w="1038" w:type="dxa"/>
            <w:vAlign w:val="top"/>
            <w:tcBorders>
              <w:bottom w:val="single" w:color="000000" w:sz="2" w:space="0"/>
              <w:top w:val="single" w:color="000000" w:sz="2" w:space="0"/>
            </w:tcBorders>
          </w:tcPr>
          <w:p>
            <w:pPr>
              <w:ind w:left="284"/>
              <w:spacing w:before="16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9,637</w:t>
            </w:r>
          </w:p>
        </w:tc>
        <w:tc>
          <w:tcPr>
            <w:tcW w:w="932" w:type="dxa"/>
            <w:vAlign w:val="top"/>
            <w:tcBorders>
              <w:bottom w:val="single" w:color="000000" w:sz="2" w:space="0"/>
              <w:top w:val="single" w:color="000000" w:sz="2" w:space="0"/>
            </w:tcBorders>
          </w:tcPr>
          <w:p>
            <w:pPr>
              <w:ind w:left="376"/>
              <w:spacing w:before="16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1.96</w:t>
            </w:r>
          </w:p>
        </w:tc>
        <w:tc>
          <w:tcPr>
            <w:tcW w:w="1068" w:type="dxa"/>
            <w:vAlign w:val="top"/>
            <w:tcBorders>
              <w:bottom w:val="single" w:color="000000" w:sz="2" w:space="0"/>
              <w:top w:val="single" w:color="000000" w:sz="2" w:space="0"/>
            </w:tcBorders>
          </w:tcPr>
          <w:p>
            <w:pPr>
              <w:ind w:left="270"/>
              <w:spacing w:before="16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20,462</w:t>
            </w:r>
          </w:p>
        </w:tc>
        <w:tc>
          <w:tcPr>
            <w:tcW w:w="772" w:type="dxa"/>
            <w:vAlign w:val="top"/>
            <w:tcBorders>
              <w:bottom w:val="single" w:color="000000" w:sz="2" w:space="0"/>
              <w:top w:val="single" w:color="000000" w:sz="2" w:space="0"/>
            </w:tcBorders>
          </w:tcPr>
          <w:p>
            <w:pPr>
              <w:ind w:left="403"/>
              <w:spacing w:before="16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4.15</w:t>
            </w:r>
          </w:p>
        </w:tc>
      </w:tr>
      <w:tr>
        <w:trPr>
          <w:trHeight w:val="398" w:hRule="atLeast"/>
        </w:trPr>
        <w:tc>
          <w:tcPr>
            <w:tcW w:w="1458" w:type="dxa"/>
            <w:vAlign w:val="top"/>
            <w:gridSpan w:val="2"/>
            <w:tcBorders>
              <w:bottom w:val="single" w:color="000000" w:sz="2" w:space="0"/>
              <w:top w:val="single" w:color="000000" w:sz="2" w:space="0"/>
            </w:tcBorders>
          </w:tcPr>
          <w:p>
            <w:pPr>
              <w:pStyle w:val="TableText"/>
              <w:ind w:left="79"/>
              <w:spacing w:before="127" w:line="220" w:lineRule="auto"/>
              <w:rPr>
                <w:sz w:val="18"/>
                <w:szCs w:val="18"/>
              </w:rPr>
            </w:pPr>
            <w:r>
              <w:rPr>
                <w:sz w:val="18"/>
                <w:szCs w:val="18"/>
                <w:spacing w:val="-1"/>
              </w:rPr>
              <w:t>个人经营类贷款</w:t>
            </w:r>
          </w:p>
        </w:tc>
        <w:tc>
          <w:tcPr>
            <w:tcW w:w="181" w:type="dxa"/>
            <w:vAlign w:val="top"/>
            <w:tcBorders>
              <w:bottom w:val="single" w:color="000000" w:sz="2" w:space="0"/>
              <w:top w:val="single" w:color="000000" w:sz="2" w:space="0"/>
            </w:tcBorders>
          </w:tcPr>
          <w:p>
            <w:pPr>
              <w:ind w:firstLine="126"/>
              <w:spacing w:line="388" w:lineRule="exact"/>
              <w:rPr/>
            </w:pPr>
            <w:r>
              <w:rPr>
                <w:position w:val="-8"/>
              </w:rPr>
              <w:pict>
                <v:shape id="_x0000_s348" style="mso-position-vertical-relative:line;mso-position-horizontal-relative:char;width:2.8pt;height:19.75pt;" fillcolor="#DBE5F1" filled="true" stroked="false" coordsize="55,395" coordorigin="0,0" path="m0,394l55,394l55,0l0,0l0,394xe"/>
              </w:pict>
            </w:r>
          </w:p>
        </w:tc>
        <w:tc>
          <w:tcPr>
            <w:tcW w:w="1022" w:type="dxa"/>
            <w:vAlign w:val="top"/>
            <w:tcBorders>
              <w:bottom w:val="single" w:color="000000" w:sz="2" w:space="0"/>
              <w:top w:val="single" w:color="000000" w:sz="2" w:space="0"/>
            </w:tcBorders>
          </w:tcPr>
          <w:p>
            <w:pPr>
              <w:ind w:left="641"/>
              <w:spacing w:before="159"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886592" behindDoc="1" locked="0" layoutInCell="1" allowOverlap="1">
                      <wp:simplePos x="0" y="0"/>
                      <wp:positionH relativeFrom="column">
                        <wp:posOffset>380</wp:posOffset>
                      </wp:positionH>
                      <wp:positionV relativeFrom="paragraph">
                        <wp:posOffset>72</wp:posOffset>
                      </wp:positionV>
                      <wp:extent cx="577850" cy="250825"/>
                      <wp:effectExtent l="0" t="0" r="0" b="0"/>
                      <wp:wrapNone/>
                      <wp:docPr id="110" name="Rect 110"/>
                      <wp:cNvGraphicFramePr/>
                      <a:graphic>
                        <a:graphicData uri="http://schemas.microsoft.com/office/word/2010/wordprocessingShape">
                          <wps:wsp>
                            <wps:cNvPr id="110" name="Rect 110"/>
                            <wps:cNvSpPr/>
                            <wps:spPr>
                              <a:xfrm>
                                <a:off x="380" y="72"/>
                                <a:ext cx="577850" cy="2508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350" style="position:absolute;margin-left:0.029999pt;margin-top:0.005738pt;mso-position-vertical-relative:text;mso-position-horizontal-relative:text;width:45.5pt;height:19.75pt;z-index:-251429888;" fillcolor="#DBE5F1" filled="true" stroked="false"/>
                  </w:pict>
                </mc:Fallback>
              </mc:AlternateContent>
            </w:r>
            <w:r>
              <w:pict>
                <v:rect id="_x0000_s352" style="position:absolute;margin-left:-5.59pt;margin-top:0.005981pt;mso-position-vertical-relative:top-margin-area;mso-position-horizontal-relative:right-margin-area;width:5.65pt;height:19.75pt;z-index:251893760;" fillcolor="#DBE5F1" filled="true" stroked="false"/>
              </w:pict>
            </w:r>
            <w:r>
              <w:rPr>
                <w:rFonts w:ascii="Times New Roman" w:hAnsi="Times New Roman" w:eastAsia="Times New Roman" w:cs="Times New Roman"/>
                <w:sz w:val="18"/>
                <w:szCs w:val="18"/>
                <w:b/>
                <w:bCs/>
                <w:spacing w:val="-1"/>
              </w:rPr>
              <w:t>436</w:t>
            </w:r>
          </w:p>
        </w:tc>
        <w:tc>
          <w:tcPr>
            <w:shd w:val="clear" w:fill="DBE5F1"/>
            <w:tcW w:w="1025" w:type="dxa"/>
            <w:vAlign w:val="top"/>
            <w:tcBorders>
              <w:bottom w:val="single" w:color="000000" w:sz="2" w:space="0"/>
              <w:top w:val="single" w:color="000000" w:sz="2" w:space="0"/>
            </w:tcBorders>
          </w:tcPr>
          <w:p>
            <w:pPr>
              <w:ind w:left="603"/>
              <w:spacing w:before="159" w:line="186" w:lineRule="auto"/>
              <w:rPr>
                <w:rFonts w:ascii="Times New Roman" w:hAnsi="Times New Roman" w:eastAsia="Times New Roman" w:cs="Times New Roman"/>
                <w:sz w:val="18"/>
                <w:szCs w:val="18"/>
              </w:rPr>
            </w:pPr>
            <w:r>
              <w:pict>
                <v:shape id="_x0000_s354" style="position:absolute;margin-left:-2.81pt;margin-top:0.005981pt;mso-position-vertical-relative:top-margin-area;mso-position-horizontal-relative:right-margin-area;width:2.9pt;height:19.75pt;z-index:251914240;" fillcolor="#DBE5F1" filled="true" stroked="false" coordsize="58,395" coordorigin="0,0" path="m0,394l57,394l57,0l0,0l0,394xe"/>
              </w:pict>
            </w:r>
            <w:r>
              <w:rPr>
                <w:rFonts w:ascii="Times New Roman" w:hAnsi="Times New Roman" w:eastAsia="Times New Roman" w:cs="Times New Roman"/>
                <w:sz w:val="18"/>
                <w:szCs w:val="18"/>
                <w:b/>
                <w:bCs/>
                <w:spacing w:val="-2"/>
              </w:rPr>
              <w:t>0.18</w:t>
            </w:r>
          </w:p>
        </w:tc>
        <w:tc>
          <w:tcPr>
            <w:shd w:val="clear" w:fill="DBE5F1"/>
            <w:tcW w:w="1022" w:type="dxa"/>
            <w:vAlign w:val="top"/>
            <w:tcBorders>
              <w:bottom w:val="single" w:color="000000" w:sz="2" w:space="0"/>
              <w:top w:val="single" w:color="000000" w:sz="2" w:space="0"/>
            </w:tcBorders>
          </w:tcPr>
          <w:p>
            <w:pPr>
              <w:jc w:val="right"/>
              <w:rPr>
                <w:sz w:val="18"/>
                <w:szCs w:val="18"/>
              </w:rPr>
            </w:pPr>
            <w:r>
              <w:rPr>
                <w:rFonts w:ascii="Times New Roman" w:hAnsi="Times New Roman" w:eastAsia="Times New Roman" w:cs="Times New Roman"/>
                <w:sz w:val="18"/>
                <w:szCs w:val="18"/>
                <w:b/>
                <w:bCs/>
                <w:spacing w:val="-3"/>
              </w:rPr>
              <w:t>1,985</w:t>
            </w:r>
            <w:r>
              <w:rPr>
                <w:rFonts w:ascii="Times New Roman" w:hAnsi="Times New Roman" w:eastAsia="Times New Roman" w:cs="Times New Roman"/>
                <w:sz w:val="18"/>
                <w:szCs w:val="18"/>
                <w:b/>
                <w:bCs/>
                <w:spacing w:val="11"/>
              </w:rPr>
              <w:t xml:space="preserve"> </w:t>
            </w:r>
            <w:r>
              <w:rPr>
                <w:sz w:val="18"/>
                <w:szCs w:val="18"/>
                <w:position w:val="-11"/>
              </w:rPr>
              <w:drawing>
                <wp:inline distT="0" distB="0" distL="0" distR="0">
                  <wp:extent cx="36446" cy="246304"/>
                  <wp:effectExtent l="0" t="0" r="0" b="0"/>
                  <wp:docPr id="112" name="IM 112"/>
                  <wp:cNvGraphicFramePr/>
                  <a:graphic>
                    <a:graphicData uri="http://schemas.openxmlformats.org/drawingml/2006/picture">
                      <pic:pic>
                        <pic:nvPicPr>
                          <pic:cNvPr id="112" name="IM 112"/>
                          <pic:cNvPicPr/>
                        </pic:nvPicPr>
                        <pic:blipFill>
                          <a:blip r:embed="rId61"/>
                          <a:stretch>
                            <a:fillRect/>
                          </a:stretch>
                        </pic:blipFill>
                        <pic:spPr>
                          <a:xfrm rot="0">
                            <a:off x="0" y="0"/>
                            <a:ext cx="36446" cy="246304"/>
                          </a:xfrm>
                          <a:prstGeom prst="rect">
                            <a:avLst/>
                          </a:prstGeom>
                        </pic:spPr>
                      </pic:pic>
                    </a:graphicData>
                  </a:graphic>
                </wp:inline>
              </w:drawing>
            </w:r>
          </w:p>
        </w:tc>
        <w:tc>
          <w:tcPr>
            <w:shd w:val="clear" w:fill="DBE5F1"/>
            <w:tcW w:w="910" w:type="dxa"/>
            <w:vAlign w:val="top"/>
            <w:tcBorders>
              <w:bottom w:val="single" w:color="000000" w:sz="2" w:space="0"/>
              <w:top w:val="single" w:color="000000" w:sz="2" w:space="0"/>
            </w:tcBorders>
          </w:tcPr>
          <w:p>
            <w:pPr>
              <w:spacing w:before="159"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0.83</w:t>
            </w:r>
          </w:p>
        </w:tc>
        <w:tc>
          <w:tcPr>
            <w:tcW w:w="341" w:type="dxa"/>
            <w:vAlign w:val="top"/>
            <w:tcBorders>
              <w:bottom w:val="single" w:color="000000" w:sz="2" w:space="0"/>
              <w:top w:val="single" w:color="000000" w:sz="2" w:space="0"/>
            </w:tcBorders>
          </w:tcPr>
          <w:p>
            <w:pPr>
              <w:rPr>
                <w:rFonts w:ascii="Arial"/>
                <w:sz w:val="21"/>
              </w:rPr>
            </w:pPr>
            <w:r>
              <w:pict>
                <v:rect id="_x0000_s356" style="position:absolute;margin-left:-16.96pt;margin-top:0.005981pt;mso-position-vertical-relative:top-margin-area;mso-position-horizontal-relative:right-margin-area;width:2.9pt;height:19.75pt;z-index:251913216;" fillcolor="#DBE5F1" filled="true" stroked="false"/>
              </w:pict>
            </w:r>
            <w:r/>
          </w:p>
        </w:tc>
        <w:tc>
          <w:tcPr>
            <w:tcW w:w="1038" w:type="dxa"/>
            <w:vAlign w:val="top"/>
            <w:tcBorders>
              <w:bottom w:val="single" w:color="000000" w:sz="2" w:space="0"/>
              <w:top w:val="single" w:color="000000" w:sz="2" w:space="0"/>
            </w:tcBorders>
          </w:tcPr>
          <w:p>
            <w:pPr>
              <w:ind w:left="419"/>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381</w:t>
            </w:r>
          </w:p>
        </w:tc>
        <w:tc>
          <w:tcPr>
            <w:tcW w:w="932" w:type="dxa"/>
            <w:vAlign w:val="top"/>
            <w:tcBorders>
              <w:bottom w:val="single" w:color="000000" w:sz="2" w:space="0"/>
              <w:top w:val="single" w:color="000000" w:sz="2" w:space="0"/>
            </w:tcBorders>
          </w:tcPr>
          <w:p>
            <w:pPr>
              <w:ind w:left="362"/>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0.20</w:t>
            </w:r>
          </w:p>
        </w:tc>
        <w:tc>
          <w:tcPr>
            <w:tcW w:w="1068" w:type="dxa"/>
            <w:vAlign w:val="top"/>
            <w:tcBorders>
              <w:bottom w:val="single" w:color="000000" w:sz="2" w:space="0"/>
              <w:top w:val="single" w:color="000000" w:sz="2" w:space="0"/>
            </w:tcBorders>
          </w:tcPr>
          <w:p>
            <w:pPr>
              <w:ind w:left="376"/>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1,533</w:t>
            </w:r>
          </w:p>
        </w:tc>
        <w:tc>
          <w:tcPr>
            <w:tcW w:w="772" w:type="dxa"/>
            <w:vAlign w:val="top"/>
            <w:tcBorders>
              <w:bottom w:val="single" w:color="000000" w:sz="2" w:space="0"/>
              <w:top w:val="single" w:color="000000" w:sz="2" w:space="0"/>
            </w:tcBorders>
          </w:tcPr>
          <w:p>
            <w:pPr>
              <w:ind w:left="407"/>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0.81</w:t>
            </w:r>
          </w:p>
        </w:tc>
      </w:tr>
      <w:tr>
        <w:trPr>
          <w:trHeight w:val="400" w:hRule="atLeast"/>
        </w:trPr>
        <w:tc>
          <w:tcPr>
            <w:tcW w:w="1098" w:type="dxa"/>
            <w:vAlign w:val="top"/>
            <w:tcBorders>
              <w:bottom w:val="single" w:color="000000" w:sz="2" w:space="0"/>
              <w:top w:val="single" w:color="000000" w:sz="2" w:space="0"/>
            </w:tcBorders>
          </w:tcPr>
          <w:p>
            <w:pPr>
              <w:pStyle w:val="TableText"/>
              <w:ind w:left="79"/>
              <w:spacing w:before="126" w:line="221" w:lineRule="auto"/>
              <w:rPr>
                <w:sz w:val="18"/>
                <w:szCs w:val="18"/>
              </w:rPr>
            </w:pPr>
            <w:r>
              <w:rPr>
                <w:sz w:val="18"/>
                <w:szCs w:val="18"/>
                <w:spacing w:val="-2"/>
              </w:rPr>
              <w:t>其他</w:t>
            </w:r>
          </w:p>
        </w:tc>
        <w:tc>
          <w:tcPr>
            <w:tcW w:w="541" w:type="dxa"/>
            <w:vAlign w:val="top"/>
            <w:gridSpan w:val="2"/>
            <w:tcBorders>
              <w:bottom w:val="single" w:color="000000" w:sz="2" w:space="0"/>
              <w:top w:val="single" w:color="000000" w:sz="2" w:space="0"/>
            </w:tcBorders>
          </w:tcPr>
          <w:p>
            <w:pPr>
              <w:ind w:firstLine="486"/>
              <w:spacing w:line="390" w:lineRule="exact"/>
              <w:rPr/>
            </w:pPr>
            <w:r>
              <w:rPr>
                <w:position w:val="-8"/>
              </w:rPr>
              <w:pict>
                <v:shape id="_x0000_s358" style="mso-position-vertical-relative:line;mso-position-horizontal-relative:char;width:2.8pt;height:19.8pt;" fillcolor="#DBE5F1" filled="true" stroked="false" coordsize="55,395" coordorigin="0,0" path="m0,395l55,395l55,0l0,0l0,395xe"/>
              </w:pict>
            </w:r>
          </w:p>
        </w:tc>
        <w:tc>
          <w:tcPr>
            <w:tcW w:w="1022" w:type="dxa"/>
            <w:vAlign w:val="top"/>
            <w:tcBorders>
              <w:bottom w:val="single" w:color="000000" w:sz="2" w:space="0"/>
              <w:top w:val="single" w:color="000000" w:sz="2" w:space="0"/>
            </w:tcBorders>
          </w:tcPr>
          <w:p>
            <w:pPr>
              <w:jc w:val="right"/>
              <w:rPr>
                <w:sz w:val="18"/>
                <w:szCs w:val="18"/>
              </w:rPr>
            </w:pPr>
            <w:r>
              <mc:AlternateContent xmlns:mc="http://schemas.openxmlformats.org/markup-compatibility/2006">
                <mc:Choice Requires="wps">
                  <w:drawing>
                    <wp:anchor distT="0" distB="0" distL="0" distR="0" simplePos="0" relativeHeight="251887616" behindDoc="1" locked="0" layoutInCell="1" allowOverlap="1">
                      <wp:simplePos x="0" y="0"/>
                      <wp:positionH relativeFrom="column">
                        <wp:posOffset>380</wp:posOffset>
                      </wp:positionH>
                      <wp:positionV relativeFrom="paragraph">
                        <wp:posOffset>507</wp:posOffset>
                      </wp:positionV>
                      <wp:extent cx="577850" cy="251459"/>
                      <wp:effectExtent l="0" t="0" r="0" b="0"/>
                      <wp:wrapNone/>
                      <wp:docPr id="114" name="Rect 114"/>
                      <wp:cNvGraphicFramePr/>
                      <a:graphic>
                        <a:graphicData uri="http://schemas.microsoft.com/office/word/2010/wordprocessingShape">
                          <wps:wsp>
                            <wps:cNvPr id="114" name="Rect 114"/>
                            <wps:cNvSpPr/>
                            <wps:spPr>
                              <a:xfrm>
                                <a:off x="380" y="507"/>
                                <a:ext cx="577850" cy="251459"/>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360" style="position:absolute;margin-left:0.029999pt;margin-top:0.039978pt;mso-position-vertical-relative:text;mso-position-horizontal-relative:text;width:45.5pt;height:19.8pt;z-index:-251428864;" fillcolor="#DBE5F1" filled="true" stroked="false"/>
                  </w:pict>
                </mc:Fallback>
              </mc:AlternateContent>
            </w:r>
            <w:r>
              <w:rPr>
                <w:rFonts w:ascii="Times New Roman" w:hAnsi="Times New Roman" w:eastAsia="Times New Roman" w:cs="Times New Roman"/>
                <w:sz w:val="18"/>
                <w:szCs w:val="18"/>
                <w:b/>
                <w:bCs/>
                <w:spacing w:val="-3"/>
              </w:rPr>
              <w:t>1,204</w:t>
            </w:r>
            <w:r>
              <w:rPr>
                <w:sz w:val="18"/>
                <w:szCs w:val="18"/>
                <w:position w:val="-11"/>
              </w:rPr>
              <w:drawing>
                <wp:inline distT="0" distB="0" distL="0" distR="0">
                  <wp:extent cx="72589" cy="247142"/>
                  <wp:effectExtent l="0" t="0" r="0" b="0"/>
                  <wp:docPr id="116" name="IM 116"/>
                  <wp:cNvGraphicFramePr/>
                  <a:graphic>
                    <a:graphicData uri="http://schemas.openxmlformats.org/drawingml/2006/picture">
                      <pic:pic>
                        <pic:nvPicPr>
                          <pic:cNvPr id="116" name="IM 116"/>
                          <pic:cNvPicPr/>
                        </pic:nvPicPr>
                        <pic:blipFill>
                          <a:blip r:embed="rId62"/>
                          <a:stretch>
                            <a:fillRect/>
                          </a:stretch>
                        </pic:blipFill>
                        <pic:spPr>
                          <a:xfrm rot="0">
                            <a:off x="0" y="0"/>
                            <a:ext cx="72589" cy="247142"/>
                          </a:xfrm>
                          <a:prstGeom prst="rect">
                            <a:avLst/>
                          </a:prstGeom>
                        </pic:spPr>
                      </pic:pic>
                    </a:graphicData>
                  </a:graphic>
                </wp:inline>
              </w:drawing>
            </w:r>
          </w:p>
        </w:tc>
        <w:tc>
          <w:tcPr>
            <w:shd w:val="clear" w:fill="DBE5F1"/>
            <w:tcW w:w="1025" w:type="dxa"/>
            <w:vAlign w:val="top"/>
            <w:tcBorders>
              <w:bottom w:val="single" w:color="000000" w:sz="2" w:space="0"/>
              <w:top w:val="single" w:color="000000" w:sz="2" w:space="0"/>
            </w:tcBorders>
          </w:tcPr>
          <w:p>
            <w:pPr>
              <w:ind w:left="603"/>
              <w:spacing w:before="160" w:line="186" w:lineRule="auto"/>
              <w:rPr>
                <w:rFonts w:ascii="Times New Roman" w:hAnsi="Times New Roman" w:eastAsia="Times New Roman" w:cs="Times New Roman"/>
                <w:sz w:val="18"/>
                <w:szCs w:val="18"/>
              </w:rPr>
            </w:pPr>
            <w:r>
              <w:pict>
                <v:shape id="_x0000_s362" style="position:absolute;margin-left:-2.81pt;margin-top:0.039978pt;mso-position-vertical-relative:top-margin-area;mso-position-horizontal-relative:right-margin-area;width:2.9pt;height:19.8pt;z-index:251912192;" fillcolor="#DBE5F1" filled="true" stroked="false" coordsize="58,395" coordorigin="0,0" path="m0,395l57,395l57,0l0,0l0,395xe"/>
              </w:pict>
            </w:r>
            <w:r>
              <w:rPr>
                <w:rFonts w:ascii="Times New Roman" w:hAnsi="Times New Roman" w:eastAsia="Times New Roman" w:cs="Times New Roman"/>
                <w:sz w:val="18"/>
                <w:szCs w:val="18"/>
                <w:b/>
                <w:bCs/>
                <w:spacing w:val="-2"/>
              </w:rPr>
              <w:t>0.88</w:t>
            </w:r>
          </w:p>
        </w:tc>
        <w:tc>
          <w:tcPr>
            <w:shd w:val="clear" w:fill="DBE5F1"/>
            <w:tcW w:w="1022" w:type="dxa"/>
            <w:vAlign w:val="top"/>
            <w:tcBorders>
              <w:bottom w:val="single" w:color="000000" w:sz="2" w:space="0"/>
              <w:top w:val="single" w:color="000000" w:sz="2" w:space="0"/>
            </w:tcBorders>
          </w:tcPr>
          <w:p>
            <w:pPr>
              <w:jc w:val="right"/>
              <w:rPr>
                <w:sz w:val="18"/>
                <w:szCs w:val="18"/>
              </w:rPr>
            </w:pPr>
            <w:r>
              <w:rPr>
                <w:rFonts w:ascii="Times New Roman" w:hAnsi="Times New Roman" w:eastAsia="Times New Roman" w:cs="Times New Roman"/>
                <w:sz w:val="18"/>
                <w:szCs w:val="18"/>
                <w:b/>
                <w:bCs/>
                <w:spacing w:val="-1"/>
              </w:rPr>
              <w:t>3,353</w:t>
            </w:r>
            <w:r>
              <w:rPr>
                <w:rFonts w:ascii="Times New Roman" w:hAnsi="Times New Roman" w:eastAsia="Times New Roman" w:cs="Times New Roman"/>
                <w:sz w:val="18"/>
                <w:szCs w:val="18"/>
                <w:b/>
                <w:bCs/>
                <w:spacing w:val="10"/>
              </w:rPr>
              <w:t xml:space="preserve"> </w:t>
            </w:r>
            <w:r>
              <w:rPr>
                <w:sz w:val="18"/>
                <w:szCs w:val="18"/>
                <w:position w:val="-11"/>
              </w:rPr>
              <w:drawing>
                <wp:inline distT="0" distB="0" distL="0" distR="0">
                  <wp:extent cx="36448" cy="247142"/>
                  <wp:effectExtent l="0" t="0" r="0" b="0"/>
                  <wp:docPr id="118" name="IM 118"/>
                  <wp:cNvGraphicFramePr/>
                  <a:graphic>
                    <a:graphicData uri="http://schemas.openxmlformats.org/drawingml/2006/picture">
                      <pic:pic>
                        <pic:nvPicPr>
                          <pic:cNvPr id="118" name="IM 118"/>
                          <pic:cNvPicPr/>
                        </pic:nvPicPr>
                        <pic:blipFill>
                          <a:blip r:embed="rId63"/>
                          <a:stretch>
                            <a:fillRect/>
                          </a:stretch>
                        </pic:blipFill>
                        <pic:spPr>
                          <a:xfrm rot="0">
                            <a:off x="0" y="0"/>
                            <a:ext cx="36448" cy="247142"/>
                          </a:xfrm>
                          <a:prstGeom prst="rect">
                            <a:avLst/>
                          </a:prstGeom>
                        </pic:spPr>
                      </pic:pic>
                    </a:graphicData>
                  </a:graphic>
                </wp:inline>
              </w:drawing>
            </w:r>
          </w:p>
        </w:tc>
        <w:tc>
          <w:tcPr>
            <w:shd w:val="clear" w:fill="DBE5F1"/>
            <w:tcW w:w="910" w:type="dxa"/>
            <w:vAlign w:val="top"/>
            <w:tcBorders>
              <w:bottom w:val="single" w:color="000000" w:sz="2" w:space="0"/>
              <w:top w:val="single" w:color="000000" w:sz="2" w:space="0"/>
            </w:tcBorders>
          </w:tcPr>
          <w:p>
            <w:pPr>
              <w:spacing w:before="160"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2.45</w:t>
            </w:r>
          </w:p>
        </w:tc>
        <w:tc>
          <w:tcPr>
            <w:tcW w:w="341" w:type="dxa"/>
            <w:vAlign w:val="top"/>
            <w:tcBorders>
              <w:bottom w:val="single" w:color="000000" w:sz="2" w:space="0"/>
              <w:top w:val="single" w:color="000000" w:sz="2" w:space="0"/>
            </w:tcBorders>
          </w:tcPr>
          <w:p>
            <w:pPr>
              <w:rPr>
                <w:rFonts w:ascii="Arial"/>
                <w:sz w:val="21"/>
              </w:rPr>
            </w:pPr>
            <w:r>
              <w:pict>
                <v:rect id="_x0000_s364" style="position:absolute;margin-left:-16.96pt;margin-top:0.039978pt;mso-position-vertical-relative:top-margin-area;mso-position-horizontal-relative:right-margin-area;width:2.9pt;height:19.8pt;z-index:251911168;" fillcolor="#DBE5F1" filled="true" stroked="false"/>
              </w:pict>
            </w:r>
            <w:r/>
          </w:p>
        </w:tc>
        <w:tc>
          <w:tcPr>
            <w:tcW w:w="1038" w:type="dxa"/>
            <w:vAlign w:val="top"/>
            <w:tcBorders>
              <w:bottom w:val="single" w:color="000000" w:sz="2" w:space="0"/>
              <w:top w:val="single" w:color="000000" w:sz="2" w:space="0"/>
            </w:tcBorders>
          </w:tcPr>
          <w:p>
            <w:pPr>
              <w:ind w:left="418"/>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753</w:t>
            </w:r>
          </w:p>
        </w:tc>
        <w:tc>
          <w:tcPr>
            <w:tcW w:w="932" w:type="dxa"/>
            <w:vAlign w:val="top"/>
            <w:tcBorders>
              <w:bottom w:val="single" w:color="000000" w:sz="2" w:space="0"/>
              <w:top w:val="single" w:color="000000" w:sz="2" w:space="0"/>
            </w:tcBorders>
          </w:tcPr>
          <w:p>
            <w:pPr>
              <w:ind w:left="362"/>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0.66</w:t>
            </w:r>
          </w:p>
        </w:tc>
        <w:tc>
          <w:tcPr>
            <w:tcW w:w="1068" w:type="dxa"/>
            <w:vAlign w:val="top"/>
            <w:tcBorders>
              <w:bottom w:val="single" w:color="000000" w:sz="2" w:space="0"/>
              <w:top w:val="single" w:color="000000" w:sz="2" w:space="0"/>
            </w:tcBorders>
          </w:tcPr>
          <w:p>
            <w:pPr>
              <w:ind w:left="359"/>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2,657</w:t>
            </w:r>
          </w:p>
        </w:tc>
        <w:tc>
          <w:tcPr>
            <w:tcW w:w="772" w:type="dxa"/>
            <w:vAlign w:val="top"/>
            <w:tcBorders>
              <w:bottom w:val="single" w:color="000000" w:sz="2" w:space="0"/>
              <w:top w:val="single" w:color="000000" w:sz="2" w:space="0"/>
            </w:tcBorders>
          </w:tcPr>
          <w:p>
            <w:pPr>
              <w:ind w:left="404"/>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2.32</w:t>
            </w:r>
          </w:p>
        </w:tc>
      </w:tr>
      <w:tr>
        <w:trPr>
          <w:trHeight w:val="397" w:hRule="atLeast"/>
        </w:trPr>
        <w:tc>
          <w:tcPr>
            <w:tcW w:w="1098" w:type="dxa"/>
            <w:vAlign w:val="top"/>
            <w:tcBorders>
              <w:bottom w:val="single" w:color="000000" w:sz="2" w:space="0"/>
              <w:top w:val="single" w:color="000000" w:sz="2" w:space="0"/>
            </w:tcBorders>
          </w:tcPr>
          <w:p>
            <w:pPr>
              <w:pStyle w:val="TableText"/>
              <w:ind w:left="80"/>
              <w:spacing w:before="127" w:line="220" w:lineRule="auto"/>
              <w:rPr>
                <w:sz w:val="18"/>
                <w:szCs w:val="18"/>
              </w:rPr>
            </w:pPr>
            <w:r>
              <w:rPr>
                <w:sz w:val="18"/>
                <w:szCs w:val="18"/>
                <w:b/>
                <w:bCs/>
                <w:spacing w:val="-4"/>
              </w:rPr>
              <w:t>票据贴现</w:t>
            </w:r>
          </w:p>
        </w:tc>
        <w:tc>
          <w:tcPr>
            <w:tcW w:w="541" w:type="dxa"/>
            <w:vAlign w:val="top"/>
            <w:gridSpan w:val="2"/>
            <w:tcBorders>
              <w:bottom w:val="single" w:color="000000" w:sz="2" w:space="0"/>
              <w:top w:val="single" w:color="000000" w:sz="2" w:space="0"/>
            </w:tcBorders>
          </w:tcPr>
          <w:p>
            <w:pPr>
              <w:ind w:firstLine="486"/>
              <w:spacing w:before="1" w:line="385" w:lineRule="exact"/>
              <w:rPr/>
            </w:pPr>
            <w:r>
              <w:rPr>
                <w:position w:val="-8"/>
              </w:rPr>
              <w:pict>
                <v:shape id="_x0000_s366" style="mso-position-vertical-relative:line;mso-position-horizontal-relative:char;width:2.8pt;height:19.7pt;" fillcolor="#DBE5F1" filled="true" stroked="false" coordsize="55,394" coordorigin="0,0" path="m0,393l55,393l55,0l0,0l0,393xe"/>
              </w:pict>
            </w:r>
          </w:p>
        </w:tc>
        <w:tc>
          <w:tcPr>
            <w:tcW w:w="1022" w:type="dxa"/>
            <w:vAlign w:val="top"/>
            <w:tcBorders>
              <w:bottom w:val="single" w:color="000000" w:sz="2" w:space="0"/>
              <w:top w:val="single" w:color="000000" w:sz="2" w:space="0"/>
            </w:tcBorders>
          </w:tcPr>
          <w:p>
            <w:pPr>
              <w:ind w:left="828"/>
              <w:spacing w:before="160" w:line="186"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888640" behindDoc="1" locked="0" layoutInCell="1" allowOverlap="1">
                      <wp:simplePos x="0" y="0"/>
                      <wp:positionH relativeFrom="column">
                        <wp:posOffset>380</wp:posOffset>
                      </wp:positionH>
                      <wp:positionV relativeFrom="paragraph">
                        <wp:posOffset>1017</wp:posOffset>
                      </wp:positionV>
                      <wp:extent cx="577850" cy="250190"/>
                      <wp:effectExtent l="0" t="0" r="0" b="0"/>
                      <wp:wrapNone/>
                      <wp:docPr id="120" name="Rect 120"/>
                      <wp:cNvGraphicFramePr/>
                      <a:graphic>
                        <a:graphicData uri="http://schemas.microsoft.com/office/word/2010/wordprocessingShape">
                          <wps:wsp>
                            <wps:cNvPr id="120" name="Rect 120"/>
                            <wps:cNvSpPr/>
                            <wps:spPr>
                              <a:xfrm>
                                <a:off x="380" y="1017"/>
                                <a:ext cx="577850" cy="250190"/>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368" style="position:absolute;margin-left:0.029999pt;margin-top:0.080139pt;mso-position-vertical-relative:text;mso-position-horizontal-relative:text;width:45.5pt;height:19.7pt;z-index:-251427840;" fillcolor="#DBE5F1" filled="true" stroked="false"/>
                  </w:pict>
                </mc:Fallback>
              </mc:AlternateContent>
            </w:r>
            <w:r>
              <w:pict>
                <v:rect id="_x0000_s370" style="position:absolute;margin-left:-5.59pt;margin-top:0.069946pt;mso-position-vertical-relative:top-margin-area;mso-position-horizontal-relative:right-margin-area;width:5.65pt;height:19.7pt;z-index:251894784;" fillcolor="#DBE5F1" filled="true" stroked="false"/>
              </w:pict>
            </w:r>
            <w:r>
              <w:rPr>
                <w:rFonts w:ascii="Times New Roman" w:hAnsi="Times New Roman" w:eastAsia="Times New Roman" w:cs="Times New Roman"/>
                <w:sz w:val="18"/>
                <w:szCs w:val="18"/>
                <w:b/>
                <w:bCs/>
              </w:rPr>
              <w:t>1</w:t>
            </w:r>
          </w:p>
        </w:tc>
        <w:tc>
          <w:tcPr>
            <w:shd w:val="clear" w:fill="DBE5F1"/>
            <w:tcW w:w="1025" w:type="dxa"/>
            <w:vAlign w:val="top"/>
            <w:tcBorders>
              <w:bottom w:val="single" w:color="000000" w:sz="2" w:space="0"/>
              <w:top w:val="single" w:color="000000" w:sz="2" w:space="0"/>
            </w:tcBorders>
          </w:tcPr>
          <w:p>
            <w:pPr>
              <w:ind w:left="603"/>
              <w:spacing w:before="160" w:line="186" w:lineRule="auto"/>
              <w:rPr>
                <w:rFonts w:ascii="Times New Roman" w:hAnsi="Times New Roman" w:eastAsia="Times New Roman" w:cs="Times New Roman"/>
                <w:sz w:val="18"/>
                <w:szCs w:val="18"/>
              </w:rPr>
            </w:pPr>
            <w:r>
              <w:pict>
                <v:shape id="_x0000_s372" style="position:absolute;margin-left:-2.81pt;margin-top:0.069946pt;mso-position-vertical-relative:top-margin-area;mso-position-horizontal-relative:right-margin-area;width:2.9pt;height:19.7pt;z-index:251910144;" fillcolor="#DBE5F1" filled="true" stroked="false" coordsize="58,394" coordorigin="0,0" path="m0,393l57,393l57,0l0,0l0,393xe"/>
              </w:pict>
            </w:r>
            <w:r>
              <w:rPr>
                <w:rFonts w:ascii="Times New Roman" w:hAnsi="Times New Roman" w:eastAsia="Times New Roman" w:cs="Times New Roman"/>
                <w:sz w:val="18"/>
                <w:szCs w:val="18"/>
                <w:b/>
                <w:bCs/>
                <w:spacing w:val="-2"/>
              </w:rPr>
              <w:t>0.00</w:t>
            </w:r>
          </w:p>
        </w:tc>
        <w:tc>
          <w:tcPr>
            <w:shd w:val="clear" w:fill="DBE5F1"/>
            <w:tcW w:w="1022" w:type="dxa"/>
            <w:vAlign w:val="top"/>
            <w:tcBorders>
              <w:bottom w:val="single" w:color="000000" w:sz="2" w:space="0"/>
              <w:top w:val="single" w:color="000000" w:sz="2" w:space="0"/>
            </w:tcBorders>
          </w:tcPr>
          <w:p>
            <w:pPr>
              <w:ind w:left="733"/>
              <w:spacing w:before="160" w:line="186" w:lineRule="auto"/>
              <w:rPr>
                <w:rFonts w:ascii="Times New Roman" w:hAnsi="Times New Roman" w:eastAsia="Times New Roman" w:cs="Times New Roman"/>
                <w:sz w:val="18"/>
                <w:szCs w:val="18"/>
              </w:rPr>
            </w:pPr>
            <w:r>
              <w:pict>
                <v:shape id="_x0000_s374" style="position:absolute;margin-left:-2.79001pt;margin-top:0.069946pt;mso-position-vertical-relative:top-margin-area;mso-position-horizontal-relative:right-margin-area;width:2.9pt;height:19.7pt;z-index:251909120;" fillcolor="#DBE5F1" filled="true" stroked="false" coordsize="58,394" coordorigin="0,0" path="m0,393l57,393l57,0l0,0l0,393xe"/>
              </w:pict>
            </w:r>
            <w:r>
              <w:rPr>
                <w:rFonts w:ascii="Times New Roman" w:hAnsi="Times New Roman" w:eastAsia="Times New Roman" w:cs="Times New Roman"/>
                <w:sz w:val="18"/>
                <w:szCs w:val="18"/>
                <w:b/>
                <w:bCs/>
                <w:spacing w:val="-1"/>
              </w:rPr>
              <w:t>36</w:t>
            </w:r>
          </w:p>
        </w:tc>
        <w:tc>
          <w:tcPr>
            <w:shd w:val="clear" w:fill="DBE5F1"/>
            <w:tcW w:w="910" w:type="dxa"/>
            <w:vAlign w:val="top"/>
            <w:tcBorders>
              <w:bottom w:val="single" w:color="000000" w:sz="2" w:space="0"/>
              <w:top w:val="single" w:color="000000" w:sz="2" w:space="0"/>
            </w:tcBorders>
          </w:tcPr>
          <w:p>
            <w:pPr>
              <w:spacing w:before="160"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0.02</w:t>
            </w:r>
          </w:p>
        </w:tc>
        <w:tc>
          <w:tcPr>
            <w:tcW w:w="341" w:type="dxa"/>
            <w:vAlign w:val="top"/>
            <w:tcBorders>
              <w:bottom w:val="single" w:color="000000" w:sz="2" w:space="0"/>
              <w:top w:val="single" w:color="000000" w:sz="2" w:space="0"/>
            </w:tcBorders>
          </w:tcPr>
          <w:p>
            <w:pPr>
              <w:rPr>
                <w:rFonts w:ascii="Arial"/>
                <w:sz w:val="21"/>
              </w:rPr>
            </w:pPr>
            <w:r>
              <w:pict>
                <v:rect id="_x0000_s376" style="position:absolute;margin-left:-16.96pt;margin-top:0.069946pt;mso-position-vertical-relative:top-margin-area;mso-position-horizontal-relative:right-margin-area;width:2.9pt;height:19.7pt;z-index:251907072;" fillcolor="#DBE5F1" filled="true" stroked="false"/>
              </w:pict>
            </w:r>
            <w:r/>
          </w:p>
        </w:tc>
        <w:tc>
          <w:tcPr>
            <w:tcW w:w="1038" w:type="dxa"/>
            <w:vAlign w:val="top"/>
            <w:tcBorders>
              <w:bottom w:val="single" w:color="000000" w:sz="2" w:space="0"/>
              <w:top w:val="single" w:color="000000" w:sz="2" w:space="0"/>
            </w:tcBorders>
          </w:tcPr>
          <w:p>
            <w:pPr>
              <w:ind w:left="510"/>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34</w:t>
            </w:r>
          </w:p>
        </w:tc>
        <w:tc>
          <w:tcPr>
            <w:tcW w:w="932" w:type="dxa"/>
            <w:vAlign w:val="top"/>
            <w:tcBorders>
              <w:bottom w:val="single" w:color="000000" w:sz="2" w:space="0"/>
              <w:top w:val="single" w:color="000000" w:sz="2" w:space="0"/>
            </w:tcBorders>
          </w:tcPr>
          <w:p>
            <w:pPr>
              <w:ind w:left="362"/>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0.02</w:t>
            </w:r>
          </w:p>
        </w:tc>
        <w:tc>
          <w:tcPr>
            <w:tcW w:w="1068" w:type="dxa"/>
            <w:vAlign w:val="top"/>
            <w:tcBorders>
              <w:bottom w:val="single" w:color="000000" w:sz="2" w:space="0"/>
              <w:top w:val="single" w:color="000000" w:sz="2" w:space="0"/>
            </w:tcBorders>
          </w:tcPr>
          <w:p>
            <w:pPr>
              <w:ind w:left="677"/>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6</w:t>
            </w:r>
          </w:p>
        </w:tc>
        <w:tc>
          <w:tcPr>
            <w:tcW w:w="772" w:type="dxa"/>
            <w:vAlign w:val="top"/>
            <w:tcBorders>
              <w:bottom w:val="single" w:color="000000" w:sz="2" w:space="0"/>
              <w:top w:val="single" w:color="000000" w:sz="2" w:space="0"/>
            </w:tcBorders>
          </w:tcPr>
          <w:p>
            <w:pPr>
              <w:ind w:left="316"/>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0.004</w:t>
            </w:r>
          </w:p>
        </w:tc>
      </w:tr>
      <w:tr>
        <w:trPr>
          <w:trHeight w:val="398" w:hRule="atLeast"/>
        </w:trPr>
        <w:tc>
          <w:tcPr>
            <w:tcW w:w="1098" w:type="dxa"/>
            <w:vAlign w:val="top"/>
            <w:tcBorders>
              <w:bottom w:val="single" w:color="000000" w:sz="2" w:space="0"/>
              <w:top w:val="single" w:color="000000" w:sz="2" w:space="0"/>
            </w:tcBorders>
          </w:tcPr>
          <w:p>
            <w:pPr>
              <w:pStyle w:val="TableText"/>
              <w:ind w:left="79"/>
              <w:spacing w:before="128" w:line="222" w:lineRule="auto"/>
              <w:rPr>
                <w:sz w:val="18"/>
                <w:szCs w:val="18"/>
              </w:rPr>
            </w:pPr>
            <w:r>
              <w:rPr>
                <w:sz w:val="18"/>
                <w:szCs w:val="18"/>
                <w:b/>
                <w:bCs/>
                <w:spacing w:val="-4"/>
              </w:rPr>
              <w:t>合计</w:t>
            </w:r>
          </w:p>
        </w:tc>
        <w:tc>
          <w:tcPr>
            <w:tcW w:w="541" w:type="dxa"/>
            <w:vAlign w:val="top"/>
            <w:gridSpan w:val="2"/>
            <w:tcBorders>
              <w:bottom w:val="single" w:color="000000" w:sz="2" w:space="0"/>
              <w:top w:val="single" w:color="000000" w:sz="2" w:space="0"/>
            </w:tcBorders>
          </w:tcPr>
          <w:p>
            <w:pPr>
              <w:ind w:firstLine="486"/>
              <w:spacing w:before="2" w:line="386" w:lineRule="exact"/>
              <w:rPr/>
            </w:pPr>
            <w:r>
              <w:rPr>
                <w:position w:val="-8"/>
              </w:rPr>
              <w:pict>
                <v:shape id="_x0000_s378" style="mso-position-vertical-relative:line;mso-position-horizontal-relative:char;width:2.8pt;height:19.7pt;" fillcolor="#DBE5F1" filled="true" stroked="false" coordsize="55,394" coordorigin="0,0" path="m0,393l55,393l55,0l0,0l0,393xe"/>
              </w:pict>
            </w:r>
          </w:p>
        </w:tc>
        <w:tc>
          <w:tcPr>
            <w:tcW w:w="1022" w:type="dxa"/>
            <w:vAlign w:val="top"/>
            <w:tcBorders>
              <w:bottom w:val="single" w:color="000000" w:sz="2" w:space="0"/>
              <w:top w:val="single" w:color="000000" w:sz="2" w:space="0"/>
            </w:tcBorders>
          </w:tcPr>
          <w:p>
            <w:pPr>
              <w:spacing w:before="2" w:line="386" w:lineRule="exact"/>
              <w:rPr/>
            </w:pPr>
            <w:r>
              <w:rPr>
                <w:position w:val="-8"/>
              </w:rPr>
              <w:pict>
                <v:group id="_x0000_s380" style="mso-position-vertical-relative:line;mso-position-horizontal-relative:char;width:51.15pt;height:19.7pt;" filled="false" stroked="false" coordsize="1023,394" coordorigin="0,0">
                  <v:rect id="_x0000_s382" style="position:absolute;left:0;top:0;width:910;height:394;" fillcolor="#DBE5F1" filled="true" stroked="false"/>
                  <v:shape id="_x0000_s384" style="position:absolute;left:-20;top:-20;width:1063;height:434;" filled="false" stroked="false" type="#_x0000_t202">
                    <v:fill on="false"/>
                    <v:stroke on="false"/>
                    <v:path/>
                    <v:imagedata o:title=""/>
                    <o:lock v:ext="edit" aspectratio="false"/>
                    <v:textbox inset="0mm,0mm,0mm,0mm">
                      <w:txbxContent>
                        <w:p>
                          <w:pPr>
                            <w:ind w:right="20"/>
                            <w:spacing w:before="20"/>
                            <w:jc w:val="right"/>
                            <w:rPr>
                              <w:sz w:val="18"/>
                              <w:szCs w:val="18"/>
                            </w:rPr>
                          </w:pPr>
                          <w:r>
                            <w:rPr>
                              <w:rFonts w:ascii="Times New Roman" w:hAnsi="Times New Roman" w:eastAsia="Times New Roman" w:cs="Times New Roman"/>
                              <w:sz w:val="18"/>
                              <w:szCs w:val="18"/>
                              <w:b/>
                              <w:bCs/>
                              <w:spacing w:val="-2"/>
                            </w:rPr>
                            <w:t>105,084</w:t>
                          </w:r>
                          <w:r>
                            <w:rPr>
                              <w:sz w:val="18"/>
                              <w:szCs w:val="18"/>
                              <w:position w:val="-11"/>
                            </w:rPr>
                            <w:drawing>
                              <wp:inline distT="0" distB="0" distL="0" distR="0">
                                <wp:extent cx="72847" cy="249935"/>
                                <wp:effectExtent l="0" t="0" r="0" b="0"/>
                                <wp:docPr id="122" name="IM 122"/>
                                <wp:cNvGraphicFramePr/>
                                <a:graphic>
                                  <a:graphicData uri="http://schemas.openxmlformats.org/drawingml/2006/picture">
                                    <pic:pic>
                                      <pic:nvPicPr>
                                        <pic:cNvPr id="122" name="IM 122"/>
                                        <pic:cNvPicPr/>
                                      </pic:nvPicPr>
                                      <pic:blipFill>
                                        <a:blip r:embed="rId64"/>
                                        <a:stretch>
                                          <a:fillRect/>
                                        </a:stretch>
                                      </pic:blipFill>
                                      <pic:spPr>
                                        <a:xfrm rot="0">
                                          <a:off x="0" y="0"/>
                                          <a:ext cx="72847" cy="249935"/>
                                        </a:xfrm>
                                        <a:prstGeom prst="rect">
                                          <a:avLst/>
                                        </a:prstGeom>
                                      </pic:spPr>
                                    </pic:pic>
                                  </a:graphicData>
                                </a:graphic>
                              </wp:inline>
                            </w:drawing>
                          </w:r>
                        </w:p>
                      </w:txbxContent>
                    </v:textbox>
                  </v:shape>
                </v:group>
              </w:pict>
            </w:r>
          </w:p>
        </w:tc>
        <w:tc>
          <w:tcPr>
            <w:shd w:val="clear" w:fill="DBE5F1"/>
            <w:tcW w:w="1025" w:type="dxa"/>
            <w:vAlign w:val="top"/>
            <w:tcBorders>
              <w:bottom w:val="single" w:color="000000" w:sz="2" w:space="0"/>
              <w:top w:val="single" w:color="000000" w:sz="2" w:space="0"/>
            </w:tcBorders>
          </w:tcPr>
          <w:p>
            <w:pPr>
              <w:ind w:left="608"/>
              <w:spacing w:before="161" w:line="186" w:lineRule="auto"/>
              <w:rPr>
                <w:rFonts w:ascii="Times New Roman" w:hAnsi="Times New Roman" w:eastAsia="Times New Roman" w:cs="Times New Roman"/>
                <w:sz w:val="18"/>
                <w:szCs w:val="18"/>
              </w:rPr>
            </w:pPr>
            <w:r>
              <w:pict>
                <v:shape id="_x0000_s386" style="position:absolute;margin-left:-2.81pt;margin-top:0.129944pt;mso-position-vertical-relative:top-margin-area;mso-position-horizontal-relative:right-margin-area;width:2.9pt;height:19.7pt;z-index:251906048;" fillcolor="#DBE5F1" filled="true" stroked="false" coordsize="58,394" coordorigin="0,0" path="m0,393l57,393l57,0l0,0l0,393xe"/>
              </w:pict>
            </w:r>
            <w:r>
              <w:rPr>
                <w:rFonts w:ascii="Times New Roman" w:hAnsi="Times New Roman" w:eastAsia="Times New Roman" w:cs="Times New Roman"/>
                <w:sz w:val="18"/>
                <w:szCs w:val="18"/>
                <w:b/>
                <w:bCs/>
                <w:spacing w:val="-3"/>
              </w:rPr>
              <w:t>1.44</w:t>
            </w:r>
          </w:p>
        </w:tc>
        <w:tc>
          <w:tcPr>
            <w:shd w:val="clear" w:fill="DBE5F1"/>
            <w:tcW w:w="1022" w:type="dxa"/>
            <w:vAlign w:val="top"/>
            <w:tcBorders>
              <w:bottom w:val="single" w:color="000000" w:sz="2" w:space="0"/>
              <w:top w:val="single" w:color="000000" w:sz="2" w:space="0"/>
            </w:tcBorders>
          </w:tcPr>
          <w:p>
            <w:pPr>
              <w:spacing w:before="2"/>
              <w:jc w:val="right"/>
              <w:rPr>
                <w:sz w:val="18"/>
                <w:szCs w:val="18"/>
              </w:rPr>
            </w:pPr>
            <w:r>
              <w:rPr>
                <w:rFonts w:ascii="Times New Roman" w:hAnsi="Times New Roman" w:eastAsia="Times New Roman" w:cs="Times New Roman"/>
                <w:sz w:val="18"/>
                <w:szCs w:val="18"/>
                <w:b/>
                <w:bCs/>
                <w:spacing w:val="-2"/>
              </w:rPr>
              <w:t>84,828</w:t>
            </w:r>
            <w:r>
              <w:rPr>
                <w:rFonts w:ascii="Times New Roman" w:hAnsi="Times New Roman" w:eastAsia="Times New Roman" w:cs="Times New Roman"/>
                <w:sz w:val="18"/>
                <w:szCs w:val="18"/>
                <w:b/>
                <w:bCs/>
                <w:spacing w:val="12"/>
                <w:w w:val="101"/>
              </w:rPr>
              <w:t xml:space="preserve"> </w:t>
            </w:r>
            <w:r>
              <w:rPr>
                <w:sz w:val="18"/>
                <w:szCs w:val="18"/>
                <w:position w:val="-11"/>
              </w:rPr>
              <w:drawing>
                <wp:inline distT="0" distB="0" distL="0" distR="0">
                  <wp:extent cx="36466" cy="244730"/>
                  <wp:effectExtent l="0" t="0" r="0" b="0"/>
                  <wp:docPr id="124" name="IM 124"/>
                  <wp:cNvGraphicFramePr/>
                  <a:graphic>
                    <a:graphicData uri="http://schemas.openxmlformats.org/drawingml/2006/picture">
                      <pic:pic>
                        <pic:nvPicPr>
                          <pic:cNvPr id="124" name="IM 124"/>
                          <pic:cNvPicPr/>
                        </pic:nvPicPr>
                        <pic:blipFill>
                          <a:blip r:embed="rId65"/>
                          <a:stretch>
                            <a:fillRect/>
                          </a:stretch>
                        </pic:blipFill>
                        <pic:spPr>
                          <a:xfrm rot="0">
                            <a:off x="0" y="0"/>
                            <a:ext cx="36466" cy="244730"/>
                          </a:xfrm>
                          <a:prstGeom prst="rect">
                            <a:avLst/>
                          </a:prstGeom>
                        </pic:spPr>
                      </pic:pic>
                    </a:graphicData>
                  </a:graphic>
                </wp:inline>
              </w:drawing>
            </w:r>
          </w:p>
        </w:tc>
        <w:tc>
          <w:tcPr>
            <w:shd w:val="clear" w:fill="DBE5F1"/>
            <w:tcW w:w="910" w:type="dxa"/>
            <w:vAlign w:val="top"/>
            <w:tcBorders>
              <w:bottom w:val="single" w:color="000000" w:sz="2" w:space="0"/>
              <w:top w:val="single" w:color="000000" w:sz="2" w:space="0"/>
            </w:tcBorders>
          </w:tcPr>
          <w:p>
            <w:pPr>
              <w:spacing w:before="161"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4"/>
              </w:rPr>
              <w:t>1.16</w:t>
            </w:r>
          </w:p>
        </w:tc>
        <w:tc>
          <w:tcPr>
            <w:tcW w:w="341" w:type="dxa"/>
            <w:vAlign w:val="top"/>
            <w:tcBorders>
              <w:bottom w:val="single" w:color="000000" w:sz="2" w:space="0"/>
              <w:top w:val="single" w:color="000000" w:sz="2" w:space="0"/>
            </w:tcBorders>
          </w:tcPr>
          <w:p>
            <w:pPr>
              <w:rPr>
                <w:rFonts w:ascii="Arial"/>
                <w:sz w:val="21"/>
              </w:rPr>
            </w:pPr>
            <w:r>
              <w:pict>
                <v:rect id="_x0000_s388" style="position:absolute;margin-left:-16.96pt;margin-top:0.129944pt;mso-position-vertical-relative:top-margin-area;mso-position-horizontal-relative:right-margin-area;width:2.9pt;height:19.7pt;z-index:251905024;" fillcolor="#DBE5F1" filled="true" stroked="false"/>
              </w:pict>
            </w:r>
            <w:r/>
          </w:p>
        </w:tc>
        <w:tc>
          <w:tcPr>
            <w:tcW w:w="1038" w:type="dxa"/>
            <w:vAlign w:val="top"/>
            <w:tcBorders>
              <w:bottom w:val="single" w:color="000000" w:sz="2" w:space="0"/>
              <w:top w:val="single" w:color="000000" w:sz="2" w:space="0"/>
            </w:tcBorders>
          </w:tcPr>
          <w:p>
            <w:pPr>
              <w:ind w:left="199"/>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88,629</w:t>
            </w:r>
          </w:p>
        </w:tc>
        <w:tc>
          <w:tcPr>
            <w:tcW w:w="932" w:type="dxa"/>
            <w:vAlign w:val="top"/>
            <w:tcBorders>
              <w:bottom w:val="single" w:color="000000" w:sz="2" w:space="0"/>
              <w:top w:val="single" w:color="000000" w:sz="2" w:space="0"/>
            </w:tcBorders>
          </w:tcPr>
          <w:p>
            <w:pPr>
              <w:ind w:left="376"/>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1.35</w:t>
            </w:r>
          </w:p>
        </w:tc>
        <w:tc>
          <w:tcPr>
            <w:tcW w:w="1068" w:type="dxa"/>
            <w:vAlign w:val="top"/>
            <w:tcBorders>
              <w:bottom w:val="single" w:color="000000" w:sz="2" w:space="0"/>
              <w:top w:val="single" w:color="000000" w:sz="2" w:space="0"/>
            </w:tcBorders>
          </w:tcPr>
          <w:p>
            <w:pPr>
              <w:ind w:left="277"/>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87,162</w:t>
            </w:r>
          </w:p>
        </w:tc>
        <w:tc>
          <w:tcPr>
            <w:tcW w:w="772" w:type="dxa"/>
            <w:vAlign w:val="top"/>
            <w:tcBorders>
              <w:bottom w:val="single" w:color="000000" w:sz="2" w:space="0"/>
              <w:top w:val="single" w:color="000000" w:sz="2" w:space="0"/>
            </w:tcBorders>
          </w:tcPr>
          <w:p>
            <w:pPr>
              <w:ind w:left="422"/>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1.33</w:t>
            </w:r>
          </w:p>
        </w:tc>
      </w:tr>
      <w:tr>
        <w:trPr>
          <w:trHeight w:val="2364" w:hRule="atLeast"/>
        </w:trPr>
        <w:tc>
          <w:tcPr>
            <w:tcW w:w="9769" w:type="dxa"/>
            <w:vAlign w:val="top"/>
            <w:gridSpan w:val="12"/>
            <w:tcBorders>
              <w:bottom w:val="single" w:color="000000" w:sz="2" w:space="0"/>
              <w:top w:val="single" w:color="000000" w:sz="2" w:space="0"/>
            </w:tcBorders>
          </w:tcPr>
          <w:p>
            <w:pPr>
              <w:pStyle w:val="TableText"/>
              <w:ind w:left="79" w:right="51" w:firstLine="427"/>
              <w:spacing w:before="264" w:line="285" w:lineRule="auto"/>
              <w:jc w:val="both"/>
              <w:rPr/>
            </w:pPr>
            <w:r>
              <w:rPr>
                <w:spacing w:val="3"/>
              </w:rPr>
              <w:t>公司类逾期贷款余额</w:t>
            </w:r>
            <w:r>
              <w:rPr>
                <w:spacing w:val="-42"/>
              </w:rPr>
              <w:t xml:space="preserve"> </w:t>
            </w:r>
            <w:r>
              <w:rPr>
                <w:rFonts w:ascii="Times New Roman" w:hAnsi="Times New Roman" w:eastAsia="Times New Roman" w:cs="Times New Roman"/>
                <w:spacing w:val="3"/>
              </w:rPr>
              <w:t>463.09 </w:t>
            </w:r>
            <w:r>
              <w:rPr>
                <w:spacing w:val="3"/>
              </w:rPr>
              <w:t>亿元,较上年末减少</w:t>
            </w:r>
            <w:r>
              <w:rPr>
                <w:spacing w:val="-42"/>
              </w:rPr>
              <w:t xml:space="preserve"> </w:t>
            </w:r>
            <w:r>
              <w:rPr>
                <w:rFonts w:ascii="Times New Roman" w:hAnsi="Times New Roman" w:eastAsia="Times New Roman" w:cs="Times New Roman"/>
                <w:spacing w:val="3"/>
              </w:rPr>
              <w:t>71.94 </w:t>
            </w:r>
            <w:r>
              <w:rPr>
                <w:spacing w:val="3"/>
              </w:rPr>
              <w:t>亿元, 逾期贷款率</w:t>
            </w:r>
            <w:r>
              <w:rPr>
                <w:spacing w:val="-43"/>
              </w:rPr>
              <w:t xml:space="preserve"> </w:t>
            </w:r>
            <w:r>
              <w:rPr>
                <w:rFonts w:ascii="Times New Roman" w:hAnsi="Times New Roman" w:eastAsia="Times New Roman" w:cs="Times New Roman"/>
                <w:spacing w:val="3"/>
              </w:rPr>
              <w:t>0.98%</w:t>
            </w:r>
            <w:r>
              <w:rPr>
                <w:spacing w:val="3"/>
              </w:rPr>
              <w:t>,较上年末下降</w:t>
            </w:r>
            <w:r>
              <w:rPr>
                <w:spacing w:val="-42"/>
              </w:rPr>
              <w:t xml:space="preserve"> </w:t>
            </w:r>
            <w:r>
              <w:rPr>
                <w:rFonts w:ascii="Times New Roman" w:hAnsi="Times New Roman" w:eastAsia="Times New Roman" w:cs="Times New Roman"/>
                <w:spacing w:val="3"/>
              </w:rPr>
              <w:t>0.31</w:t>
            </w:r>
            <w:r>
              <w:rPr>
                <w:rFonts w:ascii="Times New Roman" w:hAnsi="Times New Roman" w:eastAsia="Times New Roman" w:cs="Times New Roman"/>
              </w:rPr>
              <w:t xml:space="preserve"> </w:t>
            </w:r>
            <w:r>
              <w:rPr>
                <w:spacing w:val="3"/>
              </w:rPr>
              <w:t>个百分点。个人逾期贷款余额</w:t>
            </w:r>
            <w:r>
              <w:rPr>
                <w:spacing w:val="-32"/>
              </w:rPr>
              <w:t xml:space="preserve"> </w:t>
            </w:r>
            <w:r>
              <w:rPr>
                <w:rFonts w:ascii="Times New Roman" w:hAnsi="Times New Roman" w:eastAsia="Times New Roman" w:cs="Times New Roman"/>
                <w:spacing w:val="3"/>
              </w:rPr>
              <w:t>384.83 </w:t>
            </w:r>
            <w:r>
              <w:rPr>
                <w:spacing w:val="3"/>
              </w:rPr>
              <w:t>亿元,较上年末增加</w:t>
            </w:r>
            <w:r>
              <w:rPr>
                <w:spacing w:val="-47"/>
              </w:rPr>
              <w:t xml:space="preserve"> </w:t>
            </w:r>
            <w:r>
              <w:rPr>
                <w:rFonts w:ascii="Times New Roman" w:hAnsi="Times New Roman" w:eastAsia="Times New Roman" w:cs="Times New Roman"/>
                <w:spacing w:val="3"/>
              </w:rPr>
              <w:t>48.30 </w:t>
            </w:r>
            <w:r>
              <w:rPr>
                <w:spacing w:val="3"/>
              </w:rPr>
              <w:t>亿元, 逾期贷款率</w:t>
            </w:r>
            <w:r>
              <w:rPr>
                <w:spacing w:val="-25"/>
              </w:rPr>
              <w:t xml:space="preserve"> </w:t>
            </w:r>
            <w:r>
              <w:rPr>
                <w:rFonts w:ascii="Times New Roman" w:hAnsi="Times New Roman" w:eastAsia="Times New Roman" w:cs="Times New Roman"/>
                <w:spacing w:val="3"/>
              </w:rPr>
              <w:t>1.63%</w:t>
            </w:r>
            <w:r>
              <w:rPr>
                <w:spacing w:val="3"/>
              </w:rPr>
              <w:t>,较上年末上升</w:t>
            </w:r>
            <w:r>
              <w:rPr/>
              <w:t xml:space="preserve"> </w:t>
            </w:r>
            <w:r>
              <w:rPr>
                <w:rFonts w:ascii="Times New Roman" w:hAnsi="Times New Roman" w:eastAsia="Times New Roman" w:cs="Times New Roman"/>
                <w:spacing w:val="-2"/>
              </w:rPr>
              <w:t>0.16 </w:t>
            </w:r>
            <w:r>
              <w:rPr>
                <w:spacing w:val="-2"/>
              </w:rPr>
              <w:t>个百分点。</w:t>
            </w:r>
          </w:p>
          <w:p>
            <w:pPr>
              <w:pStyle w:val="TableText"/>
              <w:ind w:left="504"/>
              <w:spacing w:before="309" w:line="221" w:lineRule="auto"/>
              <w:rPr/>
            </w:pPr>
            <w:r>
              <w:rPr>
                <w:b/>
                <w:bCs/>
                <w:spacing w:val="-2"/>
              </w:rPr>
              <w:t>按业务类型划分的贷款及不良贷款分布情况</w:t>
            </w:r>
          </w:p>
          <w:p>
            <w:pPr>
              <w:spacing w:line="275" w:lineRule="auto"/>
              <w:rPr>
                <w:rFonts w:ascii="Arial"/>
                <w:sz w:val="21"/>
              </w:rPr>
            </w:pPr>
            <w:r/>
          </w:p>
          <w:p>
            <w:pPr>
              <w:pStyle w:val="TableText"/>
              <w:ind w:left="7113"/>
              <w:spacing w:before="59" w:line="217" w:lineRule="auto"/>
              <w:rPr>
                <w:sz w:val="18"/>
                <w:szCs w:val="18"/>
              </w:rPr>
            </w:pPr>
            <w:r>
              <w:rPr>
                <w:sz w:val="18"/>
                <w:szCs w:val="18"/>
                <w:spacing w:val="6"/>
              </w:rPr>
              <w:t>(除另有标明外,人民币百万元)</w:t>
            </w:r>
          </w:p>
        </w:tc>
      </w:tr>
    </w:tbl>
    <w:p>
      <w:pPr>
        <w:ind w:firstLine="1447"/>
        <w:spacing w:line="393" w:lineRule="exact"/>
        <w:rPr/>
      </w:pPr>
      <w:r>
        <w:rPr>
          <w:position w:val="-7"/>
        </w:rPr>
        <w:pict>
          <v:group id="_x0000_s390" style="mso-position-vertical-relative:line;mso-position-horizontal-relative:char;width:206.25pt;height:19.7pt;" filled="false" stroked="false" coordsize="4125,394" coordorigin="0,0">
            <v:rect id="_x0000_s392" style="position:absolute;left:57;top:0;width:4008;height:394;" fillcolor="#DBE5F1" filled="true" stroked="false"/>
            <v:shape id="_x0000_s394" style="position:absolute;left:1302;top:106;width:1523;height:221;" filled="false" stroked="false" type="#_x0000_t202">
              <v:fill on="false"/>
              <v:stroke on="false"/>
              <v:path/>
              <v:imagedata o:title=""/>
              <o:lock v:ext="edit" aspectratio="false"/>
              <v:textbox inset="0mm,0mm,0mm,0mm">
                <w:txbxContent>
                  <w:p>
                    <w:pPr>
                      <w:spacing w:before="20" w:line="220" w:lineRule="auto"/>
                      <w:jc w:val="right"/>
                      <w:rPr>
                        <w:rFonts w:ascii="SimSun" w:hAnsi="SimSun" w:eastAsia="SimSun" w:cs="SimSun"/>
                        <w:sz w:val="18"/>
                        <w:szCs w:val="18"/>
                      </w:rPr>
                    </w:pPr>
                    <w:r>
                      <w:rPr>
                        <w:rFonts w:ascii="Times New Roman" w:hAnsi="Times New Roman" w:eastAsia="Times New Roman" w:cs="Times New Roman"/>
                        <w:sz w:val="18"/>
                        <w:szCs w:val="18"/>
                        <w:b/>
                        <w:bCs/>
                        <w:spacing w:val="-6"/>
                      </w:rPr>
                      <w:t>2022 </w:t>
                    </w:r>
                    <w:r>
                      <w:rPr>
                        <w:rFonts w:ascii="SimSun" w:hAnsi="SimSun" w:eastAsia="SimSun" w:cs="SimSun"/>
                        <w:sz w:val="18"/>
                        <w:szCs w:val="18"/>
                        <w:b/>
                        <w:bCs/>
                        <w:spacing w:val="-6"/>
                      </w:rPr>
                      <w:t>年</w:t>
                    </w:r>
                    <w:r>
                      <w:rPr>
                        <w:rFonts w:ascii="SimSun" w:hAnsi="SimSun" w:eastAsia="SimSun" w:cs="SimSun"/>
                        <w:sz w:val="18"/>
                        <w:szCs w:val="18"/>
                        <w:spacing w:val="-29"/>
                      </w:rPr>
                      <w:t xml:space="preserve"> </w:t>
                    </w:r>
                    <w:r>
                      <w:rPr>
                        <w:rFonts w:ascii="Times New Roman" w:hAnsi="Times New Roman" w:eastAsia="Times New Roman" w:cs="Times New Roman"/>
                        <w:sz w:val="18"/>
                        <w:szCs w:val="18"/>
                        <w:b/>
                        <w:bCs/>
                        <w:spacing w:val="-6"/>
                      </w:rPr>
                      <w:t>12</w:t>
                    </w:r>
                    <w:r>
                      <w:rPr>
                        <w:rFonts w:ascii="Times New Roman" w:hAnsi="Times New Roman" w:eastAsia="Times New Roman" w:cs="Times New Roman"/>
                        <w:sz w:val="18"/>
                        <w:szCs w:val="18"/>
                        <w:b/>
                        <w:bCs/>
                        <w:spacing w:val="11"/>
                        <w:w w:val="101"/>
                      </w:rPr>
                      <w:t xml:space="preserve"> </w:t>
                    </w:r>
                    <w:r>
                      <w:rPr>
                        <w:rFonts w:ascii="SimSun" w:hAnsi="SimSun" w:eastAsia="SimSun" w:cs="SimSun"/>
                        <w:sz w:val="18"/>
                        <w:szCs w:val="18"/>
                        <w:b/>
                        <w:bCs/>
                        <w:spacing w:val="-6"/>
                      </w:rPr>
                      <w:t>月</w:t>
                    </w:r>
                    <w:r>
                      <w:rPr>
                        <w:rFonts w:ascii="SimSun" w:hAnsi="SimSun" w:eastAsia="SimSun" w:cs="SimSun"/>
                        <w:sz w:val="18"/>
                        <w:szCs w:val="18"/>
                        <w:spacing w:val="-42"/>
                      </w:rPr>
                      <w:t xml:space="preserve"> </w:t>
                    </w:r>
                    <w:r>
                      <w:rPr>
                        <w:rFonts w:ascii="Times New Roman" w:hAnsi="Times New Roman" w:eastAsia="Times New Roman" w:cs="Times New Roman"/>
                        <w:sz w:val="18"/>
                        <w:szCs w:val="18"/>
                        <w:b/>
                        <w:bCs/>
                        <w:spacing w:val="-6"/>
                      </w:rPr>
                      <w:t>31  </w:t>
                    </w:r>
                    <w:r>
                      <w:rPr>
                        <w:rFonts w:ascii="SimSun" w:hAnsi="SimSun" w:eastAsia="SimSun" w:cs="SimSun"/>
                        <w:sz w:val="18"/>
                        <w:szCs w:val="18"/>
                        <w:b/>
                        <w:bCs/>
                        <w:spacing w:val="-6"/>
                      </w:rPr>
                      <w:t>日</w:t>
                    </w:r>
                  </w:p>
                </w:txbxContent>
              </v:textbox>
            </v:shape>
            <v:shape id="_x0000_s396" style="position:absolute;left:0;top:0;width:58;height:394;" fillcolor="#DBE5F1" filled="true" stroked="false" coordsize="58,394" coordorigin="0,0" path="m0,393l57,393l57,0l0,0l0,393xe"/>
            <v:shape id="_x0000_s398" style="position:absolute;left:4066;top:0;width:58;height:394;" fillcolor="#DBE5F1" filled="true" stroked="false" coordsize="58,394" coordorigin="0,0" path="m0,393l57,393l57,0l0,0l0,393xe"/>
          </v:group>
        </w:pict>
      </w:r>
    </w:p>
    <w:tbl>
      <w:tblPr>
        <w:tblStyle w:val="TableNormal"/>
        <w:tblW w:w="9769"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48"/>
        <w:gridCol w:w="237"/>
        <w:gridCol w:w="903"/>
        <w:gridCol w:w="917"/>
        <w:gridCol w:w="170"/>
        <w:gridCol w:w="919"/>
        <w:gridCol w:w="909"/>
        <w:gridCol w:w="236"/>
        <w:gridCol w:w="1145"/>
        <w:gridCol w:w="1038"/>
        <w:gridCol w:w="797"/>
        <w:gridCol w:w="331"/>
        <w:gridCol w:w="719"/>
      </w:tblGrid>
      <w:tr>
        <w:trPr>
          <w:trHeight w:val="683" w:hRule="atLeast"/>
        </w:trPr>
        <w:tc>
          <w:tcPr>
            <w:tcW w:w="1448" w:type="dxa"/>
            <w:vAlign w:val="top"/>
            <w:tcBorders>
              <w:left w:val="nil"/>
              <w:right w:val="nil"/>
              <w:top w:val="nil"/>
            </w:tcBorders>
          </w:tcPr>
          <w:p>
            <w:pPr>
              <w:rPr>
                <w:rFonts w:ascii="Arial"/>
                <w:sz w:val="21"/>
              </w:rPr>
            </w:pPr>
            <w:r/>
          </w:p>
        </w:tc>
        <w:tc>
          <w:tcPr>
            <w:shd w:val="clear" w:fill="DBE5F1"/>
            <w:tcW w:w="1140" w:type="dxa"/>
            <w:vAlign w:val="top"/>
            <w:gridSpan w:val="2"/>
            <w:tcBorders>
              <w:left w:val="nil"/>
              <w:right w:val="nil"/>
            </w:tcBorders>
          </w:tcPr>
          <w:p>
            <w:pPr>
              <w:pStyle w:val="TableText"/>
              <w:ind w:right="15"/>
              <w:spacing w:before="272" w:line="220" w:lineRule="auto"/>
              <w:jc w:val="right"/>
              <w:rPr>
                <w:sz w:val="18"/>
                <w:szCs w:val="18"/>
              </w:rPr>
            </w:pPr>
            <w:r>
              <w:rPr>
                <w:sz w:val="18"/>
                <w:szCs w:val="18"/>
                <w:b/>
                <w:bCs/>
                <w:spacing w:val="-3"/>
              </w:rPr>
              <w:t>贷款</w:t>
            </w:r>
          </w:p>
        </w:tc>
        <w:tc>
          <w:tcPr>
            <w:shd w:val="clear" w:fill="DBE5F1"/>
            <w:tcW w:w="917" w:type="dxa"/>
            <w:vAlign w:val="top"/>
            <w:tcBorders>
              <w:left w:val="nil"/>
              <w:right w:val="nil"/>
            </w:tcBorders>
          </w:tcPr>
          <w:p>
            <w:pPr>
              <w:pStyle w:val="TableText"/>
              <w:ind w:right="14"/>
              <w:spacing w:before="272" w:line="212" w:lineRule="auto"/>
              <w:jc w:val="right"/>
              <w:rPr>
                <w:rFonts w:ascii="Times New Roman" w:hAnsi="Times New Roman" w:eastAsia="Times New Roman" w:cs="Times New Roman"/>
                <w:sz w:val="18"/>
                <w:szCs w:val="18"/>
              </w:rPr>
            </w:pPr>
            <w:r>
              <w:rPr>
                <w:sz w:val="18"/>
                <w:szCs w:val="18"/>
                <w:b/>
                <w:bCs/>
                <w:spacing w:val="-8"/>
              </w:rPr>
              <w:t>占比</w:t>
            </w:r>
            <w:r>
              <w:rPr>
                <w:rFonts w:ascii="Times New Roman" w:hAnsi="Times New Roman" w:eastAsia="Times New Roman" w:cs="Times New Roman"/>
                <w:sz w:val="18"/>
                <w:szCs w:val="18"/>
                <w:b/>
                <w:bCs/>
                <w:spacing w:val="-8"/>
              </w:rPr>
              <w:t>(%)</w:t>
            </w:r>
          </w:p>
        </w:tc>
        <w:tc>
          <w:tcPr>
            <w:tcW w:w="170" w:type="dxa"/>
            <w:vAlign w:val="top"/>
            <w:tcBorders>
              <w:left w:val="nil"/>
              <w:right w:val="nil"/>
            </w:tcBorders>
          </w:tcPr>
          <w:p>
            <w:pPr>
              <w:spacing w:before="146" w:line="393" w:lineRule="exact"/>
              <w:rPr/>
            </w:pPr>
            <w:r>
              <w:rPr>
                <w:position w:val="-7"/>
              </w:rPr>
              <w:pict>
                <v:shape id="_x0000_s400" style="mso-position-vertical-relative:line;mso-position-horizontal-relative:char;width:2.8pt;height:19.7pt;" fillcolor="#DBE5F1" filled="true" stroked="false" coordsize="55,394" coordorigin="0,0" path="m0,393l55,393l55,0l0,0l0,393xe"/>
              </w:pict>
            </w:r>
          </w:p>
        </w:tc>
        <w:tc>
          <w:tcPr>
            <w:tcW w:w="919" w:type="dxa"/>
            <w:vAlign w:val="top"/>
            <w:tcBorders>
              <w:left w:val="nil"/>
              <w:right w:val="single" w:color="000000" w:sz="22" w:space="0"/>
            </w:tcBorders>
          </w:tcPr>
          <w:p>
            <w:pPr>
              <w:pStyle w:val="TableText"/>
              <w:ind w:left="132"/>
              <w:spacing w:before="272" w:line="220" w:lineRule="auto"/>
              <w:rPr>
                <w:sz w:val="18"/>
                <w:szCs w:val="18"/>
              </w:rPr>
            </w:pPr>
            <w:r>
              <mc:AlternateContent xmlns:mc="http://schemas.openxmlformats.org/markup-compatibility/2006">
                <mc:Choice Requires="wps">
                  <w:drawing>
                    <wp:anchor distT="0" distB="0" distL="0" distR="0" simplePos="0" relativeHeight="251890688" behindDoc="1" locked="0" layoutInCell="1" allowOverlap="1">
                      <wp:simplePos x="0" y="0"/>
                      <wp:positionH relativeFrom="column">
                        <wp:posOffset>-83566</wp:posOffset>
                      </wp:positionH>
                      <wp:positionV relativeFrom="paragraph">
                        <wp:posOffset>4605</wp:posOffset>
                      </wp:positionV>
                      <wp:extent cx="657225" cy="426719"/>
                      <wp:effectExtent l="0" t="0" r="0" b="0"/>
                      <wp:wrapNone/>
                      <wp:docPr id="126" name="Rect 126"/>
                      <wp:cNvGraphicFramePr/>
                      <a:graphic>
                        <a:graphicData uri="http://schemas.microsoft.com/office/word/2010/wordprocessingShape">
                          <wps:wsp>
                            <wps:cNvPr id="126" name="Rect 126"/>
                            <wps:cNvSpPr/>
                            <wps:spPr>
                              <a:xfrm>
                                <a:off x="-83566" y="4605"/>
                                <a:ext cx="657225" cy="426719"/>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402" style="position:absolute;margin-left:-6.58002pt;margin-top:0.36261pt;mso-position-vertical-relative:text;mso-position-horizontal-relative:text;width:51.75pt;height:33.6pt;z-index:-251425792;" fillcolor="#DBE5F1" filled="true" stroked="false"/>
                  </w:pict>
                </mc:Fallback>
              </mc:AlternateContent>
            </w:r>
            <w:r>
              <w:rPr>
                <w:sz w:val="18"/>
                <w:szCs w:val="18"/>
                <w:b/>
                <w:bCs/>
                <w:spacing w:val="-4"/>
              </w:rPr>
              <w:t>不良贷款</w:t>
            </w:r>
          </w:p>
        </w:tc>
        <w:tc>
          <w:tcPr>
            <w:shd w:val="clear" w:fill="DBE5F1"/>
            <w:tcW w:w="909" w:type="dxa"/>
            <w:vAlign w:val="top"/>
            <w:tcBorders>
              <w:left w:val="single" w:color="DBE5F1" w:sz="22" w:space="0"/>
              <w:right w:val="single" w:color="DBE5F1" w:sz="2" w:space="0"/>
            </w:tcBorders>
          </w:tcPr>
          <w:p>
            <w:pPr>
              <w:pStyle w:val="TableText"/>
              <w:ind w:left="179"/>
              <w:spacing w:before="132" w:line="249" w:lineRule="auto"/>
              <w:jc w:val="right"/>
              <w:rPr>
                <w:rFonts w:ascii="Times New Roman" w:hAnsi="Times New Roman" w:eastAsia="Times New Roman" w:cs="Times New Roman"/>
                <w:sz w:val="18"/>
                <w:szCs w:val="18"/>
              </w:rPr>
            </w:pPr>
            <w:r>
              <w:rPr>
                <w:sz w:val="18"/>
                <w:szCs w:val="18"/>
                <w:b/>
                <w:bCs/>
                <w:spacing w:val="-8"/>
              </w:rPr>
              <w:t>不良贷款</w:t>
            </w:r>
            <w:r>
              <w:rPr>
                <w:sz w:val="18"/>
                <w:szCs w:val="18"/>
                <w:spacing w:val="2"/>
              </w:rPr>
              <w:t xml:space="preserve"> </w:t>
            </w:r>
            <w:r>
              <w:rPr>
                <w:sz w:val="18"/>
                <w:szCs w:val="18"/>
                <w:b/>
                <w:bCs/>
                <w:spacing w:val="-4"/>
              </w:rPr>
              <w:t>率</w:t>
            </w:r>
            <w:r>
              <w:rPr>
                <w:rFonts w:ascii="Times New Roman" w:hAnsi="Times New Roman" w:eastAsia="Times New Roman" w:cs="Times New Roman"/>
                <w:sz w:val="18"/>
                <w:szCs w:val="18"/>
                <w:b/>
                <w:bCs/>
                <w:spacing w:val="-4"/>
              </w:rPr>
              <w:t>(%)</w:t>
            </w:r>
          </w:p>
        </w:tc>
        <w:tc>
          <w:tcPr>
            <w:tcW w:w="3216" w:type="dxa"/>
            <w:vAlign w:val="top"/>
            <w:gridSpan w:val="4"/>
            <w:tcBorders>
              <w:right w:val="nil"/>
              <w:left w:val="single" w:color="FFFFFF" w:sz="2" w:space="0"/>
            </w:tcBorders>
          </w:tcPr>
          <w:p>
            <w:pPr>
              <w:pStyle w:val="TableText"/>
              <w:ind w:right="21"/>
              <w:spacing w:before="245" w:line="251" w:lineRule="exact"/>
              <w:jc w:val="right"/>
              <w:rPr>
                <w:sz w:val="18"/>
                <w:szCs w:val="18"/>
              </w:rPr>
            </w:pPr>
            <w:r>
              <w:rPr>
                <w:sz w:val="18"/>
                <w:szCs w:val="18"/>
                <w:spacing w:val="-4"/>
                <w:position w:val="2"/>
              </w:rPr>
              <w:t>贷款</w:t>
            </w:r>
            <w:r>
              <w:rPr>
                <w:sz w:val="18"/>
                <w:szCs w:val="18"/>
                <w:spacing w:val="18"/>
                <w:position w:val="2"/>
              </w:rPr>
              <w:t xml:space="preserve">    </w:t>
            </w:r>
            <w:r>
              <w:rPr>
                <w:sz w:val="18"/>
                <w:szCs w:val="18"/>
                <w:spacing w:val="-4"/>
                <w:position w:val="2"/>
              </w:rPr>
              <w:t>占比</w:t>
            </w:r>
            <w:r>
              <w:rPr>
                <w:rFonts w:ascii="Times New Roman" w:hAnsi="Times New Roman" w:eastAsia="Times New Roman" w:cs="Times New Roman"/>
                <w:sz w:val="18"/>
                <w:szCs w:val="18"/>
                <w:spacing w:val="-4"/>
                <w:position w:val="2"/>
              </w:rPr>
              <w:t>(%)        </w:t>
            </w:r>
            <w:r>
              <w:rPr>
                <w:sz w:val="18"/>
                <w:szCs w:val="18"/>
                <w:spacing w:val="-4"/>
                <w:position w:val="2"/>
              </w:rPr>
              <w:t>不良贷款</w:t>
            </w:r>
          </w:p>
        </w:tc>
        <w:tc>
          <w:tcPr>
            <w:tcW w:w="1050" w:type="dxa"/>
            <w:vAlign w:val="top"/>
            <w:gridSpan w:val="2"/>
            <w:tcBorders>
              <w:left w:val="nil"/>
              <w:right w:val="nil"/>
            </w:tcBorders>
          </w:tcPr>
          <w:p>
            <w:pPr>
              <w:pStyle w:val="TableText"/>
              <w:ind w:left="103" w:right="56"/>
              <w:spacing w:before="133" w:line="266" w:lineRule="auto"/>
              <w:jc w:val="right"/>
              <w:rPr>
                <w:rFonts w:ascii="Times New Roman" w:hAnsi="Times New Roman" w:eastAsia="Times New Roman" w:cs="Times New Roman"/>
                <w:sz w:val="18"/>
                <w:szCs w:val="18"/>
              </w:rPr>
            </w:pPr>
            <w:r>
              <w:rPr>
                <w:sz w:val="18"/>
                <w:szCs w:val="18"/>
                <w:spacing w:val="-2"/>
              </w:rPr>
              <w:t>不良贷款率</w:t>
            </w:r>
            <w:r>
              <w:rPr>
                <w:sz w:val="18"/>
                <w:szCs w:val="18"/>
              </w:rPr>
              <w:t xml:space="preserve"> </w:t>
            </w:r>
            <w:r>
              <w:rPr>
                <w:rFonts w:ascii="Times New Roman" w:hAnsi="Times New Roman" w:eastAsia="Times New Roman" w:cs="Times New Roman"/>
                <w:sz w:val="18"/>
                <w:szCs w:val="18"/>
                <w:spacing w:val="-3"/>
              </w:rPr>
              <w:t>(%)</w:t>
            </w:r>
          </w:p>
        </w:tc>
      </w:tr>
      <w:tr>
        <w:trPr>
          <w:trHeight w:val="400" w:hRule="atLeast"/>
        </w:trPr>
        <w:tc>
          <w:tcPr>
            <w:tcW w:w="1448" w:type="dxa"/>
            <w:vAlign w:val="top"/>
            <w:tcBorders>
              <w:left w:val="nil"/>
              <w:right w:val="nil"/>
            </w:tcBorders>
          </w:tcPr>
          <w:p>
            <w:pPr>
              <w:pStyle w:val="TableText"/>
              <w:ind w:left="84"/>
              <w:spacing w:before="129" w:line="220" w:lineRule="auto"/>
              <w:rPr>
                <w:sz w:val="18"/>
                <w:szCs w:val="18"/>
              </w:rPr>
            </w:pPr>
            <w:r>
              <w:rPr>
                <w:sz w:val="18"/>
                <w:szCs w:val="18"/>
                <w:b/>
                <w:bCs/>
                <w:spacing w:val="-4"/>
              </w:rPr>
              <w:t>公司类贷款</w:t>
            </w:r>
          </w:p>
        </w:tc>
        <w:tc>
          <w:tcPr>
            <w:shd w:val="clear" w:fill="DBE5F1"/>
            <w:tcW w:w="237" w:type="dxa"/>
            <w:vAlign w:val="top"/>
            <w:tcBorders>
              <w:left w:val="nil"/>
              <w:right w:val="nil"/>
            </w:tcBorders>
          </w:tcPr>
          <w:p>
            <w:pPr>
              <w:spacing w:before="3" w:line="387" w:lineRule="exact"/>
              <w:rPr/>
            </w:pPr>
            <w:r>
              <w:rPr>
                <w:position w:val="-8"/>
              </w:rPr>
              <w:pict>
                <v:shape id="_x0000_s404" style="mso-position-vertical-relative:line;mso-position-horizontal-relative:char;width:2.9pt;height:19.7pt;" fillcolor="#DBE5F1" filled="true" stroked="false" coordsize="58,394" coordorigin="0,0" path="m0,393l57,393l57,0l0,0l0,393xe"/>
              </w:pict>
            </w:r>
          </w:p>
        </w:tc>
        <w:tc>
          <w:tcPr>
            <w:shd w:val="clear" w:fill="DBE5F1"/>
            <w:tcW w:w="903" w:type="dxa"/>
            <w:vAlign w:val="top"/>
            <w:tcBorders>
              <w:left w:val="nil"/>
              <w:right w:val="nil"/>
            </w:tcBorders>
          </w:tcPr>
          <w:p>
            <w:pPr>
              <w:ind w:right="16"/>
              <w:spacing w:before="162"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4,711,353</w:t>
            </w:r>
          </w:p>
        </w:tc>
        <w:tc>
          <w:tcPr>
            <w:shd w:val="clear" w:fill="DBE5F1"/>
            <w:tcW w:w="917" w:type="dxa"/>
            <w:vAlign w:val="top"/>
            <w:tcBorders>
              <w:left w:val="nil"/>
              <w:right w:val="nil"/>
            </w:tcBorders>
          </w:tcPr>
          <w:p>
            <w:pPr>
              <w:ind w:right="15"/>
              <w:spacing w:before="162"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64.58</w:t>
            </w:r>
          </w:p>
        </w:tc>
        <w:tc>
          <w:tcPr>
            <w:shd w:val="clear" w:fill="DBE5F1"/>
            <w:tcW w:w="170" w:type="dxa"/>
            <w:vAlign w:val="top"/>
            <w:tcBorders>
              <w:left w:val="nil"/>
              <w:right w:val="nil"/>
            </w:tcBorders>
          </w:tcPr>
          <w:p>
            <w:pPr>
              <w:rPr>
                <w:rFonts w:ascii="Arial"/>
                <w:sz w:val="21"/>
              </w:rPr>
            </w:pPr>
            <w:r>
              <w:pict>
                <v:rect id="_x0000_s406" style="position:absolute;margin-left:-9.34001pt;margin-top:0.150024pt;mso-position-vertical-relative:top-margin-area;mso-position-horizontal-relative:right-margin-area;width:5.65pt;height:19.7pt;z-index:251902976;" fillcolor="#DBE5F1" filled="true" stroked="false"/>
              </w:pict>
            </w:r>
            <w:r/>
          </w:p>
        </w:tc>
        <w:tc>
          <w:tcPr>
            <w:shd w:val="clear" w:fill="DBE5F1"/>
            <w:tcW w:w="919" w:type="dxa"/>
            <w:vAlign w:val="top"/>
            <w:tcBorders>
              <w:left w:val="nil"/>
              <w:right w:val="nil"/>
            </w:tcBorders>
          </w:tcPr>
          <w:p>
            <w:pPr>
              <w:ind w:left="356"/>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78,487</w:t>
            </w:r>
          </w:p>
        </w:tc>
        <w:tc>
          <w:tcPr>
            <w:shd w:val="clear" w:fill="DBE5F1"/>
            <w:tcW w:w="909" w:type="dxa"/>
            <w:vAlign w:val="top"/>
            <w:tcBorders>
              <w:left w:val="nil"/>
              <w:right w:val="nil"/>
            </w:tcBorders>
          </w:tcPr>
          <w:p>
            <w:pPr>
              <w:spacing w:before="162"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7"/>
              </w:rPr>
              <w:t>1</w:t>
            </w:r>
            <w:r>
              <w:rPr>
                <w:rFonts w:ascii="Times New Roman" w:hAnsi="Times New Roman" w:eastAsia="Times New Roman" w:cs="Times New Roman"/>
                <w:sz w:val="18"/>
                <w:szCs w:val="18"/>
                <w:b/>
                <w:bCs/>
                <w:spacing w:val="-6"/>
              </w:rPr>
              <w:t>.6</w:t>
            </w:r>
            <w:r>
              <w:rPr>
                <w:rFonts w:ascii="Times New Roman" w:hAnsi="Times New Roman" w:eastAsia="Times New Roman" w:cs="Times New Roman"/>
                <w:sz w:val="18"/>
                <w:szCs w:val="18"/>
                <w:b/>
                <w:bCs/>
                <w:spacing w:val="-5"/>
              </w:rPr>
              <w:t>7</w:t>
            </w:r>
          </w:p>
        </w:tc>
        <w:tc>
          <w:tcPr>
            <w:tcW w:w="1381" w:type="dxa"/>
            <w:vAlign w:val="top"/>
            <w:gridSpan w:val="2"/>
            <w:tcBorders>
              <w:left w:val="nil"/>
              <w:right w:val="nil"/>
            </w:tcBorders>
          </w:tcPr>
          <w:p>
            <w:pPr>
              <w:ind w:left="402"/>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4,138,582</w:t>
            </w:r>
          </w:p>
        </w:tc>
        <w:tc>
          <w:tcPr>
            <w:tcW w:w="1038" w:type="dxa"/>
            <w:vAlign w:val="top"/>
            <w:tcBorders>
              <w:left w:val="nil"/>
              <w:right w:val="nil"/>
            </w:tcBorders>
          </w:tcPr>
          <w:p>
            <w:pPr>
              <w:ind w:left="351"/>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63.09</w:t>
            </w:r>
          </w:p>
        </w:tc>
        <w:tc>
          <w:tcPr>
            <w:tcW w:w="1128" w:type="dxa"/>
            <w:vAlign w:val="top"/>
            <w:gridSpan w:val="2"/>
            <w:tcBorders>
              <w:left w:val="nil"/>
              <w:right w:val="nil"/>
            </w:tcBorders>
          </w:tcPr>
          <w:p>
            <w:pPr>
              <w:ind w:left="285"/>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77,618</w:t>
            </w:r>
          </w:p>
        </w:tc>
        <w:tc>
          <w:tcPr>
            <w:tcW w:w="719" w:type="dxa"/>
            <w:vAlign w:val="top"/>
            <w:tcBorders>
              <w:left w:val="nil"/>
              <w:right w:val="nil"/>
            </w:tcBorders>
          </w:tcPr>
          <w:p>
            <w:pPr>
              <w:ind w:left="369"/>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1.88</w:t>
            </w:r>
          </w:p>
        </w:tc>
      </w:tr>
      <w:tr>
        <w:trPr>
          <w:trHeight w:val="397" w:hRule="atLeast"/>
        </w:trPr>
        <w:tc>
          <w:tcPr>
            <w:tcW w:w="1448" w:type="dxa"/>
            <w:vAlign w:val="top"/>
            <w:tcBorders>
              <w:left w:val="nil"/>
              <w:right w:val="nil"/>
            </w:tcBorders>
          </w:tcPr>
          <w:p>
            <w:pPr>
              <w:pStyle w:val="TableText"/>
              <w:ind w:left="79"/>
              <w:spacing w:before="127" w:line="220" w:lineRule="auto"/>
              <w:rPr>
                <w:sz w:val="18"/>
                <w:szCs w:val="18"/>
              </w:rPr>
            </w:pPr>
            <w:r>
              <w:rPr>
                <w:sz w:val="18"/>
                <w:szCs w:val="18"/>
                <w:b/>
                <w:bCs/>
                <w:spacing w:val="-4"/>
              </w:rPr>
              <w:t>个人贷款</w:t>
            </w:r>
          </w:p>
        </w:tc>
        <w:tc>
          <w:tcPr>
            <w:shd w:val="clear" w:fill="DBE5F1"/>
            <w:tcW w:w="237" w:type="dxa"/>
            <w:vAlign w:val="top"/>
            <w:tcBorders>
              <w:left w:val="nil"/>
              <w:right w:val="nil"/>
            </w:tcBorders>
          </w:tcPr>
          <w:p>
            <w:pPr>
              <w:spacing w:before="1" w:line="386" w:lineRule="exact"/>
              <w:rPr/>
            </w:pPr>
            <w:r>
              <w:rPr>
                <w:position w:val="-8"/>
              </w:rPr>
              <w:pict>
                <v:shape id="_x0000_s408" style="mso-position-vertical-relative:line;mso-position-horizontal-relative:char;width:2.9pt;height:19.7pt;" fillcolor="#DBE5F1" filled="true" stroked="false" coordsize="58,394" coordorigin="0,0" path="m0,393l57,393l57,0l0,0l0,393xe"/>
              </w:pict>
            </w:r>
          </w:p>
        </w:tc>
        <w:tc>
          <w:tcPr>
            <w:shd w:val="clear" w:fill="DBE5F1"/>
            <w:tcW w:w="903" w:type="dxa"/>
            <w:vAlign w:val="top"/>
            <w:tcBorders>
              <w:left w:val="nil"/>
              <w:right w:val="nil"/>
            </w:tcBorders>
          </w:tcPr>
          <w:p>
            <w:pPr>
              <w:ind w:right="15"/>
              <w:spacing w:before="160"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2,366,507</w:t>
            </w:r>
          </w:p>
        </w:tc>
        <w:tc>
          <w:tcPr>
            <w:shd w:val="clear" w:fill="DBE5F1"/>
            <w:tcW w:w="917" w:type="dxa"/>
            <w:vAlign w:val="top"/>
            <w:tcBorders>
              <w:left w:val="nil"/>
              <w:right w:val="nil"/>
            </w:tcBorders>
          </w:tcPr>
          <w:p>
            <w:pPr>
              <w:ind w:right="15"/>
              <w:spacing w:before="160"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32.43</w:t>
            </w:r>
          </w:p>
        </w:tc>
        <w:tc>
          <w:tcPr>
            <w:shd w:val="clear" w:fill="DBE5F1"/>
            <w:tcW w:w="170" w:type="dxa"/>
            <w:vAlign w:val="top"/>
            <w:tcBorders>
              <w:left w:val="nil"/>
              <w:right w:val="nil"/>
            </w:tcBorders>
          </w:tcPr>
          <w:p>
            <w:pPr>
              <w:rPr>
                <w:rFonts w:ascii="Arial"/>
                <w:sz w:val="21"/>
              </w:rPr>
            </w:pPr>
            <w:r>
              <w:pict>
                <v:rect id="_x0000_s410" style="position:absolute;margin-left:-9.34001pt;margin-top:0.060028pt;mso-position-vertical-relative:top-margin-area;mso-position-horizontal-relative:right-margin-area;width:5.65pt;height:19.7pt;z-index:251901952;" fillcolor="#DBE5F1" filled="true" stroked="false"/>
              </w:pict>
            </w:r>
            <w:r/>
          </w:p>
        </w:tc>
        <w:tc>
          <w:tcPr>
            <w:shd w:val="clear" w:fill="DBE5F1"/>
            <w:tcW w:w="919" w:type="dxa"/>
            <w:vAlign w:val="top"/>
            <w:tcBorders>
              <w:left w:val="nil"/>
              <w:right w:val="nil"/>
            </w:tcBorders>
          </w:tcPr>
          <w:p>
            <w:pPr>
              <w:ind w:left="355"/>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20,003</w:t>
            </w:r>
          </w:p>
        </w:tc>
        <w:tc>
          <w:tcPr>
            <w:shd w:val="clear" w:fill="DBE5F1"/>
            <w:tcW w:w="909" w:type="dxa"/>
            <w:vAlign w:val="top"/>
            <w:tcBorders>
              <w:left w:val="nil"/>
              <w:right w:val="nil"/>
            </w:tcBorders>
          </w:tcPr>
          <w:p>
            <w:pPr>
              <w:spacing w:before="160"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5"/>
              </w:rPr>
              <w:t>0.85</w:t>
            </w:r>
          </w:p>
        </w:tc>
        <w:tc>
          <w:tcPr>
            <w:tcW w:w="1381" w:type="dxa"/>
            <w:vAlign w:val="top"/>
            <w:gridSpan w:val="2"/>
            <w:tcBorders>
              <w:left w:val="nil"/>
              <w:right w:val="nil"/>
            </w:tcBorders>
          </w:tcPr>
          <w:p>
            <w:pPr>
              <w:ind w:left="403"/>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2,285,096</w:t>
            </w:r>
          </w:p>
        </w:tc>
        <w:tc>
          <w:tcPr>
            <w:tcW w:w="1038" w:type="dxa"/>
            <w:vAlign w:val="top"/>
            <w:tcBorders>
              <w:left w:val="nil"/>
              <w:right w:val="nil"/>
            </w:tcBorders>
          </w:tcPr>
          <w:p>
            <w:pPr>
              <w:ind w:left="351"/>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34.83</w:t>
            </w:r>
          </w:p>
        </w:tc>
        <w:tc>
          <w:tcPr>
            <w:tcW w:w="1128" w:type="dxa"/>
            <w:vAlign w:val="top"/>
            <w:gridSpan w:val="2"/>
            <w:tcBorders>
              <w:left w:val="nil"/>
              <w:right w:val="nil"/>
            </w:tcBorders>
          </w:tcPr>
          <w:p>
            <w:pPr>
              <w:ind w:left="299"/>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19,168</w:t>
            </w:r>
          </w:p>
        </w:tc>
        <w:tc>
          <w:tcPr>
            <w:tcW w:w="719" w:type="dxa"/>
            <w:vAlign w:val="top"/>
            <w:tcBorders>
              <w:left w:val="nil"/>
              <w:right w:val="nil"/>
            </w:tcBorders>
          </w:tcPr>
          <w:p>
            <w:pPr>
              <w:ind w:left="354"/>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0.84</w:t>
            </w:r>
          </w:p>
        </w:tc>
      </w:tr>
      <w:tr>
        <w:trPr>
          <w:trHeight w:val="398" w:hRule="atLeast"/>
        </w:trPr>
        <w:tc>
          <w:tcPr>
            <w:tcW w:w="1448" w:type="dxa"/>
            <w:vAlign w:val="top"/>
            <w:tcBorders>
              <w:left w:val="nil"/>
              <w:right w:val="nil"/>
            </w:tcBorders>
          </w:tcPr>
          <w:p>
            <w:pPr>
              <w:pStyle w:val="TableText"/>
              <w:ind w:left="78"/>
              <w:spacing w:before="128" w:line="220" w:lineRule="auto"/>
              <w:rPr>
                <w:sz w:val="18"/>
                <w:szCs w:val="18"/>
              </w:rPr>
            </w:pPr>
            <w:r>
              <w:rPr>
                <w:sz w:val="18"/>
                <w:szCs w:val="18"/>
                <w:spacing w:val="-2"/>
              </w:rPr>
              <w:t>住房贷款</w:t>
            </w:r>
          </w:p>
        </w:tc>
        <w:tc>
          <w:tcPr>
            <w:shd w:val="clear" w:fill="DBE5F1"/>
            <w:tcW w:w="237" w:type="dxa"/>
            <w:vAlign w:val="top"/>
            <w:tcBorders>
              <w:left w:val="nil"/>
              <w:right w:val="nil"/>
            </w:tcBorders>
          </w:tcPr>
          <w:p>
            <w:pPr>
              <w:spacing w:before="2" w:line="385" w:lineRule="exact"/>
              <w:rPr/>
            </w:pPr>
            <w:r>
              <w:rPr>
                <w:position w:val="-8"/>
              </w:rPr>
              <w:pict>
                <v:shape id="_x0000_s412" style="mso-position-vertical-relative:line;mso-position-horizontal-relative:char;width:2.9pt;height:19.7pt;" fillcolor="#DBE5F1" filled="true" stroked="false" coordsize="58,394" coordorigin="0,0" path="m0,393l57,393l57,0l0,0l0,393xe"/>
              </w:pict>
            </w:r>
          </w:p>
        </w:tc>
        <w:tc>
          <w:tcPr>
            <w:shd w:val="clear" w:fill="DBE5F1"/>
            <w:tcW w:w="903" w:type="dxa"/>
            <w:vAlign w:val="top"/>
            <w:tcBorders>
              <w:left w:val="nil"/>
              <w:right w:val="nil"/>
            </w:tcBorders>
          </w:tcPr>
          <w:p>
            <w:pPr>
              <w:ind w:right="15"/>
              <w:spacing w:before="161"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1,512,648</w:t>
            </w:r>
          </w:p>
        </w:tc>
        <w:tc>
          <w:tcPr>
            <w:shd w:val="clear" w:fill="DBE5F1"/>
            <w:tcW w:w="917" w:type="dxa"/>
            <w:vAlign w:val="top"/>
            <w:tcBorders>
              <w:left w:val="nil"/>
              <w:right w:val="nil"/>
            </w:tcBorders>
          </w:tcPr>
          <w:p>
            <w:pPr>
              <w:ind w:right="15"/>
              <w:spacing w:before="161"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20.73</w:t>
            </w:r>
          </w:p>
        </w:tc>
        <w:tc>
          <w:tcPr>
            <w:shd w:val="clear" w:fill="DBE5F1"/>
            <w:tcW w:w="170" w:type="dxa"/>
            <w:vAlign w:val="top"/>
            <w:tcBorders>
              <w:left w:val="nil"/>
              <w:right w:val="nil"/>
            </w:tcBorders>
          </w:tcPr>
          <w:p>
            <w:pPr>
              <w:rPr>
                <w:rFonts w:ascii="Arial"/>
                <w:sz w:val="21"/>
              </w:rPr>
            </w:pPr>
            <w:r>
              <w:pict>
                <v:rect id="_x0000_s414" style="position:absolute;margin-left:-9.34001pt;margin-top:0.120026pt;mso-position-vertical-relative:top-margin-area;mso-position-horizontal-relative:right-margin-area;width:5.65pt;height:19.7pt;z-index:251904000;" fillcolor="#DBE5F1" filled="true" stroked="false"/>
              </w:pict>
            </w:r>
            <w:r/>
          </w:p>
        </w:tc>
        <w:tc>
          <w:tcPr>
            <w:shd w:val="clear" w:fill="DBE5F1"/>
            <w:tcW w:w="919" w:type="dxa"/>
            <w:vAlign w:val="top"/>
            <w:tcBorders>
              <w:left w:val="nil"/>
              <w:right w:val="nil"/>
            </w:tcBorders>
          </w:tcPr>
          <w:p>
            <w:pPr>
              <w:ind w:left="446"/>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6,731</w:t>
            </w:r>
          </w:p>
        </w:tc>
        <w:tc>
          <w:tcPr>
            <w:shd w:val="clear" w:fill="DBE5F1"/>
            <w:tcW w:w="909" w:type="dxa"/>
            <w:vAlign w:val="top"/>
            <w:tcBorders>
              <w:left w:val="nil"/>
              <w:right w:val="nil"/>
            </w:tcBorders>
          </w:tcPr>
          <w:p>
            <w:pPr>
              <w:spacing w:before="161"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5"/>
              </w:rPr>
              <w:t>0.44</w:t>
            </w:r>
          </w:p>
        </w:tc>
        <w:tc>
          <w:tcPr>
            <w:tcW w:w="1381" w:type="dxa"/>
            <w:vAlign w:val="top"/>
            <w:gridSpan w:val="2"/>
            <w:tcBorders>
              <w:left w:val="nil"/>
              <w:right w:val="nil"/>
            </w:tcBorders>
          </w:tcPr>
          <w:p>
            <w:pPr>
              <w:ind w:left="421"/>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1,489,517</w:t>
            </w:r>
          </w:p>
        </w:tc>
        <w:tc>
          <w:tcPr>
            <w:tcW w:w="1038" w:type="dxa"/>
            <w:vAlign w:val="top"/>
            <w:tcBorders>
              <w:left w:val="nil"/>
              <w:right w:val="nil"/>
            </w:tcBorders>
          </w:tcPr>
          <w:p>
            <w:pPr>
              <w:ind w:left="347"/>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22.70</w:t>
            </w:r>
          </w:p>
        </w:tc>
        <w:tc>
          <w:tcPr>
            <w:tcW w:w="1128" w:type="dxa"/>
            <w:vAlign w:val="top"/>
            <w:gridSpan w:val="2"/>
            <w:tcBorders>
              <w:left w:val="nil"/>
              <w:right w:val="nil"/>
            </w:tcBorders>
          </w:tcPr>
          <w:p>
            <w:pPr>
              <w:ind w:left="375"/>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5,083</w:t>
            </w:r>
          </w:p>
        </w:tc>
        <w:tc>
          <w:tcPr>
            <w:tcW w:w="719" w:type="dxa"/>
            <w:vAlign w:val="top"/>
            <w:tcBorders>
              <w:left w:val="nil"/>
              <w:right w:val="nil"/>
            </w:tcBorders>
          </w:tcPr>
          <w:p>
            <w:pPr>
              <w:ind w:left="354"/>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0.34</w:t>
            </w:r>
          </w:p>
        </w:tc>
      </w:tr>
      <w:tr>
        <w:trPr>
          <w:trHeight w:val="400" w:hRule="atLeast"/>
        </w:trPr>
        <w:tc>
          <w:tcPr>
            <w:tcW w:w="1448" w:type="dxa"/>
            <w:vAlign w:val="top"/>
            <w:tcBorders>
              <w:left w:val="nil"/>
              <w:right w:val="nil"/>
            </w:tcBorders>
          </w:tcPr>
          <w:p>
            <w:pPr>
              <w:pStyle w:val="TableText"/>
              <w:ind w:left="79"/>
              <w:spacing w:before="131" w:line="220" w:lineRule="auto"/>
              <w:rPr>
                <w:sz w:val="18"/>
                <w:szCs w:val="18"/>
              </w:rPr>
            </w:pPr>
            <w:r>
              <w:rPr>
                <w:sz w:val="18"/>
                <w:szCs w:val="18"/>
                <w:spacing w:val="-2"/>
              </w:rPr>
              <w:t>信用卡</w:t>
            </w:r>
          </w:p>
        </w:tc>
        <w:tc>
          <w:tcPr>
            <w:shd w:val="clear" w:fill="DBE5F1"/>
            <w:tcW w:w="237" w:type="dxa"/>
            <w:vAlign w:val="top"/>
            <w:tcBorders>
              <w:left w:val="nil"/>
              <w:right w:val="nil"/>
            </w:tcBorders>
          </w:tcPr>
          <w:p>
            <w:pPr>
              <w:spacing w:before="4" w:line="385" w:lineRule="exact"/>
              <w:rPr/>
            </w:pPr>
            <w:r>
              <w:rPr>
                <w:position w:val="-8"/>
              </w:rPr>
              <w:pict>
                <v:shape id="_x0000_s416" style="mso-position-vertical-relative:line;mso-position-horizontal-relative:char;width:2.9pt;height:19.75pt;" fillcolor="#DBE5F1" filled="true" stroked="false" coordsize="58,395" coordorigin="0,0" path="m0,394l57,394l57,0l0,0l0,394xe"/>
              </w:pict>
            </w:r>
          </w:p>
        </w:tc>
        <w:tc>
          <w:tcPr>
            <w:shd w:val="clear" w:fill="DBE5F1"/>
            <w:tcW w:w="903" w:type="dxa"/>
            <w:vAlign w:val="top"/>
            <w:tcBorders>
              <w:left w:val="nil"/>
              <w:right w:val="nil"/>
            </w:tcBorders>
          </w:tcPr>
          <w:p>
            <w:pPr>
              <w:ind w:right="16"/>
              <w:spacing w:before="164"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477,746</w:t>
            </w:r>
          </w:p>
        </w:tc>
        <w:tc>
          <w:tcPr>
            <w:shd w:val="clear" w:fill="DBE5F1"/>
            <w:tcW w:w="917" w:type="dxa"/>
            <w:vAlign w:val="top"/>
            <w:tcBorders>
              <w:left w:val="nil"/>
              <w:right w:val="nil"/>
            </w:tcBorders>
          </w:tcPr>
          <w:p>
            <w:pPr>
              <w:ind w:right="14"/>
              <w:spacing w:before="164"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6.55</w:t>
            </w:r>
          </w:p>
        </w:tc>
        <w:tc>
          <w:tcPr>
            <w:shd w:val="clear" w:fill="DBE5F1"/>
            <w:tcW w:w="170" w:type="dxa"/>
            <w:vAlign w:val="top"/>
            <w:tcBorders>
              <w:left w:val="nil"/>
              <w:right w:val="nil"/>
            </w:tcBorders>
          </w:tcPr>
          <w:p>
            <w:pPr>
              <w:rPr>
                <w:rFonts w:ascii="Arial"/>
                <w:sz w:val="21"/>
              </w:rPr>
            </w:pPr>
            <w:r>
              <w:pict>
                <v:rect id="_x0000_s418" style="position:absolute;margin-left:-9.34001pt;margin-top:0.246002pt;mso-position-vertical-relative:top-margin-area;mso-position-horizontal-relative:right-margin-area;width:5.65pt;height:19.75pt;z-index:251900928;" fillcolor="#DBE5F1" filled="true" stroked="false"/>
              </w:pict>
            </w:r>
            <w:r/>
          </w:p>
        </w:tc>
        <w:tc>
          <w:tcPr>
            <w:shd w:val="clear" w:fill="DBE5F1"/>
            <w:tcW w:w="919" w:type="dxa"/>
            <w:vAlign w:val="top"/>
            <w:tcBorders>
              <w:left w:val="nil"/>
              <w:right w:val="nil"/>
            </w:tcBorders>
          </w:tcPr>
          <w:p>
            <w:pPr>
              <w:ind w:left="445"/>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9,310</w:t>
            </w:r>
          </w:p>
        </w:tc>
        <w:tc>
          <w:tcPr>
            <w:shd w:val="clear" w:fill="DBE5F1"/>
            <w:tcW w:w="909" w:type="dxa"/>
            <w:vAlign w:val="top"/>
            <w:tcBorders>
              <w:left w:val="nil"/>
              <w:right w:val="nil"/>
            </w:tcBorders>
          </w:tcPr>
          <w:p>
            <w:pPr>
              <w:spacing w:before="164"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6"/>
              </w:rPr>
              <w:t>1.95</w:t>
            </w:r>
          </w:p>
        </w:tc>
        <w:tc>
          <w:tcPr>
            <w:tcW w:w="1381" w:type="dxa"/>
            <w:vAlign w:val="top"/>
            <w:gridSpan w:val="2"/>
            <w:tcBorders>
              <w:left w:val="nil"/>
              <w:right w:val="nil"/>
            </w:tcBorders>
          </w:tcPr>
          <w:p>
            <w:pPr>
              <w:ind w:left="537"/>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492,580</w:t>
            </w:r>
          </w:p>
        </w:tc>
        <w:tc>
          <w:tcPr>
            <w:tcW w:w="1038" w:type="dxa"/>
            <w:vAlign w:val="top"/>
            <w:tcBorders>
              <w:left w:val="nil"/>
              <w:right w:val="nil"/>
            </w:tcBorders>
          </w:tcPr>
          <w:p>
            <w:pPr>
              <w:ind w:left="441"/>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7.51</w:t>
            </w:r>
          </w:p>
        </w:tc>
        <w:tc>
          <w:tcPr>
            <w:tcW w:w="1128" w:type="dxa"/>
            <w:vAlign w:val="top"/>
            <w:gridSpan w:val="2"/>
            <w:tcBorders>
              <w:left w:val="nil"/>
              <w:right w:val="nil"/>
            </w:tcBorders>
          </w:tcPr>
          <w:p>
            <w:pPr>
              <w:ind w:left="299"/>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10,821</w:t>
            </w:r>
          </w:p>
        </w:tc>
        <w:tc>
          <w:tcPr>
            <w:tcW w:w="719" w:type="dxa"/>
            <w:vAlign w:val="top"/>
            <w:tcBorders>
              <w:left w:val="nil"/>
              <w:right w:val="nil"/>
            </w:tcBorders>
          </w:tcPr>
          <w:p>
            <w:pPr>
              <w:ind w:left="351"/>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2.20</w:t>
            </w:r>
          </w:p>
        </w:tc>
      </w:tr>
      <w:tr>
        <w:trPr>
          <w:trHeight w:val="398" w:hRule="atLeast"/>
        </w:trPr>
        <w:tc>
          <w:tcPr>
            <w:tcW w:w="1448" w:type="dxa"/>
            <w:vAlign w:val="top"/>
            <w:tcBorders>
              <w:left w:val="nil"/>
              <w:right w:val="nil"/>
            </w:tcBorders>
          </w:tcPr>
          <w:p>
            <w:pPr>
              <w:pStyle w:val="TableText"/>
              <w:ind w:left="79"/>
              <w:spacing w:before="130" w:line="220" w:lineRule="auto"/>
              <w:rPr>
                <w:sz w:val="18"/>
                <w:szCs w:val="18"/>
              </w:rPr>
            </w:pPr>
            <w:r>
              <w:rPr>
                <w:sz w:val="18"/>
                <w:szCs w:val="18"/>
                <w:spacing w:val="-1"/>
              </w:rPr>
              <w:t>个人经营类贷款</w:t>
            </w:r>
          </w:p>
        </w:tc>
        <w:tc>
          <w:tcPr>
            <w:shd w:val="clear" w:fill="DBE5F1"/>
            <w:tcW w:w="237" w:type="dxa"/>
            <w:vAlign w:val="top"/>
            <w:tcBorders>
              <w:left w:val="nil"/>
              <w:right w:val="nil"/>
            </w:tcBorders>
          </w:tcPr>
          <w:p>
            <w:pPr>
              <w:spacing w:before="3" w:line="384" w:lineRule="exact"/>
              <w:rPr/>
            </w:pPr>
            <w:r>
              <w:rPr>
                <w:position w:val="-8"/>
              </w:rPr>
              <w:pict>
                <v:shape id="_x0000_s420" style="mso-position-vertical-relative:line;mso-position-horizontal-relative:char;width:2.9pt;height:19.7pt;" fillcolor="#DBE5F1" filled="true" stroked="false" coordsize="58,394" coordorigin="0,0" path="m0,393l57,393l57,0l0,0l0,393xe"/>
              </w:pict>
            </w:r>
          </w:p>
        </w:tc>
        <w:tc>
          <w:tcPr>
            <w:shd w:val="clear" w:fill="DBE5F1"/>
            <w:tcW w:w="903" w:type="dxa"/>
            <w:vAlign w:val="top"/>
            <w:tcBorders>
              <w:left w:val="nil"/>
              <w:right w:val="nil"/>
            </w:tcBorders>
          </w:tcPr>
          <w:p>
            <w:pPr>
              <w:ind w:right="16"/>
              <w:spacing w:before="162"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239,271</w:t>
            </w:r>
          </w:p>
        </w:tc>
        <w:tc>
          <w:tcPr>
            <w:shd w:val="clear" w:fill="DBE5F1"/>
            <w:tcW w:w="917" w:type="dxa"/>
            <w:vAlign w:val="top"/>
            <w:tcBorders>
              <w:left w:val="nil"/>
              <w:right w:val="nil"/>
            </w:tcBorders>
          </w:tcPr>
          <w:p>
            <w:pPr>
              <w:ind w:right="14"/>
              <w:spacing w:before="162"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3.28</w:t>
            </w:r>
          </w:p>
        </w:tc>
        <w:tc>
          <w:tcPr>
            <w:shd w:val="clear" w:fill="DBE5F1"/>
            <w:tcW w:w="170" w:type="dxa"/>
            <w:vAlign w:val="top"/>
            <w:tcBorders>
              <w:left w:val="nil"/>
              <w:right w:val="nil"/>
            </w:tcBorders>
          </w:tcPr>
          <w:p>
            <w:pPr>
              <w:rPr>
                <w:rFonts w:ascii="Arial"/>
                <w:sz w:val="21"/>
              </w:rPr>
            </w:pPr>
            <w:r>
              <w:pict>
                <v:rect id="_x0000_s422" style="position:absolute;margin-left:-9.34001pt;margin-top:0.180054pt;mso-position-vertical-relative:top-margin-area;mso-position-horizontal-relative:right-margin-area;width:5.65pt;height:19.7pt;z-index:251899904;" fillcolor="#DBE5F1" filled="true" stroked="false"/>
              </w:pict>
            </w:r>
            <w:r/>
          </w:p>
        </w:tc>
        <w:tc>
          <w:tcPr>
            <w:shd w:val="clear" w:fill="DBE5F1"/>
            <w:tcW w:w="919" w:type="dxa"/>
            <w:vAlign w:val="top"/>
            <w:tcBorders>
              <w:left w:val="nil"/>
              <w:right w:val="nil"/>
            </w:tcBorders>
          </w:tcPr>
          <w:p>
            <w:pPr>
              <w:ind w:left="451"/>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1,716</w:t>
            </w:r>
          </w:p>
        </w:tc>
        <w:tc>
          <w:tcPr>
            <w:shd w:val="clear" w:fill="DBE5F1"/>
            <w:tcW w:w="909" w:type="dxa"/>
            <w:vAlign w:val="top"/>
            <w:tcBorders>
              <w:left w:val="nil"/>
              <w:right w:val="nil"/>
            </w:tcBorders>
          </w:tcPr>
          <w:p>
            <w:pPr>
              <w:spacing w:before="162"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5"/>
              </w:rPr>
              <w:t>0.72</w:t>
            </w:r>
          </w:p>
        </w:tc>
        <w:tc>
          <w:tcPr>
            <w:tcW w:w="1381" w:type="dxa"/>
            <w:vAlign w:val="top"/>
            <w:gridSpan w:val="2"/>
            <w:tcBorders>
              <w:left w:val="nil"/>
              <w:right w:val="nil"/>
            </w:tcBorders>
          </w:tcPr>
          <w:p>
            <w:pPr>
              <w:ind w:left="555"/>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188,293</w:t>
            </w:r>
          </w:p>
        </w:tc>
        <w:tc>
          <w:tcPr>
            <w:tcW w:w="1038" w:type="dxa"/>
            <w:vAlign w:val="top"/>
            <w:tcBorders>
              <w:left w:val="nil"/>
              <w:right w:val="nil"/>
            </w:tcBorders>
          </w:tcPr>
          <w:p>
            <w:pPr>
              <w:ind w:left="438"/>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2.87</w:t>
            </w:r>
          </w:p>
        </w:tc>
        <w:tc>
          <w:tcPr>
            <w:tcW w:w="1128" w:type="dxa"/>
            <w:vAlign w:val="top"/>
            <w:gridSpan w:val="2"/>
            <w:tcBorders>
              <w:left w:val="nil"/>
              <w:right w:val="nil"/>
            </w:tcBorders>
          </w:tcPr>
          <w:p>
            <w:pPr>
              <w:ind w:left="388"/>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1,301</w:t>
            </w:r>
          </w:p>
        </w:tc>
        <w:tc>
          <w:tcPr>
            <w:tcW w:w="719" w:type="dxa"/>
            <w:vAlign w:val="top"/>
            <w:tcBorders>
              <w:left w:val="nil"/>
              <w:right w:val="nil"/>
            </w:tcBorders>
          </w:tcPr>
          <w:p>
            <w:pPr>
              <w:ind w:left="354"/>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0.69</w:t>
            </w:r>
          </w:p>
        </w:tc>
      </w:tr>
      <w:tr>
        <w:trPr>
          <w:trHeight w:val="398" w:hRule="atLeast"/>
        </w:trPr>
        <w:tc>
          <w:tcPr>
            <w:tcW w:w="1448" w:type="dxa"/>
            <w:vAlign w:val="top"/>
            <w:tcBorders>
              <w:left w:val="nil"/>
              <w:right w:val="nil"/>
            </w:tcBorders>
          </w:tcPr>
          <w:p>
            <w:pPr>
              <w:pStyle w:val="TableText"/>
              <w:ind w:left="79"/>
              <w:spacing w:before="129" w:line="221" w:lineRule="auto"/>
              <w:rPr>
                <w:sz w:val="18"/>
                <w:szCs w:val="18"/>
              </w:rPr>
            </w:pPr>
            <w:r>
              <w:rPr>
                <w:sz w:val="18"/>
                <w:szCs w:val="18"/>
                <w:spacing w:val="-2"/>
              </w:rPr>
              <w:t>其他</w:t>
            </w:r>
          </w:p>
        </w:tc>
        <w:tc>
          <w:tcPr>
            <w:shd w:val="clear" w:fill="DBE5F1"/>
            <w:tcW w:w="237" w:type="dxa"/>
            <w:vAlign w:val="top"/>
            <w:tcBorders>
              <w:left w:val="nil"/>
              <w:right w:val="nil"/>
            </w:tcBorders>
          </w:tcPr>
          <w:p>
            <w:pPr>
              <w:spacing w:before="3" w:line="384" w:lineRule="exact"/>
              <w:rPr/>
            </w:pPr>
            <w:r>
              <w:rPr>
                <w:position w:val="-8"/>
              </w:rPr>
              <w:pict>
                <v:shape id="_x0000_s424" style="mso-position-vertical-relative:line;mso-position-horizontal-relative:char;width:2.9pt;height:19.7pt;" fillcolor="#DBE5F1" filled="true" stroked="false" coordsize="58,394" coordorigin="0,0" path="m0,393l57,393l57,0l0,0l0,393xe"/>
              </w:pict>
            </w:r>
          </w:p>
        </w:tc>
        <w:tc>
          <w:tcPr>
            <w:shd w:val="clear" w:fill="DBE5F1"/>
            <w:tcW w:w="903" w:type="dxa"/>
            <w:vAlign w:val="top"/>
            <w:tcBorders>
              <w:left w:val="nil"/>
              <w:right w:val="nil"/>
            </w:tcBorders>
          </w:tcPr>
          <w:p>
            <w:pPr>
              <w:ind w:right="16"/>
              <w:spacing w:before="162"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136,842</w:t>
            </w:r>
          </w:p>
        </w:tc>
        <w:tc>
          <w:tcPr>
            <w:shd w:val="clear" w:fill="DBE5F1"/>
            <w:tcW w:w="917" w:type="dxa"/>
            <w:vAlign w:val="top"/>
            <w:tcBorders>
              <w:left w:val="nil"/>
              <w:right w:val="nil"/>
            </w:tcBorders>
          </w:tcPr>
          <w:p>
            <w:pPr>
              <w:ind w:right="14"/>
              <w:spacing w:before="163"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1.87</w:t>
            </w:r>
          </w:p>
        </w:tc>
        <w:tc>
          <w:tcPr>
            <w:shd w:val="clear" w:fill="DBE5F1"/>
            <w:tcW w:w="170" w:type="dxa"/>
            <w:vAlign w:val="top"/>
            <w:tcBorders>
              <w:left w:val="nil"/>
              <w:right w:val="nil"/>
            </w:tcBorders>
          </w:tcPr>
          <w:p>
            <w:pPr>
              <w:rPr>
                <w:rFonts w:ascii="Arial"/>
                <w:sz w:val="21"/>
              </w:rPr>
            </w:pPr>
            <w:r>
              <w:pict>
                <v:rect id="_x0000_s426" style="position:absolute;margin-left:-9.34001pt;margin-top:0.190033pt;mso-position-vertical-relative:top-margin-area;mso-position-horizontal-relative:right-margin-area;width:5.65pt;height:19.7pt;z-index:251898880;" fillcolor="#DBE5F1" filled="true" stroked="false"/>
              </w:pict>
            </w:r>
            <w:r/>
          </w:p>
        </w:tc>
        <w:tc>
          <w:tcPr>
            <w:shd w:val="clear" w:fill="DBE5F1"/>
            <w:tcW w:w="919" w:type="dxa"/>
            <w:vAlign w:val="top"/>
            <w:tcBorders>
              <w:left w:val="nil"/>
              <w:right w:val="nil"/>
            </w:tcBorders>
          </w:tcPr>
          <w:p>
            <w:pPr>
              <w:ind w:left="443"/>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2,246</w:t>
            </w:r>
          </w:p>
        </w:tc>
        <w:tc>
          <w:tcPr>
            <w:shd w:val="clear" w:fill="DBE5F1"/>
            <w:tcW w:w="909" w:type="dxa"/>
            <w:vAlign w:val="top"/>
            <w:tcBorders>
              <w:left w:val="nil"/>
              <w:right w:val="nil"/>
            </w:tcBorders>
          </w:tcPr>
          <w:p>
            <w:pPr>
              <w:spacing w:before="163"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6"/>
              </w:rPr>
              <w:t>1.64</w:t>
            </w:r>
          </w:p>
        </w:tc>
        <w:tc>
          <w:tcPr>
            <w:tcW w:w="1381" w:type="dxa"/>
            <w:vAlign w:val="top"/>
            <w:gridSpan w:val="2"/>
            <w:tcBorders>
              <w:left w:val="nil"/>
              <w:right w:val="nil"/>
            </w:tcBorders>
          </w:tcPr>
          <w:p>
            <w:pPr>
              <w:ind w:left="562"/>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114,706</w:t>
            </w:r>
          </w:p>
        </w:tc>
        <w:tc>
          <w:tcPr>
            <w:tcW w:w="1038" w:type="dxa"/>
            <w:vAlign w:val="top"/>
            <w:tcBorders>
              <w:left w:val="nil"/>
              <w:right w:val="nil"/>
            </w:tcBorders>
          </w:tcPr>
          <w:p>
            <w:pPr>
              <w:ind w:left="456"/>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1.75</w:t>
            </w:r>
          </w:p>
        </w:tc>
        <w:tc>
          <w:tcPr>
            <w:tcW w:w="1128" w:type="dxa"/>
            <w:vAlign w:val="top"/>
            <w:gridSpan w:val="2"/>
            <w:tcBorders>
              <w:left w:val="nil"/>
              <w:right w:val="nil"/>
            </w:tcBorders>
          </w:tcPr>
          <w:p>
            <w:pPr>
              <w:ind w:left="388"/>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1,963</w:t>
            </w:r>
          </w:p>
        </w:tc>
        <w:tc>
          <w:tcPr>
            <w:tcW w:w="719" w:type="dxa"/>
            <w:vAlign w:val="top"/>
            <w:tcBorders>
              <w:left w:val="nil"/>
              <w:right w:val="nil"/>
            </w:tcBorders>
          </w:tcPr>
          <w:p>
            <w:pPr>
              <w:ind w:left="369"/>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1.71</w:t>
            </w:r>
          </w:p>
        </w:tc>
      </w:tr>
      <w:tr>
        <w:trPr>
          <w:trHeight w:val="400" w:hRule="atLeast"/>
        </w:trPr>
        <w:tc>
          <w:tcPr>
            <w:tcW w:w="1448" w:type="dxa"/>
            <w:vAlign w:val="top"/>
            <w:tcBorders>
              <w:left w:val="nil"/>
              <w:right w:val="nil"/>
            </w:tcBorders>
          </w:tcPr>
          <w:p>
            <w:pPr>
              <w:pStyle w:val="TableText"/>
              <w:ind w:left="80"/>
              <w:spacing w:before="132" w:line="220" w:lineRule="auto"/>
              <w:rPr>
                <w:sz w:val="18"/>
                <w:szCs w:val="18"/>
              </w:rPr>
            </w:pPr>
            <w:r>
              <w:rPr>
                <w:sz w:val="18"/>
                <w:szCs w:val="18"/>
                <w:b/>
                <w:bCs/>
                <w:spacing w:val="-4"/>
              </w:rPr>
              <w:t>票据贴现</w:t>
            </w:r>
          </w:p>
        </w:tc>
        <w:tc>
          <w:tcPr>
            <w:shd w:val="clear" w:fill="DBE5F1"/>
            <w:tcW w:w="237" w:type="dxa"/>
            <w:vAlign w:val="top"/>
            <w:tcBorders>
              <w:left w:val="nil"/>
              <w:right w:val="nil"/>
            </w:tcBorders>
          </w:tcPr>
          <w:p>
            <w:pPr>
              <w:spacing w:before="6" w:line="384" w:lineRule="exact"/>
              <w:rPr/>
            </w:pPr>
            <w:r>
              <w:rPr>
                <w:position w:val="-8"/>
              </w:rPr>
              <w:pict>
                <v:shape id="_x0000_s428" style="mso-position-vertical-relative:line;mso-position-horizontal-relative:char;width:2.9pt;height:19.7pt;" fillcolor="#DBE5F1" filled="true" stroked="false" coordsize="58,394" coordorigin="0,0" path="m0,393l57,393l57,0l0,0l0,393xe"/>
              </w:pict>
            </w:r>
          </w:p>
        </w:tc>
        <w:tc>
          <w:tcPr>
            <w:shd w:val="clear" w:fill="DBE5F1"/>
            <w:tcW w:w="903" w:type="dxa"/>
            <w:vAlign w:val="top"/>
            <w:tcBorders>
              <w:left w:val="nil"/>
              <w:right w:val="nil"/>
            </w:tcBorders>
          </w:tcPr>
          <w:p>
            <w:pPr>
              <w:ind w:right="16"/>
              <w:spacing w:before="165"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218,295</w:t>
            </w:r>
          </w:p>
        </w:tc>
        <w:tc>
          <w:tcPr>
            <w:shd w:val="clear" w:fill="DBE5F1"/>
            <w:tcW w:w="917" w:type="dxa"/>
            <w:vAlign w:val="top"/>
            <w:tcBorders>
              <w:left w:val="nil"/>
              <w:right w:val="nil"/>
            </w:tcBorders>
          </w:tcPr>
          <w:p>
            <w:pPr>
              <w:ind w:right="15"/>
              <w:spacing w:before="165"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2.99</w:t>
            </w:r>
          </w:p>
        </w:tc>
        <w:tc>
          <w:tcPr>
            <w:shd w:val="clear" w:fill="DBE5F1"/>
            <w:tcW w:w="170" w:type="dxa"/>
            <w:vAlign w:val="top"/>
            <w:tcBorders>
              <w:left w:val="nil"/>
              <w:right w:val="nil"/>
            </w:tcBorders>
          </w:tcPr>
          <w:p>
            <w:pPr>
              <w:rPr>
                <w:rFonts w:ascii="Arial"/>
                <w:sz w:val="21"/>
              </w:rPr>
            </w:pPr>
            <w:r>
              <w:pict>
                <v:rect id="_x0000_s430" style="position:absolute;margin-left:-9.34001pt;margin-top:0.320038pt;mso-position-vertical-relative:top-margin-area;mso-position-horizontal-relative:right-margin-area;width:5.65pt;height:19.7pt;z-index:251897856;" fillcolor="#DBE5F1" filled="true" stroked="false"/>
              </w:pict>
            </w:r>
            <w:r/>
          </w:p>
        </w:tc>
        <w:tc>
          <w:tcPr>
            <w:shd w:val="clear" w:fill="DBE5F1"/>
            <w:tcW w:w="919" w:type="dxa"/>
            <w:vAlign w:val="top"/>
            <w:tcBorders>
              <w:left w:val="nil"/>
              <w:right w:val="nil"/>
            </w:tcBorders>
          </w:tcPr>
          <w:p>
            <w:pPr>
              <w:ind w:left="668"/>
              <w:spacing w:before="16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36</w:t>
            </w:r>
          </w:p>
        </w:tc>
        <w:tc>
          <w:tcPr>
            <w:shd w:val="clear" w:fill="DBE5F1"/>
            <w:tcW w:w="909" w:type="dxa"/>
            <w:vAlign w:val="top"/>
            <w:tcBorders>
              <w:left w:val="nil"/>
              <w:right w:val="nil"/>
            </w:tcBorders>
          </w:tcPr>
          <w:p>
            <w:pPr>
              <w:spacing w:before="165"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5"/>
              </w:rPr>
              <w:t>0.02</w:t>
            </w:r>
          </w:p>
        </w:tc>
        <w:tc>
          <w:tcPr>
            <w:tcW w:w="1381" w:type="dxa"/>
            <w:vAlign w:val="top"/>
            <w:gridSpan w:val="2"/>
            <w:tcBorders>
              <w:left w:val="nil"/>
              <w:right w:val="nil"/>
            </w:tcBorders>
          </w:tcPr>
          <w:p>
            <w:pPr>
              <w:ind w:left="555"/>
              <w:spacing w:before="16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136,722</w:t>
            </w:r>
          </w:p>
        </w:tc>
        <w:tc>
          <w:tcPr>
            <w:tcW w:w="1038" w:type="dxa"/>
            <w:vAlign w:val="top"/>
            <w:tcBorders>
              <w:left w:val="nil"/>
              <w:right w:val="nil"/>
            </w:tcBorders>
          </w:tcPr>
          <w:p>
            <w:pPr>
              <w:ind w:left="438"/>
              <w:spacing w:before="16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2.08</w:t>
            </w:r>
          </w:p>
        </w:tc>
        <w:tc>
          <w:tcPr>
            <w:tcW w:w="1128" w:type="dxa"/>
            <w:vAlign w:val="top"/>
            <w:gridSpan w:val="2"/>
            <w:tcBorders>
              <w:left w:val="nil"/>
              <w:right w:val="nil"/>
            </w:tcBorders>
          </w:tcPr>
          <w:p>
            <w:pPr>
              <w:ind w:left="613"/>
              <w:spacing w:before="16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10</w:t>
            </w:r>
          </w:p>
        </w:tc>
        <w:tc>
          <w:tcPr>
            <w:tcW w:w="719" w:type="dxa"/>
            <w:vAlign w:val="top"/>
            <w:tcBorders>
              <w:left w:val="nil"/>
              <w:right w:val="nil"/>
            </w:tcBorders>
          </w:tcPr>
          <w:p>
            <w:pPr>
              <w:ind w:left="354"/>
              <w:spacing w:before="16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0.01</w:t>
            </w:r>
          </w:p>
        </w:tc>
      </w:tr>
      <w:tr>
        <w:trPr>
          <w:trHeight w:val="402" w:hRule="atLeast"/>
        </w:trPr>
        <w:tc>
          <w:tcPr>
            <w:tcW w:w="1448" w:type="dxa"/>
            <w:vAlign w:val="top"/>
            <w:tcBorders>
              <w:left w:val="nil"/>
              <w:right w:val="nil"/>
            </w:tcBorders>
          </w:tcPr>
          <w:p>
            <w:pPr>
              <w:pStyle w:val="TableText"/>
              <w:ind w:left="79"/>
              <w:spacing w:before="130" w:line="222" w:lineRule="auto"/>
              <w:rPr>
                <w:sz w:val="18"/>
                <w:szCs w:val="18"/>
              </w:rPr>
            </w:pPr>
            <w:r>
              <w:rPr>
                <w:sz w:val="18"/>
                <w:szCs w:val="18"/>
                <w:b/>
                <w:bCs/>
                <w:spacing w:val="-4"/>
              </w:rPr>
              <w:t>合计</w:t>
            </w:r>
          </w:p>
        </w:tc>
        <w:tc>
          <w:tcPr>
            <w:shd w:val="clear" w:fill="DBE5F1"/>
            <w:tcW w:w="237" w:type="dxa"/>
            <w:vAlign w:val="top"/>
            <w:tcBorders>
              <w:left w:val="nil"/>
              <w:right w:val="nil"/>
            </w:tcBorders>
          </w:tcPr>
          <w:p>
            <w:pPr>
              <w:spacing w:before="4" w:line="388" w:lineRule="exact"/>
              <w:rPr/>
            </w:pPr>
            <w:r>
              <w:rPr>
                <w:position w:val="-8"/>
              </w:rPr>
              <w:pict>
                <v:shape id="_x0000_s432" style="mso-position-vertical-relative:line;mso-position-horizontal-relative:char;width:2.9pt;height:19.7pt;" fillcolor="#DBE5F1" filled="true" stroked="false" coordsize="58,394" coordorigin="0,0" path="m0,393l57,393l57,0l0,0l0,393xe"/>
              </w:pict>
            </w:r>
          </w:p>
        </w:tc>
        <w:tc>
          <w:tcPr>
            <w:shd w:val="clear" w:fill="DBE5F1"/>
            <w:tcW w:w="903" w:type="dxa"/>
            <w:vAlign w:val="top"/>
            <w:tcBorders>
              <w:left w:val="nil"/>
              <w:right w:val="nil"/>
            </w:tcBorders>
          </w:tcPr>
          <w:p>
            <w:pPr>
              <w:ind w:right="15"/>
              <w:spacing w:before="163"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7,296,155</w:t>
            </w:r>
          </w:p>
        </w:tc>
        <w:tc>
          <w:tcPr>
            <w:shd w:val="clear" w:fill="DBE5F1"/>
            <w:tcW w:w="917" w:type="dxa"/>
            <w:vAlign w:val="top"/>
            <w:tcBorders>
              <w:left w:val="nil"/>
              <w:right w:val="nil"/>
            </w:tcBorders>
          </w:tcPr>
          <w:p>
            <w:pPr>
              <w:ind w:right="14"/>
              <w:spacing w:before="163"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100.00</w:t>
            </w:r>
          </w:p>
        </w:tc>
        <w:tc>
          <w:tcPr>
            <w:shd w:val="clear" w:fill="DBE5F1"/>
            <w:tcW w:w="2234" w:type="dxa"/>
            <w:vAlign w:val="top"/>
            <w:gridSpan w:val="4"/>
            <w:tcBorders>
              <w:left w:val="nil"/>
              <w:right w:val="nil"/>
            </w:tcBorders>
          </w:tcPr>
          <w:p>
            <w:pPr>
              <w:ind w:left="526"/>
              <w:spacing w:before="163" w:line="186" w:lineRule="auto"/>
              <w:rPr>
                <w:rFonts w:ascii="Times New Roman" w:hAnsi="Times New Roman" w:eastAsia="Times New Roman" w:cs="Times New Roman"/>
                <w:sz w:val="18"/>
                <w:szCs w:val="18"/>
              </w:rPr>
            </w:pPr>
            <w:r>
              <w:pict>
                <v:shape id="_x0000_s434" style="position:absolute;margin-left:-109.78pt;margin-top:0.230072pt;mso-position-vertical-relative:top-margin-area;mso-position-horizontal-relative:right-margin-area;width:2.9pt;height:19.7pt;z-index:251896832;" fillcolor="#DBE5F1" filled="true" stroked="false" coordsize="58,394" coordorigin="0,0" path="m0,393l57,393l57,0l0,0l0,393xe"/>
              </w:pict>
            </w:r>
            <w:r>
              <w:rPr>
                <w:rFonts w:ascii="Times New Roman" w:hAnsi="Times New Roman" w:eastAsia="Times New Roman" w:cs="Times New Roman"/>
                <w:sz w:val="18"/>
                <w:szCs w:val="18"/>
                <w:b/>
                <w:bCs/>
                <w:spacing w:val="-2"/>
              </w:rPr>
              <w:t>98,526</w:t>
            </w:r>
            <w:r>
              <w:rPr>
                <w:rFonts w:ascii="Times New Roman" w:hAnsi="Times New Roman" w:eastAsia="Times New Roman" w:cs="Times New Roman"/>
                <w:sz w:val="18"/>
                <w:szCs w:val="18"/>
                <w:b/>
                <w:bCs/>
                <w:spacing w:val="1"/>
              </w:rPr>
              <w:t xml:space="preserve">               </w:t>
            </w:r>
            <w:r>
              <w:rPr>
                <w:rFonts w:ascii="Times New Roman" w:hAnsi="Times New Roman" w:eastAsia="Times New Roman" w:cs="Times New Roman"/>
                <w:sz w:val="18"/>
                <w:szCs w:val="18"/>
                <w:b/>
                <w:bCs/>
                <w:spacing w:val="-2"/>
              </w:rPr>
              <w:t>1.35</w:t>
            </w:r>
          </w:p>
        </w:tc>
        <w:tc>
          <w:tcPr>
            <w:tcW w:w="1145" w:type="dxa"/>
            <w:vAlign w:val="top"/>
            <w:tcBorders>
              <w:left w:val="nil"/>
              <w:right w:val="nil"/>
            </w:tcBorders>
          </w:tcPr>
          <w:p>
            <w:pPr>
              <w:ind w:left="171"/>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6,560,400</w:t>
            </w:r>
          </w:p>
        </w:tc>
        <w:tc>
          <w:tcPr>
            <w:tcW w:w="1038" w:type="dxa"/>
            <w:vAlign w:val="top"/>
            <w:tcBorders>
              <w:left w:val="nil"/>
              <w:right w:val="nil"/>
            </w:tcBorders>
          </w:tcPr>
          <w:p>
            <w:pPr>
              <w:ind w:left="276"/>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100.00</w:t>
            </w:r>
          </w:p>
        </w:tc>
        <w:tc>
          <w:tcPr>
            <w:tcW w:w="1128" w:type="dxa"/>
            <w:vAlign w:val="top"/>
            <w:gridSpan w:val="2"/>
            <w:tcBorders>
              <w:left w:val="nil"/>
              <w:right w:val="nil"/>
            </w:tcBorders>
          </w:tcPr>
          <w:p>
            <w:pPr>
              <w:ind w:left="285"/>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96,796</w:t>
            </w:r>
          </w:p>
        </w:tc>
        <w:tc>
          <w:tcPr>
            <w:tcW w:w="719" w:type="dxa"/>
            <w:vAlign w:val="top"/>
            <w:tcBorders>
              <w:left w:val="nil"/>
              <w:right w:val="nil"/>
            </w:tcBorders>
          </w:tcPr>
          <w:p>
            <w:pPr>
              <w:ind w:left="369"/>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1.48</w:t>
            </w:r>
          </w:p>
        </w:tc>
      </w:tr>
    </w:tbl>
    <w:p>
      <w:pPr>
        <w:pStyle w:val="BodyText"/>
        <w:spacing w:line="297" w:lineRule="auto"/>
        <w:rPr/>
      </w:pPr>
      <w:r/>
    </w:p>
    <w:p>
      <w:pPr>
        <w:pStyle w:val="BodyText"/>
        <w:spacing w:line="298" w:lineRule="auto"/>
        <w:rPr/>
      </w:pPr>
      <w:r/>
    </w:p>
    <w:p>
      <w:pPr>
        <w:ind w:left="504"/>
        <w:spacing w:before="69" w:line="221" w:lineRule="auto"/>
        <w:rPr>
          <w:rFonts w:ascii="SimSun" w:hAnsi="SimSun" w:eastAsia="SimSun" w:cs="SimSun"/>
          <w:sz w:val="21"/>
          <w:szCs w:val="21"/>
        </w:rPr>
      </w:pPr>
      <w:r>
        <w:rPr>
          <w:rFonts w:ascii="SimSun" w:hAnsi="SimSun" w:eastAsia="SimSun" w:cs="SimSun"/>
          <w:sz w:val="21"/>
          <w:szCs w:val="21"/>
          <w:b/>
          <w:bCs/>
          <w:spacing w:val="-2"/>
        </w:rPr>
        <w:t>按行业划分的贷款及不良贷款分布情况</w:t>
      </w:r>
    </w:p>
    <w:p>
      <w:pPr>
        <w:pStyle w:val="BodyText"/>
        <w:spacing w:line="275" w:lineRule="auto"/>
        <w:rPr/>
      </w:pPr>
      <w:r/>
    </w:p>
    <w:p>
      <w:pPr>
        <w:ind w:left="7113"/>
        <w:spacing w:before="58" w:line="217" w:lineRule="auto"/>
        <w:rPr>
          <w:rFonts w:ascii="SimSun" w:hAnsi="SimSun" w:eastAsia="SimSun" w:cs="SimSun"/>
          <w:sz w:val="18"/>
          <w:szCs w:val="18"/>
        </w:rPr>
      </w:pPr>
      <w:r>
        <w:rPr>
          <w:rFonts w:ascii="SimSun" w:hAnsi="SimSun" w:eastAsia="SimSun" w:cs="SimSun"/>
          <w:sz w:val="18"/>
          <w:szCs w:val="18"/>
          <w:spacing w:val="6"/>
        </w:rPr>
        <w:t>(除另有标明外,人民币百万元)</w:t>
      </w:r>
    </w:p>
    <w:p>
      <w:pPr>
        <w:spacing w:line="14" w:lineRule="exact"/>
        <w:rPr/>
      </w:pPr>
      <w:r/>
    </w:p>
    <w:tbl>
      <w:tblPr>
        <w:tblStyle w:val="TableNormal"/>
        <w:tblW w:w="9770"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548"/>
        <w:gridCol w:w="316"/>
        <w:gridCol w:w="951"/>
        <w:gridCol w:w="898"/>
        <w:gridCol w:w="990"/>
        <w:gridCol w:w="867"/>
        <w:gridCol w:w="1471"/>
        <w:gridCol w:w="901"/>
        <w:gridCol w:w="934"/>
        <w:gridCol w:w="167"/>
        <w:gridCol w:w="727"/>
      </w:tblGrid>
      <w:tr>
        <w:trPr>
          <w:trHeight w:val="403" w:hRule="atLeast"/>
        </w:trPr>
        <w:tc>
          <w:tcPr>
            <w:tcW w:w="5570" w:type="dxa"/>
            <w:vAlign w:val="top"/>
            <w:gridSpan w:val="6"/>
            <w:tcBorders>
              <w:top w:val="single" w:color="000000" w:sz="2" w:space="0"/>
              <w:right w:val="single" w:color="000000" w:sz="22" w:space="0"/>
            </w:tcBorders>
          </w:tcPr>
          <w:p>
            <w:pPr>
              <w:pStyle w:val="TableText"/>
              <w:ind w:left="2825"/>
              <w:spacing w:before="131" w:line="220" w:lineRule="auto"/>
              <w:rPr>
                <w:sz w:val="18"/>
                <w:szCs w:val="18"/>
              </w:rPr>
            </w:pPr>
            <w:r>
              <mc:AlternateContent xmlns:mc="http://schemas.openxmlformats.org/markup-compatibility/2006">
                <mc:Choice Requires="wps">
                  <w:drawing>
                    <wp:anchor distT="0" distB="0" distL="0" distR="0" simplePos="0" relativeHeight="251891712" behindDoc="1" locked="0" layoutInCell="1" allowOverlap="1">
                      <wp:simplePos x="0" y="0"/>
                      <wp:positionH relativeFrom="column">
                        <wp:posOffset>983233</wp:posOffset>
                      </wp:positionH>
                      <wp:positionV relativeFrom="paragraph">
                        <wp:posOffset>3156</wp:posOffset>
                      </wp:positionV>
                      <wp:extent cx="2524760" cy="685165"/>
                      <wp:effectExtent l="0" t="0" r="0" b="0"/>
                      <wp:wrapNone/>
                      <wp:docPr id="128" name="Rect 128"/>
                      <wp:cNvGraphicFramePr/>
                      <a:graphic>
                        <a:graphicData uri="http://schemas.microsoft.com/office/word/2010/wordprocessingShape">
                          <wps:wsp>
                            <wps:cNvPr id="128" name="Rect 128"/>
                            <wps:cNvSpPr/>
                            <wps:spPr>
                              <a:xfrm>
                                <a:off x="983233" y="3156"/>
                                <a:ext cx="2524760" cy="68516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436" style="position:absolute;margin-left:77.42pt;margin-top:0.248566pt;mso-position-vertical-relative:text;mso-position-horizontal-relative:text;width:198.8pt;height:53.95pt;z-index:-251424768;" fillcolor="#DBE5F1" filled="true" stroked="false"/>
                  </w:pict>
                </mc:Fallback>
              </mc:AlternateContent>
            </w:r>
            <w:r>
              <w:rPr>
                <w:rFonts w:ascii="Times New Roman" w:hAnsi="Times New Roman" w:eastAsia="Times New Roman" w:cs="Times New Roman"/>
                <w:sz w:val="18"/>
                <w:szCs w:val="18"/>
                <w:b/>
                <w:bCs/>
                <w:spacing w:val="-3"/>
              </w:rPr>
              <w:t>2022 </w:t>
            </w:r>
            <w:r>
              <w:rPr>
                <w:sz w:val="18"/>
                <w:szCs w:val="18"/>
                <w:b/>
                <w:bCs/>
                <w:spacing w:val="-3"/>
              </w:rPr>
              <w:t>年</w:t>
            </w:r>
            <w:r>
              <w:rPr>
                <w:sz w:val="18"/>
                <w:szCs w:val="18"/>
                <w:spacing w:val="-33"/>
              </w:rPr>
              <w:t xml:space="preserve"> </w:t>
            </w:r>
            <w:r>
              <w:rPr>
                <w:rFonts w:ascii="Times New Roman" w:hAnsi="Times New Roman" w:eastAsia="Times New Roman" w:cs="Times New Roman"/>
                <w:sz w:val="18"/>
                <w:szCs w:val="18"/>
                <w:b/>
                <w:bCs/>
                <w:spacing w:val="-3"/>
              </w:rPr>
              <w:t>12</w:t>
            </w:r>
            <w:r>
              <w:rPr>
                <w:rFonts w:ascii="Times New Roman" w:hAnsi="Times New Roman" w:eastAsia="Times New Roman" w:cs="Times New Roman"/>
                <w:sz w:val="18"/>
                <w:szCs w:val="18"/>
                <w:b/>
                <w:bCs/>
                <w:spacing w:val="11"/>
                <w:w w:val="101"/>
              </w:rPr>
              <w:t xml:space="preserve"> </w:t>
            </w:r>
            <w:r>
              <w:rPr>
                <w:sz w:val="18"/>
                <w:szCs w:val="18"/>
                <w:b/>
                <w:bCs/>
                <w:spacing w:val="-3"/>
              </w:rPr>
              <w:t>月</w:t>
            </w:r>
            <w:r>
              <w:rPr>
                <w:sz w:val="18"/>
                <w:szCs w:val="18"/>
                <w:spacing w:val="-42"/>
              </w:rPr>
              <w:t xml:space="preserve"> </w:t>
            </w:r>
            <w:r>
              <w:rPr>
                <w:rFonts w:ascii="Times New Roman" w:hAnsi="Times New Roman" w:eastAsia="Times New Roman" w:cs="Times New Roman"/>
                <w:sz w:val="18"/>
                <w:szCs w:val="18"/>
                <w:b/>
                <w:bCs/>
                <w:spacing w:val="-3"/>
              </w:rPr>
              <w:t>31  </w:t>
            </w:r>
            <w:r>
              <w:rPr>
                <w:sz w:val="18"/>
                <w:szCs w:val="18"/>
                <w:b/>
                <w:bCs/>
                <w:spacing w:val="-3"/>
              </w:rPr>
              <w:t>日</w:t>
            </w:r>
          </w:p>
        </w:tc>
        <w:tc>
          <w:tcPr>
            <w:tcW w:w="4200" w:type="dxa"/>
            <w:vAlign w:val="top"/>
            <w:gridSpan w:val="5"/>
            <w:tcBorders>
              <w:bottom w:val="single" w:color="000000" w:sz="2" w:space="0"/>
              <w:top w:val="single" w:color="000000" w:sz="2" w:space="0"/>
            </w:tcBorders>
          </w:tcPr>
          <w:p>
            <w:pPr>
              <w:pStyle w:val="TableText"/>
              <w:ind w:left="1336"/>
              <w:spacing w:before="131" w:line="220" w:lineRule="auto"/>
              <w:rPr>
                <w:sz w:val="18"/>
                <w:szCs w:val="18"/>
              </w:rPr>
            </w:pPr>
            <w:r>
              <w:rPr>
                <w:rFonts w:ascii="Times New Roman" w:hAnsi="Times New Roman" w:eastAsia="Times New Roman" w:cs="Times New Roman"/>
                <w:sz w:val="18"/>
                <w:szCs w:val="18"/>
                <w:spacing w:val="-5"/>
              </w:rPr>
              <w:t>2021</w:t>
            </w:r>
            <w:r>
              <w:rPr>
                <w:rFonts w:ascii="Times New Roman" w:hAnsi="Times New Roman" w:eastAsia="Times New Roman" w:cs="Times New Roman"/>
                <w:sz w:val="18"/>
                <w:szCs w:val="18"/>
                <w:spacing w:val="11"/>
              </w:rPr>
              <w:t xml:space="preserve"> </w:t>
            </w:r>
            <w:r>
              <w:rPr>
                <w:sz w:val="18"/>
                <w:szCs w:val="18"/>
                <w:spacing w:val="-5"/>
              </w:rPr>
              <w:t>年</w:t>
            </w:r>
            <w:r>
              <w:rPr>
                <w:sz w:val="18"/>
                <w:szCs w:val="18"/>
                <w:spacing w:val="-26"/>
              </w:rPr>
              <w:t xml:space="preserve"> </w:t>
            </w:r>
            <w:r>
              <w:rPr>
                <w:rFonts w:ascii="Times New Roman" w:hAnsi="Times New Roman" w:eastAsia="Times New Roman" w:cs="Times New Roman"/>
                <w:sz w:val="18"/>
                <w:szCs w:val="18"/>
                <w:spacing w:val="-5"/>
              </w:rPr>
              <w:t>12</w:t>
            </w:r>
            <w:r>
              <w:rPr>
                <w:rFonts w:ascii="Times New Roman" w:hAnsi="Times New Roman" w:eastAsia="Times New Roman" w:cs="Times New Roman"/>
                <w:sz w:val="18"/>
                <w:szCs w:val="18"/>
                <w:spacing w:val="13"/>
              </w:rPr>
              <w:t xml:space="preserve"> </w:t>
            </w:r>
            <w:r>
              <w:rPr>
                <w:sz w:val="18"/>
                <w:szCs w:val="18"/>
                <w:spacing w:val="-5"/>
              </w:rPr>
              <w:t>月</w:t>
            </w:r>
            <w:r>
              <w:rPr>
                <w:sz w:val="18"/>
                <w:szCs w:val="18"/>
                <w:spacing w:val="-36"/>
              </w:rPr>
              <w:t xml:space="preserve"> </w:t>
            </w:r>
            <w:r>
              <w:rPr>
                <w:rFonts w:ascii="Times New Roman" w:hAnsi="Times New Roman" w:eastAsia="Times New Roman" w:cs="Times New Roman"/>
                <w:sz w:val="18"/>
                <w:szCs w:val="18"/>
                <w:spacing w:val="-5"/>
              </w:rPr>
              <w:t>31</w:t>
            </w:r>
            <w:r>
              <w:rPr>
                <w:rFonts w:ascii="Times New Roman" w:hAnsi="Times New Roman" w:eastAsia="Times New Roman" w:cs="Times New Roman"/>
                <w:sz w:val="18"/>
                <w:szCs w:val="18"/>
                <w:spacing w:val="39"/>
                <w:w w:val="101"/>
              </w:rPr>
              <w:t xml:space="preserve"> </w:t>
            </w:r>
            <w:r>
              <w:rPr>
                <w:sz w:val="18"/>
                <w:szCs w:val="18"/>
                <w:spacing w:val="-5"/>
              </w:rPr>
              <w:t>日</w:t>
            </w:r>
          </w:p>
        </w:tc>
      </w:tr>
      <w:tr>
        <w:trPr>
          <w:trHeight w:val="678" w:hRule="atLeast"/>
        </w:trPr>
        <w:tc>
          <w:tcPr>
            <w:tcW w:w="4703" w:type="dxa"/>
            <w:vAlign w:val="top"/>
            <w:gridSpan w:val="5"/>
            <w:tcBorders>
              <w:bottom w:val="single" w:color="000000" w:sz="2" w:space="0"/>
              <w:right w:val="single" w:color="DBE5F1" w:sz="8" w:space="0"/>
            </w:tcBorders>
          </w:tcPr>
          <w:p>
            <w:pPr>
              <w:pStyle w:val="TableText"/>
              <w:ind w:left="2345"/>
              <w:spacing w:before="268" w:line="212" w:lineRule="auto"/>
              <w:rPr>
                <w:sz w:val="18"/>
                <w:szCs w:val="18"/>
              </w:rPr>
            </w:pPr>
            <w:r>
              <w:rPr>
                <w:sz w:val="18"/>
                <w:szCs w:val="18"/>
                <w:b/>
                <w:bCs/>
                <w:spacing w:val="-4"/>
              </w:rPr>
              <w:t>贷款</w:t>
            </w:r>
            <w:r>
              <w:rPr>
                <w:sz w:val="18"/>
                <w:szCs w:val="18"/>
                <w:spacing w:val="-4"/>
              </w:rPr>
              <w:t xml:space="preserve">   </w:t>
            </w:r>
            <w:r>
              <w:rPr>
                <w:sz w:val="18"/>
                <w:szCs w:val="18"/>
                <w:b/>
                <w:bCs/>
                <w:spacing w:val="-4"/>
              </w:rPr>
              <w:t>占比</w:t>
            </w:r>
            <w:r>
              <w:rPr>
                <w:rFonts w:ascii="Times New Roman" w:hAnsi="Times New Roman" w:eastAsia="Times New Roman" w:cs="Times New Roman"/>
                <w:sz w:val="18"/>
                <w:szCs w:val="18"/>
                <w:b/>
                <w:bCs/>
                <w:spacing w:val="-4"/>
              </w:rPr>
              <w:t>(%)       </w:t>
            </w:r>
            <w:r>
              <w:rPr>
                <w:sz w:val="18"/>
                <w:szCs w:val="18"/>
                <w:b/>
                <w:bCs/>
                <w:spacing w:val="-4"/>
              </w:rPr>
              <w:t>不良贷款</w:t>
            </w:r>
          </w:p>
        </w:tc>
        <w:tc>
          <w:tcPr>
            <w:tcW w:w="867" w:type="dxa"/>
            <w:vAlign w:val="top"/>
            <w:tcBorders>
              <w:bottom w:val="single" w:color="000000" w:sz="2" w:space="0"/>
              <w:right w:val="single" w:color="000000" w:sz="22" w:space="0"/>
              <w:left w:val="single" w:color="DBE5F1" w:sz="8" w:space="0"/>
            </w:tcBorders>
          </w:tcPr>
          <w:p>
            <w:pPr>
              <w:pStyle w:val="TableText"/>
              <w:ind w:left="97" w:right="19"/>
              <w:spacing w:before="126" w:line="250" w:lineRule="auto"/>
              <w:jc w:val="right"/>
              <w:rPr>
                <w:rFonts w:ascii="Times New Roman" w:hAnsi="Times New Roman" w:eastAsia="Times New Roman" w:cs="Times New Roman"/>
                <w:sz w:val="18"/>
                <w:szCs w:val="18"/>
              </w:rPr>
            </w:pPr>
            <w:r>
              <w:rPr>
                <w:sz w:val="18"/>
                <w:szCs w:val="18"/>
                <w:b/>
                <w:bCs/>
                <w:spacing w:val="-4"/>
              </w:rPr>
              <w:t>不良贷款</w:t>
            </w:r>
            <w:r>
              <w:rPr>
                <w:sz w:val="18"/>
                <w:szCs w:val="18"/>
              </w:rPr>
              <w:t xml:space="preserve"> </w:t>
            </w:r>
            <w:r>
              <w:rPr>
                <w:sz w:val="18"/>
                <w:szCs w:val="18"/>
                <w:b/>
                <w:bCs/>
                <w:spacing w:val="-2"/>
              </w:rPr>
              <w:t>率</w:t>
            </w:r>
            <w:r>
              <w:rPr>
                <w:rFonts w:ascii="Times New Roman" w:hAnsi="Times New Roman" w:eastAsia="Times New Roman" w:cs="Times New Roman"/>
                <w:sz w:val="18"/>
                <w:szCs w:val="18"/>
                <w:b/>
                <w:bCs/>
                <w:spacing w:val="-2"/>
              </w:rPr>
              <w:t>(%)</w:t>
            </w:r>
          </w:p>
        </w:tc>
        <w:tc>
          <w:tcPr>
            <w:tcW w:w="3306" w:type="dxa"/>
            <w:vAlign w:val="top"/>
            <w:gridSpan w:val="3"/>
            <w:tcBorders>
              <w:bottom w:val="single" w:color="000000" w:sz="2" w:space="0"/>
              <w:top w:val="single" w:color="000000" w:sz="2" w:space="0"/>
              <w:left w:val="single" w:color="000000" w:sz="22" w:space="0"/>
            </w:tcBorders>
          </w:tcPr>
          <w:p>
            <w:pPr>
              <w:pStyle w:val="TableText"/>
              <w:ind w:left="845"/>
              <w:spacing w:before="241" w:line="250" w:lineRule="exact"/>
              <w:rPr>
                <w:sz w:val="18"/>
                <w:szCs w:val="18"/>
              </w:rPr>
            </w:pPr>
            <w:r>
              <w:rPr>
                <w:sz w:val="18"/>
                <w:szCs w:val="18"/>
                <w:spacing w:val="-5"/>
                <w:position w:val="2"/>
              </w:rPr>
              <w:t>贷款</w:t>
            </w:r>
            <w:r>
              <w:rPr>
                <w:sz w:val="18"/>
                <w:szCs w:val="18"/>
                <w:spacing w:val="13"/>
                <w:position w:val="2"/>
              </w:rPr>
              <w:t xml:space="preserve">   </w:t>
            </w:r>
            <w:r>
              <w:rPr>
                <w:sz w:val="18"/>
                <w:szCs w:val="18"/>
                <w:spacing w:val="-5"/>
                <w:position w:val="2"/>
              </w:rPr>
              <w:t>占比</w:t>
            </w:r>
            <w:r>
              <w:rPr>
                <w:rFonts w:ascii="Times New Roman" w:hAnsi="Times New Roman" w:eastAsia="Times New Roman" w:cs="Times New Roman"/>
                <w:sz w:val="18"/>
                <w:szCs w:val="18"/>
                <w:spacing w:val="-5"/>
                <w:position w:val="2"/>
              </w:rPr>
              <w:t>(%)</w:t>
            </w:r>
            <w:r>
              <w:rPr>
                <w:rFonts w:ascii="Times New Roman" w:hAnsi="Times New Roman" w:eastAsia="Times New Roman" w:cs="Times New Roman"/>
                <w:sz w:val="18"/>
                <w:szCs w:val="18"/>
                <w:spacing w:val="6"/>
                <w:position w:val="2"/>
              </w:rPr>
              <w:t xml:space="preserve">      </w:t>
            </w:r>
            <w:r>
              <w:rPr>
                <w:sz w:val="18"/>
                <w:szCs w:val="18"/>
                <w:spacing w:val="-5"/>
                <w:position w:val="2"/>
              </w:rPr>
              <w:t>不良贷款</w:t>
            </w:r>
          </w:p>
        </w:tc>
        <w:tc>
          <w:tcPr>
            <w:tcW w:w="894" w:type="dxa"/>
            <w:vAlign w:val="top"/>
            <w:gridSpan w:val="2"/>
            <w:tcBorders>
              <w:bottom w:val="single" w:color="000000" w:sz="2" w:space="0"/>
              <w:top w:val="single" w:color="000000" w:sz="2" w:space="0"/>
            </w:tcBorders>
          </w:tcPr>
          <w:p>
            <w:pPr>
              <w:pStyle w:val="TableText"/>
              <w:ind w:left="128" w:right="55"/>
              <w:spacing w:before="126" w:line="259" w:lineRule="auto"/>
              <w:jc w:val="right"/>
              <w:rPr>
                <w:rFonts w:ascii="Times New Roman" w:hAnsi="Times New Roman" w:eastAsia="Times New Roman" w:cs="Times New Roman"/>
                <w:sz w:val="18"/>
                <w:szCs w:val="18"/>
              </w:rPr>
            </w:pPr>
            <w:r>
              <w:rPr>
                <w:sz w:val="18"/>
                <w:szCs w:val="18"/>
                <w:spacing w:val="-3"/>
              </w:rPr>
              <w:t>不良贷款</w:t>
            </w:r>
            <w:r>
              <w:rPr>
                <w:sz w:val="18"/>
                <w:szCs w:val="18"/>
                <w:spacing w:val="1"/>
              </w:rPr>
              <w:t xml:space="preserve"> </w:t>
            </w:r>
            <w:r>
              <w:rPr>
                <w:sz w:val="18"/>
                <w:szCs w:val="18"/>
                <w:spacing w:val="-3"/>
              </w:rPr>
              <w:t>率</w:t>
            </w:r>
            <w:r>
              <w:rPr>
                <w:rFonts w:ascii="Times New Roman" w:hAnsi="Times New Roman" w:eastAsia="Times New Roman" w:cs="Times New Roman"/>
                <w:sz w:val="18"/>
                <w:szCs w:val="18"/>
                <w:spacing w:val="-3"/>
              </w:rPr>
              <w:t>(%)</w:t>
            </w:r>
          </w:p>
        </w:tc>
      </w:tr>
      <w:tr>
        <w:trPr>
          <w:trHeight w:val="400" w:hRule="atLeast"/>
        </w:trPr>
        <w:tc>
          <w:tcPr>
            <w:tcW w:w="1548" w:type="dxa"/>
            <w:vAlign w:val="top"/>
            <w:tcBorders>
              <w:bottom w:val="single" w:color="000000" w:sz="2" w:space="0"/>
              <w:top w:val="single" w:color="000000" w:sz="2" w:space="0"/>
            </w:tcBorders>
          </w:tcPr>
          <w:p>
            <w:pPr>
              <w:pStyle w:val="TableText"/>
              <w:ind w:left="84"/>
              <w:spacing w:before="127" w:line="220" w:lineRule="auto"/>
              <w:rPr>
                <w:sz w:val="18"/>
                <w:szCs w:val="18"/>
              </w:rPr>
            </w:pPr>
            <w:r>
              <w:rPr>
                <w:sz w:val="18"/>
                <w:szCs w:val="18"/>
                <w:b/>
                <w:bCs/>
                <w:spacing w:val="-4"/>
              </w:rPr>
              <w:t>公司类贷款</w:t>
            </w:r>
          </w:p>
        </w:tc>
        <w:tc>
          <w:tcPr>
            <w:shd w:val="clear" w:fill="DBE5F1"/>
            <w:tcW w:w="3155" w:type="dxa"/>
            <w:vAlign w:val="top"/>
            <w:gridSpan w:val="4"/>
            <w:tcBorders>
              <w:bottom w:val="single" w:color="000000" w:sz="2" w:space="0"/>
              <w:top w:val="single" w:color="000000" w:sz="2" w:space="0"/>
            </w:tcBorders>
          </w:tcPr>
          <w:p>
            <w:pPr>
              <w:ind w:left="446"/>
              <w:spacing w:before="160" w:line="186" w:lineRule="auto"/>
              <w:rPr>
                <w:rFonts w:ascii="Times New Roman" w:hAnsi="Times New Roman" w:eastAsia="Times New Roman" w:cs="Times New Roman"/>
                <w:sz w:val="18"/>
                <w:szCs w:val="18"/>
              </w:rPr>
            </w:pPr>
            <w:r>
              <w:pict>
                <v:shape id="_x0000_s438" style="position:absolute;margin-left:-157.73pt;margin-top:0.070023pt;mso-position-vertical-relative:top-margin-area;mso-position-horizontal-relative:right-margin-area;width:2.9pt;height:19.85pt;z-index:251895808;" fillcolor="#DBE5F1" filled="true" stroked="false" coordsize="58,397" coordorigin="0,0" path="m0,396l57,396l57,0l0,0l0,396xe"/>
              </w:pict>
            </w:r>
            <w:r>
              <w:rPr>
                <w:rFonts w:ascii="Times New Roman" w:hAnsi="Times New Roman" w:eastAsia="Times New Roman" w:cs="Times New Roman"/>
                <w:sz w:val="18"/>
                <w:szCs w:val="18"/>
                <w:b/>
                <w:bCs/>
                <w:spacing w:val="-1"/>
              </w:rPr>
              <w:t>4,711,353           64.58            78,487</w:t>
            </w:r>
          </w:p>
        </w:tc>
        <w:tc>
          <w:tcPr>
            <w:shd w:val="clear" w:fill="DBE5F1"/>
            <w:tcW w:w="867" w:type="dxa"/>
            <w:vAlign w:val="top"/>
            <w:tcBorders>
              <w:bottom w:val="single" w:color="000000" w:sz="2" w:space="0"/>
              <w:top w:val="single" w:color="000000" w:sz="2" w:space="0"/>
            </w:tcBorders>
          </w:tcPr>
          <w:p>
            <w:pPr>
              <w:ind w:left="515"/>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1.67</w:t>
            </w:r>
          </w:p>
        </w:tc>
        <w:tc>
          <w:tcPr>
            <w:tcW w:w="4200" w:type="dxa"/>
            <w:vAlign w:val="top"/>
            <w:gridSpan w:val="5"/>
            <w:tcBorders>
              <w:bottom w:val="single" w:color="000000" w:sz="2" w:space="0"/>
              <w:top w:val="single" w:color="000000" w:sz="2" w:space="0"/>
            </w:tcBorders>
          </w:tcPr>
          <w:p>
            <w:pPr>
              <w:ind w:left="511"/>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4,138,582           63.09            77,618                1.88</w:t>
            </w:r>
          </w:p>
        </w:tc>
      </w:tr>
      <w:tr>
        <w:trPr>
          <w:trHeight w:val="678" w:hRule="atLeast"/>
        </w:trPr>
        <w:tc>
          <w:tcPr>
            <w:tcW w:w="1548" w:type="dxa"/>
            <w:vAlign w:val="top"/>
            <w:tcBorders>
              <w:bottom w:val="single" w:color="000000" w:sz="2" w:space="0"/>
              <w:top w:val="single" w:color="000000" w:sz="2" w:space="0"/>
            </w:tcBorders>
          </w:tcPr>
          <w:p>
            <w:pPr>
              <w:pStyle w:val="TableText"/>
              <w:ind w:left="91" w:right="57" w:hanging="9"/>
              <w:spacing w:before="127" w:line="254" w:lineRule="auto"/>
              <w:rPr>
                <w:sz w:val="18"/>
                <w:szCs w:val="18"/>
              </w:rPr>
            </w:pPr>
            <w:r>
              <w:rPr>
                <w:sz w:val="18"/>
                <w:szCs w:val="18"/>
                <w:spacing w:val="-5"/>
              </w:rPr>
              <w:t>交通运输、仓储和</w:t>
            </w:r>
            <w:r>
              <w:rPr>
                <w:sz w:val="18"/>
                <w:szCs w:val="18"/>
                <w:spacing w:val="6"/>
              </w:rPr>
              <w:t xml:space="preserve"> </w:t>
            </w:r>
            <w:r>
              <w:rPr>
                <w:sz w:val="18"/>
                <w:szCs w:val="18"/>
                <w:spacing w:val="-5"/>
              </w:rPr>
              <w:t>邮政业</w:t>
            </w:r>
          </w:p>
        </w:tc>
        <w:tc>
          <w:tcPr>
            <w:shd w:val="clear" w:fill="DBE5F1"/>
            <w:tcW w:w="1267" w:type="dxa"/>
            <w:vAlign w:val="top"/>
            <w:gridSpan w:val="2"/>
            <w:tcBorders>
              <w:bottom w:val="single" w:color="000000" w:sz="2" w:space="0"/>
              <w:top w:val="single" w:color="000000" w:sz="2" w:space="0"/>
            </w:tcBorders>
          </w:tcPr>
          <w:p>
            <w:pPr>
              <w:spacing w:before="141"/>
              <w:jc w:val="right"/>
              <w:rPr>
                <w:sz w:val="18"/>
                <w:szCs w:val="18"/>
              </w:rPr>
            </w:pPr>
            <w:r>
              <w:rPr>
                <w:rFonts w:ascii="Times New Roman" w:hAnsi="Times New Roman" w:eastAsia="Times New Roman" w:cs="Times New Roman"/>
                <w:sz w:val="18"/>
                <w:szCs w:val="18"/>
                <w:b/>
                <w:bCs/>
                <w:spacing w:val="-1"/>
              </w:rPr>
              <w:t>823,156</w:t>
            </w:r>
            <w:r>
              <w:rPr>
                <w:rFonts w:ascii="Times New Roman" w:hAnsi="Times New Roman" w:eastAsia="Times New Roman" w:cs="Times New Roman"/>
                <w:sz w:val="18"/>
                <w:szCs w:val="18"/>
                <w:b/>
                <w:bCs/>
                <w:spacing w:val="10"/>
              </w:rPr>
              <w:t xml:space="preserve"> </w:t>
            </w:r>
            <w:r>
              <w:rPr>
                <w:sz w:val="18"/>
                <w:szCs w:val="18"/>
                <w:position w:val="-11"/>
              </w:rPr>
              <w:drawing>
                <wp:inline distT="0" distB="0" distL="0" distR="0">
                  <wp:extent cx="36512" cy="249936"/>
                  <wp:effectExtent l="0" t="0" r="0" b="0"/>
                  <wp:docPr id="130" name="IM 130"/>
                  <wp:cNvGraphicFramePr/>
                  <a:graphic>
                    <a:graphicData uri="http://schemas.openxmlformats.org/drawingml/2006/picture">
                      <pic:pic>
                        <pic:nvPicPr>
                          <pic:cNvPr id="130" name="IM 130"/>
                          <pic:cNvPicPr/>
                        </pic:nvPicPr>
                        <pic:blipFill>
                          <a:blip r:embed="rId66"/>
                          <a:stretch>
                            <a:fillRect/>
                          </a:stretch>
                        </pic:blipFill>
                        <pic:spPr>
                          <a:xfrm rot="0">
                            <a:off x="0" y="0"/>
                            <a:ext cx="36512" cy="249936"/>
                          </a:xfrm>
                          <a:prstGeom prst="rect">
                            <a:avLst/>
                          </a:prstGeom>
                        </pic:spPr>
                      </pic:pic>
                    </a:graphicData>
                  </a:graphic>
                </wp:inline>
              </w:drawing>
            </w:r>
          </w:p>
        </w:tc>
        <w:tc>
          <w:tcPr>
            <w:shd w:val="clear" w:fill="DBE5F1"/>
            <w:tcW w:w="898" w:type="dxa"/>
            <w:vAlign w:val="top"/>
            <w:tcBorders>
              <w:bottom w:val="single" w:color="000000" w:sz="2" w:space="0"/>
              <w:top w:val="single" w:color="000000" w:sz="2" w:space="0"/>
            </w:tcBorders>
          </w:tcPr>
          <w:p>
            <w:pPr>
              <w:spacing w:line="247" w:lineRule="auto"/>
              <w:rPr>
                <w:rFonts w:ascii="Arial"/>
                <w:sz w:val="21"/>
              </w:rPr>
            </w:pPr>
            <w:r/>
          </w:p>
          <w:p>
            <w:pPr>
              <w:ind w:left="401"/>
              <w:spacing w:before="5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4"/>
              </w:rPr>
              <w:t>11.28</w:t>
            </w:r>
          </w:p>
        </w:tc>
        <w:tc>
          <w:tcPr>
            <w:shd w:val="clear" w:fill="DBE5F1"/>
            <w:tcW w:w="990" w:type="dxa"/>
            <w:vAlign w:val="top"/>
            <w:tcBorders>
              <w:bottom w:val="single" w:color="000000" w:sz="2" w:space="0"/>
              <w:top w:val="single" w:color="000000" w:sz="2" w:space="0"/>
            </w:tcBorders>
          </w:tcPr>
          <w:p>
            <w:pPr>
              <w:spacing w:before="141"/>
              <w:jc w:val="right"/>
              <w:rPr>
                <w:sz w:val="18"/>
                <w:szCs w:val="18"/>
              </w:rPr>
            </w:pPr>
            <w:r>
              <w:rPr>
                <w:rFonts w:ascii="Times New Roman" w:hAnsi="Times New Roman" w:eastAsia="Times New Roman" w:cs="Times New Roman"/>
                <w:sz w:val="18"/>
                <w:szCs w:val="18"/>
                <w:b/>
                <w:bCs/>
                <w:spacing w:val="-6"/>
              </w:rPr>
              <w:t>5,645</w:t>
            </w:r>
            <w:r>
              <w:rPr>
                <w:rFonts w:ascii="Times New Roman" w:hAnsi="Times New Roman" w:eastAsia="Times New Roman" w:cs="Times New Roman"/>
                <w:sz w:val="18"/>
                <w:szCs w:val="18"/>
                <w:b/>
                <w:bCs/>
                <w:spacing w:val="10"/>
              </w:rPr>
              <w:t xml:space="preserve"> </w:t>
            </w:r>
            <w:r>
              <w:rPr>
                <w:sz w:val="18"/>
                <w:szCs w:val="18"/>
                <w:position w:val="-10"/>
              </w:rPr>
              <w:drawing>
                <wp:inline distT="0" distB="0" distL="0" distR="0">
                  <wp:extent cx="33108" cy="249936"/>
                  <wp:effectExtent l="0" t="0" r="0" b="0"/>
                  <wp:docPr id="132" name="IM 132"/>
                  <wp:cNvGraphicFramePr/>
                  <a:graphic>
                    <a:graphicData uri="http://schemas.openxmlformats.org/drawingml/2006/picture">
                      <pic:pic>
                        <pic:nvPicPr>
                          <pic:cNvPr id="132" name="IM 132"/>
                          <pic:cNvPicPr/>
                        </pic:nvPicPr>
                        <pic:blipFill>
                          <a:blip r:embed="rId67"/>
                          <a:stretch>
                            <a:fillRect/>
                          </a:stretch>
                        </pic:blipFill>
                        <pic:spPr>
                          <a:xfrm rot="0">
                            <a:off x="0" y="0"/>
                            <a:ext cx="33108" cy="249936"/>
                          </a:xfrm>
                          <a:prstGeom prst="rect">
                            <a:avLst/>
                          </a:prstGeom>
                        </pic:spPr>
                      </pic:pic>
                    </a:graphicData>
                  </a:graphic>
                </wp:inline>
              </w:drawing>
            </w:r>
          </w:p>
        </w:tc>
        <w:tc>
          <w:tcPr>
            <w:shd w:val="clear" w:fill="DBE5F1"/>
            <w:tcW w:w="867" w:type="dxa"/>
            <w:vAlign w:val="top"/>
            <w:tcBorders>
              <w:bottom w:val="single" w:color="000000" w:sz="2" w:space="0"/>
              <w:top w:val="single" w:color="000000" w:sz="2" w:space="0"/>
            </w:tcBorders>
          </w:tcPr>
          <w:p>
            <w:pPr>
              <w:spacing w:line="247" w:lineRule="auto"/>
              <w:rPr>
                <w:rFonts w:ascii="Arial"/>
                <w:sz w:val="21"/>
              </w:rPr>
            </w:pPr>
            <w:r/>
          </w:p>
          <w:p>
            <w:pPr>
              <w:ind w:left="510"/>
              <w:spacing w:before="5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0.69</w:t>
            </w:r>
          </w:p>
        </w:tc>
        <w:tc>
          <w:tcPr>
            <w:tcW w:w="1471" w:type="dxa"/>
            <w:vAlign w:val="top"/>
            <w:tcBorders>
              <w:bottom w:val="single" w:color="000000" w:sz="2" w:space="0"/>
              <w:top w:val="single" w:color="000000" w:sz="2" w:space="0"/>
            </w:tcBorders>
          </w:tcPr>
          <w:p>
            <w:pPr>
              <w:spacing w:line="247" w:lineRule="auto"/>
              <w:rPr>
                <w:rFonts w:ascii="Arial"/>
                <w:sz w:val="21"/>
              </w:rPr>
            </w:pPr>
            <w:r/>
          </w:p>
          <w:p>
            <w:pPr>
              <w:ind w:left="649"/>
              <w:spacing w:before="5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763,419</w:t>
            </w:r>
          </w:p>
        </w:tc>
        <w:tc>
          <w:tcPr>
            <w:tcW w:w="901" w:type="dxa"/>
            <w:vAlign w:val="top"/>
            <w:tcBorders>
              <w:bottom w:val="single" w:color="000000" w:sz="2" w:space="0"/>
              <w:top w:val="single" w:color="000000" w:sz="2" w:space="0"/>
            </w:tcBorders>
          </w:tcPr>
          <w:p>
            <w:pPr>
              <w:spacing w:line="247" w:lineRule="auto"/>
              <w:rPr>
                <w:rFonts w:ascii="Arial"/>
                <w:sz w:val="21"/>
              </w:rPr>
            </w:pPr>
            <w:r/>
          </w:p>
          <w:p>
            <w:pPr>
              <w:ind w:left="277"/>
              <w:spacing w:before="5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11.64</w:t>
            </w:r>
          </w:p>
        </w:tc>
        <w:tc>
          <w:tcPr>
            <w:tcW w:w="1101" w:type="dxa"/>
            <w:vAlign w:val="top"/>
            <w:gridSpan w:val="2"/>
            <w:tcBorders>
              <w:bottom w:val="single" w:color="000000" w:sz="2" w:space="0"/>
              <w:top w:val="single" w:color="000000" w:sz="2" w:space="0"/>
            </w:tcBorders>
          </w:tcPr>
          <w:p>
            <w:pPr>
              <w:spacing w:line="247" w:lineRule="auto"/>
              <w:rPr>
                <w:rFonts w:ascii="Arial"/>
                <w:sz w:val="21"/>
              </w:rPr>
            </w:pPr>
            <w:r/>
          </w:p>
          <w:p>
            <w:pPr>
              <w:ind w:left="296"/>
              <w:spacing w:before="5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10,873</w:t>
            </w:r>
          </w:p>
        </w:tc>
        <w:tc>
          <w:tcPr>
            <w:tcW w:w="727" w:type="dxa"/>
            <w:vAlign w:val="top"/>
            <w:tcBorders>
              <w:bottom w:val="single" w:color="000000" w:sz="2" w:space="0"/>
              <w:top w:val="single" w:color="000000" w:sz="2" w:space="0"/>
            </w:tcBorders>
          </w:tcPr>
          <w:p>
            <w:pPr>
              <w:spacing w:line="247" w:lineRule="auto"/>
              <w:rPr>
                <w:rFonts w:ascii="Arial"/>
                <w:sz w:val="21"/>
              </w:rPr>
            </w:pPr>
            <w:r/>
          </w:p>
          <w:p>
            <w:pPr>
              <w:ind w:left="378"/>
              <w:spacing w:before="5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1.42</w:t>
            </w:r>
          </w:p>
        </w:tc>
      </w:tr>
      <w:tr>
        <w:trPr>
          <w:trHeight w:val="397" w:hRule="atLeast"/>
        </w:trPr>
        <w:tc>
          <w:tcPr>
            <w:tcW w:w="1548" w:type="dxa"/>
            <w:vAlign w:val="top"/>
            <w:tcBorders>
              <w:bottom w:val="single" w:color="000000" w:sz="2" w:space="0"/>
              <w:top w:val="single" w:color="000000" w:sz="2" w:space="0"/>
            </w:tcBorders>
          </w:tcPr>
          <w:p>
            <w:pPr>
              <w:pStyle w:val="TableText"/>
              <w:ind w:left="79"/>
              <w:spacing w:before="129" w:line="221" w:lineRule="auto"/>
              <w:rPr>
                <w:sz w:val="18"/>
                <w:szCs w:val="18"/>
              </w:rPr>
            </w:pPr>
            <w:r>
              <w:rPr>
                <w:sz w:val="18"/>
                <w:szCs w:val="18"/>
                <w:spacing w:val="-2"/>
              </w:rPr>
              <w:t>制造业</w:t>
            </w:r>
          </w:p>
        </w:tc>
        <w:tc>
          <w:tcPr>
            <w:shd w:val="clear" w:fill="DBE5F1"/>
            <w:tcW w:w="316" w:type="dxa"/>
            <w:vAlign w:val="top"/>
            <w:tcBorders>
              <w:bottom w:val="single" w:color="000000" w:sz="2" w:space="0"/>
              <w:top w:val="single" w:color="000000" w:sz="2" w:space="0"/>
            </w:tcBorders>
          </w:tcPr>
          <w:p>
            <w:pPr>
              <w:spacing w:before="3" w:line="384" w:lineRule="exact"/>
              <w:rPr/>
            </w:pPr>
            <w:r>
              <w:rPr>
                <w:position w:val="-8"/>
              </w:rPr>
              <w:pict>
                <v:shape id="_x0000_s440" style="mso-position-vertical-relative:line;mso-position-horizontal-relative:char;width:2.9pt;height:19.7pt;" fillcolor="#DBE5F1" filled="true" stroked="false" coordsize="58,394" coordorigin="0,0" path="m0,393l57,393l57,0l0,0l0,393xe"/>
              </w:pict>
            </w:r>
          </w:p>
        </w:tc>
        <w:tc>
          <w:tcPr>
            <w:shd w:val="clear" w:fill="DBE5F1"/>
            <w:tcW w:w="951" w:type="dxa"/>
            <w:vAlign w:val="top"/>
            <w:tcBorders>
              <w:bottom w:val="single" w:color="000000" w:sz="2" w:space="0"/>
              <w:top w:val="single" w:color="000000" w:sz="2" w:space="0"/>
            </w:tcBorders>
          </w:tcPr>
          <w:p>
            <w:pPr>
              <w:spacing w:before="3"/>
              <w:jc w:val="right"/>
              <w:rPr>
                <w:sz w:val="18"/>
                <w:szCs w:val="18"/>
              </w:rPr>
            </w:pPr>
            <w:r>
              <w:rPr>
                <w:rFonts w:ascii="Times New Roman" w:hAnsi="Times New Roman" w:eastAsia="Times New Roman" w:cs="Times New Roman"/>
                <w:sz w:val="18"/>
                <w:szCs w:val="18"/>
                <w:b/>
                <w:bCs/>
                <w:spacing w:val="-1"/>
              </w:rPr>
              <w:t>836,532</w:t>
            </w:r>
            <w:r>
              <w:rPr>
                <w:rFonts w:ascii="Times New Roman" w:hAnsi="Times New Roman" w:eastAsia="Times New Roman" w:cs="Times New Roman"/>
                <w:sz w:val="18"/>
                <w:szCs w:val="18"/>
                <w:b/>
                <w:bCs/>
                <w:spacing w:val="10"/>
              </w:rPr>
              <w:t xml:space="preserve"> </w:t>
            </w:r>
            <w:r>
              <w:rPr>
                <w:sz w:val="18"/>
                <w:szCs w:val="18"/>
                <w:position w:val="-11"/>
              </w:rPr>
              <w:drawing>
                <wp:inline distT="0" distB="0" distL="0" distR="0">
                  <wp:extent cx="36512" cy="243839"/>
                  <wp:effectExtent l="0" t="0" r="0" b="0"/>
                  <wp:docPr id="134" name="IM 134"/>
                  <wp:cNvGraphicFramePr/>
                  <a:graphic>
                    <a:graphicData uri="http://schemas.openxmlformats.org/drawingml/2006/picture">
                      <pic:pic>
                        <pic:nvPicPr>
                          <pic:cNvPr id="134" name="IM 134"/>
                          <pic:cNvPicPr/>
                        </pic:nvPicPr>
                        <pic:blipFill>
                          <a:blip r:embed="rId68"/>
                          <a:stretch>
                            <a:fillRect/>
                          </a:stretch>
                        </pic:blipFill>
                        <pic:spPr>
                          <a:xfrm rot="0">
                            <a:off x="0" y="0"/>
                            <a:ext cx="36512" cy="243839"/>
                          </a:xfrm>
                          <a:prstGeom prst="rect">
                            <a:avLst/>
                          </a:prstGeom>
                        </pic:spPr>
                      </pic:pic>
                    </a:graphicData>
                  </a:graphic>
                </wp:inline>
              </w:drawing>
            </w:r>
          </w:p>
        </w:tc>
        <w:tc>
          <w:tcPr>
            <w:shd w:val="clear" w:fill="DBE5F1"/>
            <w:tcW w:w="898" w:type="dxa"/>
            <w:vAlign w:val="top"/>
            <w:tcBorders>
              <w:bottom w:val="single" w:color="000000" w:sz="2" w:space="0"/>
              <w:top w:val="single" w:color="000000" w:sz="2" w:space="0"/>
            </w:tcBorders>
          </w:tcPr>
          <w:p>
            <w:pPr>
              <w:ind w:left="401"/>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4"/>
              </w:rPr>
              <w:t>11.46</w:t>
            </w:r>
          </w:p>
        </w:tc>
        <w:tc>
          <w:tcPr>
            <w:shd w:val="clear" w:fill="DBE5F1"/>
            <w:tcW w:w="990" w:type="dxa"/>
            <w:vAlign w:val="top"/>
            <w:tcBorders>
              <w:bottom w:val="single" w:color="000000" w:sz="2" w:space="0"/>
              <w:top w:val="single" w:color="000000" w:sz="2" w:space="0"/>
            </w:tcBorders>
          </w:tcPr>
          <w:p>
            <w:pPr>
              <w:spacing w:before="3"/>
              <w:jc w:val="right"/>
              <w:rPr>
                <w:sz w:val="18"/>
                <w:szCs w:val="18"/>
              </w:rPr>
            </w:pPr>
            <w:r>
              <w:rPr>
                <w:rFonts w:ascii="Times New Roman" w:hAnsi="Times New Roman" w:eastAsia="Times New Roman" w:cs="Times New Roman"/>
                <w:sz w:val="18"/>
                <w:szCs w:val="18"/>
                <w:b/>
                <w:bCs/>
                <w:spacing w:val="-5"/>
              </w:rPr>
              <w:t>21,934</w:t>
            </w:r>
            <w:r>
              <w:rPr>
                <w:rFonts w:ascii="Times New Roman" w:hAnsi="Times New Roman" w:eastAsia="Times New Roman" w:cs="Times New Roman"/>
                <w:sz w:val="18"/>
                <w:szCs w:val="18"/>
                <w:b/>
                <w:bCs/>
                <w:spacing w:val="10"/>
              </w:rPr>
              <w:t xml:space="preserve"> </w:t>
            </w:r>
            <w:r>
              <w:rPr>
                <w:sz w:val="18"/>
                <w:szCs w:val="18"/>
                <w:position w:val="-10"/>
              </w:rPr>
              <w:drawing>
                <wp:inline distT="0" distB="0" distL="0" distR="0">
                  <wp:extent cx="33401" cy="243839"/>
                  <wp:effectExtent l="0" t="0" r="0" b="0"/>
                  <wp:docPr id="136" name="IM 136"/>
                  <wp:cNvGraphicFramePr/>
                  <a:graphic>
                    <a:graphicData uri="http://schemas.openxmlformats.org/drawingml/2006/picture">
                      <pic:pic>
                        <pic:nvPicPr>
                          <pic:cNvPr id="136" name="IM 136"/>
                          <pic:cNvPicPr/>
                        </pic:nvPicPr>
                        <pic:blipFill>
                          <a:blip r:embed="rId69"/>
                          <a:stretch>
                            <a:fillRect/>
                          </a:stretch>
                        </pic:blipFill>
                        <pic:spPr>
                          <a:xfrm rot="0">
                            <a:off x="0" y="0"/>
                            <a:ext cx="33401" cy="243839"/>
                          </a:xfrm>
                          <a:prstGeom prst="rect">
                            <a:avLst/>
                          </a:prstGeom>
                        </pic:spPr>
                      </pic:pic>
                    </a:graphicData>
                  </a:graphic>
                </wp:inline>
              </w:drawing>
            </w:r>
          </w:p>
        </w:tc>
        <w:tc>
          <w:tcPr>
            <w:shd w:val="clear" w:fill="DBE5F1"/>
            <w:tcW w:w="867" w:type="dxa"/>
            <w:vAlign w:val="top"/>
            <w:tcBorders>
              <w:bottom w:val="single" w:color="000000" w:sz="2" w:space="0"/>
              <w:top w:val="single" w:color="000000" w:sz="2" w:space="0"/>
            </w:tcBorders>
          </w:tcPr>
          <w:p>
            <w:pPr>
              <w:ind w:left="507"/>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2.62</w:t>
            </w:r>
          </w:p>
        </w:tc>
        <w:tc>
          <w:tcPr>
            <w:tcW w:w="1471" w:type="dxa"/>
            <w:vAlign w:val="top"/>
            <w:tcBorders>
              <w:bottom w:val="single" w:color="000000" w:sz="2" w:space="0"/>
              <w:top w:val="single" w:color="000000" w:sz="2" w:space="0"/>
            </w:tcBorders>
          </w:tcPr>
          <w:p>
            <w:pPr>
              <w:ind w:left="649"/>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732,565</w:t>
            </w:r>
          </w:p>
        </w:tc>
        <w:tc>
          <w:tcPr>
            <w:tcW w:w="901" w:type="dxa"/>
            <w:vAlign w:val="top"/>
            <w:tcBorders>
              <w:bottom w:val="single" w:color="000000" w:sz="2" w:space="0"/>
              <w:top w:val="single" w:color="000000" w:sz="2" w:space="0"/>
            </w:tcBorders>
          </w:tcPr>
          <w:p>
            <w:pPr>
              <w:ind w:left="277"/>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11.16</w:t>
            </w:r>
          </w:p>
        </w:tc>
        <w:tc>
          <w:tcPr>
            <w:tcW w:w="1101" w:type="dxa"/>
            <w:vAlign w:val="top"/>
            <w:gridSpan w:val="2"/>
            <w:tcBorders>
              <w:bottom w:val="single" w:color="000000" w:sz="2" w:space="0"/>
              <w:top w:val="single" w:color="000000" w:sz="2" w:space="0"/>
            </w:tcBorders>
          </w:tcPr>
          <w:p>
            <w:pPr>
              <w:ind w:left="278"/>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28,305</w:t>
            </w:r>
          </w:p>
        </w:tc>
        <w:tc>
          <w:tcPr>
            <w:tcW w:w="727" w:type="dxa"/>
            <w:vAlign w:val="top"/>
            <w:tcBorders>
              <w:bottom w:val="single" w:color="000000" w:sz="2" w:space="0"/>
              <w:top w:val="single" w:color="000000" w:sz="2" w:space="0"/>
            </w:tcBorders>
          </w:tcPr>
          <w:p>
            <w:pPr>
              <w:ind w:left="364"/>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3.86</w:t>
            </w:r>
          </w:p>
        </w:tc>
      </w:tr>
      <w:tr>
        <w:trPr>
          <w:trHeight w:val="678" w:hRule="atLeast"/>
        </w:trPr>
        <w:tc>
          <w:tcPr>
            <w:tcW w:w="1548" w:type="dxa"/>
            <w:vAlign w:val="top"/>
            <w:tcBorders>
              <w:bottom w:val="single" w:color="000000" w:sz="2" w:space="0"/>
              <w:top w:val="single" w:color="000000" w:sz="2" w:space="0"/>
            </w:tcBorders>
          </w:tcPr>
          <w:p>
            <w:pPr>
              <w:pStyle w:val="TableText"/>
              <w:ind w:left="78" w:right="216" w:firstLine="2"/>
              <w:spacing w:before="130" w:line="259" w:lineRule="auto"/>
              <w:rPr>
                <w:sz w:val="18"/>
                <w:szCs w:val="18"/>
              </w:rPr>
            </w:pPr>
            <w:r>
              <w:rPr>
                <w:sz w:val="18"/>
                <w:szCs w:val="18"/>
                <w:spacing w:val="-2"/>
              </w:rPr>
              <w:t>租赁和商务服务</w:t>
            </w:r>
            <w:r>
              <w:rPr>
                <w:sz w:val="18"/>
                <w:szCs w:val="18"/>
                <w:spacing w:val="4"/>
              </w:rPr>
              <w:t xml:space="preserve"> </w:t>
            </w:r>
            <w:r>
              <w:rPr>
                <w:sz w:val="18"/>
                <w:szCs w:val="18"/>
              </w:rPr>
              <w:t>业</w:t>
            </w:r>
          </w:p>
        </w:tc>
        <w:tc>
          <w:tcPr>
            <w:shd w:val="clear" w:fill="DBE5F1"/>
            <w:tcW w:w="1267" w:type="dxa"/>
            <w:vAlign w:val="top"/>
            <w:gridSpan w:val="2"/>
            <w:tcBorders>
              <w:bottom w:val="single" w:color="000000" w:sz="2" w:space="0"/>
              <w:top w:val="single" w:color="000000" w:sz="2" w:space="0"/>
            </w:tcBorders>
          </w:tcPr>
          <w:p>
            <w:pPr>
              <w:spacing w:before="143"/>
              <w:jc w:val="right"/>
              <w:rPr>
                <w:sz w:val="18"/>
                <w:szCs w:val="18"/>
              </w:rPr>
            </w:pPr>
            <w:r>
              <w:rPr>
                <w:rFonts w:ascii="Times New Roman" w:hAnsi="Times New Roman" w:eastAsia="Times New Roman" w:cs="Times New Roman"/>
                <w:sz w:val="18"/>
                <w:szCs w:val="18"/>
                <w:b/>
                <w:bCs/>
                <w:spacing w:val="-1"/>
              </w:rPr>
              <w:t>729,818</w:t>
            </w:r>
            <w:r>
              <w:rPr>
                <w:rFonts w:ascii="Times New Roman" w:hAnsi="Times New Roman" w:eastAsia="Times New Roman" w:cs="Times New Roman"/>
                <w:sz w:val="18"/>
                <w:szCs w:val="18"/>
                <w:b/>
                <w:bCs/>
                <w:spacing w:val="10"/>
              </w:rPr>
              <w:t xml:space="preserve"> </w:t>
            </w:r>
            <w:r>
              <w:rPr>
                <w:sz w:val="18"/>
                <w:szCs w:val="18"/>
                <w:position w:val="-11"/>
              </w:rPr>
              <w:drawing>
                <wp:inline distT="0" distB="0" distL="0" distR="0">
                  <wp:extent cx="36512" cy="251460"/>
                  <wp:effectExtent l="0" t="0" r="0" b="0"/>
                  <wp:docPr id="138" name="IM 138"/>
                  <wp:cNvGraphicFramePr/>
                  <a:graphic>
                    <a:graphicData uri="http://schemas.openxmlformats.org/drawingml/2006/picture">
                      <pic:pic>
                        <pic:nvPicPr>
                          <pic:cNvPr id="138" name="IM 138"/>
                          <pic:cNvPicPr/>
                        </pic:nvPicPr>
                        <pic:blipFill>
                          <a:blip r:embed="rId70"/>
                          <a:stretch>
                            <a:fillRect/>
                          </a:stretch>
                        </pic:blipFill>
                        <pic:spPr>
                          <a:xfrm rot="0">
                            <a:off x="0" y="0"/>
                            <a:ext cx="36512" cy="251460"/>
                          </a:xfrm>
                          <a:prstGeom prst="rect">
                            <a:avLst/>
                          </a:prstGeom>
                        </pic:spPr>
                      </pic:pic>
                    </a:graphicData>
                  </a:graphic>
                </wp:inline>
              </w:drawing>
            </w:r>
          </w:p>
        </w:tc>
        <w:tc>
          <w:tcPr>
            <w:shd w:val="clear" w:fill="DBE5F1"/>
            <w:tcW w:w="898" w:type="dxa"/>
            <w:vAlign w:val="top"/>
            <w:tcBorders>
              <w:bottom w:val="single" w:color="000000" w:sz="2" w:space="0"/>
              <w:top w:val="single" w:color="000000" w:sz="2" w:space="0"/>
            </w:tcBorders>
          </w:tcPr>
          <w:p>
            <w:pPr>
              <w:spacing w:line="249" w:lineRule="auto"/>
              <w:rPr>
                <w:rFonts w:ascii="Arial"/>
                <w:sz w:val="21"/>
              </w:rPr>
            </w:pPr>
            <w:r/>
          </w:p>
          <w:p>
            <w:pPr>
              <w:ind w:left="392"/>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10.00</w:t>
            </w:r>
          </w:p>
        </w:tc>
        <w:tc>
          <w:tcPr>
            <w:shd w:val="clear" w:fill="DBE5F1"/>
            <w:tcW w:w="990" w:type="dxa"/>
            <w:vAlign w:val="top"/>
            <w:tcBorders>
              <w:bottom w:val="single" w:color="000000" w:sz="2" w:space="0"/>
              <w:top w:val="single" w:color="000000" w:sz="2" w:space="0"/>
            </w:tcBorders>
          </w:tcPr>
          <w:p>
            <w:pPr>
              <w:spacing w:before="143"/>
              <w:jc w:val="right"/>
              <w:rPr>
                <w:sz w:val="18"/>
                <w:szCs w:val="18"/>
              </w:rPr>
            </w:pPr>
            <w:r>
              <w:rPr>
                <w:rFonts w:ascii="Times New Roman" w:hAnsi="Times New Roman" w:eastAsia="Times New Roman" w:cs="Times New Roman"/>
                <w:sz w:val="18"/>
                <w:szCs w:val="18"/>
                <w:b/>
                <w:bCs/>
                <w:spacing w:val="-6"/>
              </w:rPr>
              <w:t>9,079</w:t>
            </w:r>
            <w:r>
              <w:rPr>
                <w:rFonts w:ascii="Times New Roman" w:hAnsi="Times New Roman" w:eastAsia="Times New Roman" w:cs="Times New Roman"/>
                <w:sz w:val="18"/>
                <w:szCs w:val="18"/>
                <w:b/>
                <w:bCs/>
                <w:spacing w:val="11"/>
              </w:rPr>
              <w:t xml:space="preserve"> </w:t>
            </w:r>
            <w:r>
              <w:rPr>
                <w:sz w:val="18"/>
                <w:szCs w:val="18"/>
                <w:position w:val="-10"/>
              </w:rPr>
              <w:drawing>
                <wp:inline distT="0" distB="0" distL="0" distR="0">
                  <wp:extent cx="33110" cy="251460"/>
                  <wp:effectExtent l="0" t="0" r="0" b="0"/>
                  <wp:docPr id="140" name="IM 140"/>
                  <wp:cNvGraphicFramePr/>
                  <a:graphic>
                    <a:graphicData uri="http://schemas.openxmlformats.org/drawingml/2006/picture">
                      <pic:pic>
                        <pic:nvPicPr>
                          <pic:cNvPr id="140" name="IM 140"/>
                          <pic:cNvPicPr/>
                        </pic:nvPicPr>
                        <pic:blipFill>
                          <a:blip r:embed="rId71"/>
                          <a:stretch>
                            <a:fillRect/>
                          </a:stretch>
                        </pic:blipFill>
                        <pic:spPr>
                          <a:xfrm rot="0">
                            <a:off x="0" y="0"/>
                            <a:ext cx="33110" cy="251460"/>
                          </a:xfrm>
                          <a:prstGeom prst="rect">
                            <a:avLst/>
                          </a:prstGeom>
                        </pic:spPr>
                      </pic:pic>
                    </a:graphicData>
                  </a:graphic>
                </wp:inline>
              </w:drawing>
            </w:r>
          </w:p>
        </w:tc>
        <w:tc>
          <w:tcPr>
            <w:shd w:val="clear" w:fill="DBE5F1"/>
            <w:tcW w:w="867" w:type="dxa"/>
            <w:vAlign w:val="top"/>
            <w:tcBorders>
              <w:bottom w:val="single" w:color="000000" w:sz="2" w:space="0"/>
              <w:top w:val="single" w:color="000000" w:sz="2" w:space="0"/>
            </w:tcBorders>
          </w:tcPr>
          <w:p>
            <w:pPr>
              <w:spacing w:line="249" w:lineRule="auto"/>
              <w:rPr>
                <w:rFonts w:ascii="Arial"/>
                <w:sz w:val="21"/>
              </w:rPr>
            </w:pPr>
            <w:r/>
          </w:p>
          <w:p>
            <w:pPr>
              <w:ind w:left="515"/>
              <w:spacing w:before="5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1.24</w:t>
            </w:r>
          </w:p>
        </w:tc>
        <w:tc>
          <w:tcPr>
            <w:tcW w:w="1471" w:type="dxa"/>
            <w:vAlign w:val="top"/>
            <w:tcBorders>
              <w:bottom w:val="single" w:color="000000" w:sz="2" w:space="0"/>
              <w:top w:val="single" w:color="000000" w:sz="2" w:space="0"/>
            </w:tcBorders>
          </w:tcPr>
          <w:p>
            <w:pPr>
              <w:spacing w:line="249" w:lineRule="auto"/>
              <w:rPr>
                <w:rFonts w:ascii="Arial"/>
                <w:sz w:val="21"/>
              </w:rPr>
            </w:pPr>
            <w:r/>
          </w:p>
          <w:p>
            <w:pPr>
              <w:ind w:left="650"/>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650,742</w:t>
            </w:r>
          </w:p>
        </w:tc>
        <w:tc>
          <w:tcPr>
            <w:tcW w:w="901" w:type="dxa"/>
            <w:vAlign w:val="top"/>
            <w:tcBorders>
              <w:bottom w:val="single" w:color="000000" w:sz="2" w:space="0"/>
              <w:top w:val="single" w:color="000000" w:sz="2" w:space="0"/>
            </w:tcBorders>
          </w:tcPr>
          <w:p>
            <w:pPr>
              <w:spacing w:line="249" w:lineRule="auto"/>
              <w:rPr>
                <w:rFonts w:ascii="Arial"/>
                <w:sz w:val="21"/>
              </w:rPr>
            </w:pPr>
            <w:r/>
          </w:p>
          <w:p>
            <w:pPr>
              <w:ind w:left="347"/>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9.92</w:t>
            </w:r>
          </w:p>
        </w:tc>
        <w:tc>
          <w:tcPr>
            <w:tcW w:w="1101" w:type="dxa"/>
            <w:vAlign w:val="top"/>
            <w:gridSpan w:val="2"/>
            <w:tcBorders>
              <w:bottom w:val="single" w:color="000000" w:sz="2" w:space="0"/>
              <w:top w:val="single" w:color="000000" w:sz="2" w:space="0"/>
            </w:tcBorders>
          </w:tcPr>
          <w:p>
            <w:pPr>
              <w:spacing w:line="249" w:lineRule="auto"/>
              <w:rPr>
                <w:rFonts w:ascii="Arial"/>
                <w:sz w:val="21"/>
              </w:rPr>
            </w:pPr>
            <w:r/>
          </w:p>
          <w:p>
            <w:pPr>
              <w:ind w:left="303"/>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11,517</w:t>
            </w:r>
          </w:p>
        </w:tc>
        <w:tc>
          <w:tcPr>
            <w:tcW w:w="727" w:type="dxa"/>
            <w:vAlign w:val="top"/>
            <w:tcBorders>
              <w:bottom w:val="single" w:color="000000" w:sz="2" w:space="0"/>
              <w:top w:val="single" w:color="000000" w:sz="2" w:space="0"/>
            </w:tcBorders>
          </w:tcPr>
          <w:p>
            <w:pPr>
              <w:spacing w:line="249" w:lineRule="auto"/>
              <w:rPr>
                <w:rFonts w:ascii="Arial"/>
                <w:sz w:val="21"/>
              </w:rPr>
            </w:pPr>
            <w:r/>
          </w:p>
          <w:p>
            <w:pPr>
              <w:ind w:left="378"/>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1.77</w:t>
            </w:r>
          </w:p>
        </w:tc>
      </w:tr>
      <w:tr>
        <w:trPr>
          <w:trHeight w:val="403" w:hRule="atLeast"/>
        </w:trPr>
        <w:tc>
          <w:tcPr>
            <w:tcW w:w="1548" w:type="dxa"/>
            <w:vAlign w:val="top"/>
            <w:tcBorders>
              <w:bottom w:val="single" w:color="000000" w:sz="2" w:space="0"/>
              <w:top w:val="single" w:color="000000" w:sz="2" w:space="0"/>
            </w:tcBorders>
          </w:tcPr>
          <w:p>
            <w:pPr>
              <w:pStyle w:val="TableText"/>
              <w:ind w:left="79"/>
              <w:spacing w:before="132" w:line="220" w:lineRule="auto"/>
              <w:rPr>
                <w:sz w:val="18"/>
                <w:szCs w:val="18"/>
              </w:rPr>
            </w:pPr>
            <w:r>
              <w:rPr>
                <w:sz w:val="18"/>
                <w:szCs w:val="18"/>
                <w:spacing w:val="-2"/>
              </w:rPr>
              <w:t>房地产业</w:t>
            </w:r>
          </w:p>
        </w:tc>
        <w:tc>
          <w:tcPr>
            <w:shd w:val="clear" w:fill="DBE5F1"/>
            <w:tcW w:w="316" w:type="dxa"/>
            <w:vAlign w:val="top"/>
            <w:tcBorders>
              <w:bottom w:val="single" w:color="000000" w:sz="2" w:space="0"/>
              <w:top w:val="single" w:color="000000" w:sz="2" w:space="0"/>
            </w:tcBorders>
          </w:tcPr>
          <w:p>
            <w:pPr>
              <w:spacing w:before="5" w:line="388" w:lineRule="exact"/>
              <w:rPr/>
            </w:pPr>
            <w:r>
              <w:rPr>
                <w:position w:val="-8"/>
              </w:rPr>
              <w:pict>
                <v:shape id="_x0000_s442" style="mso-position-vertical-relative:line;mso-position-horizontal-relative:char;width:2.9pt;height:19.75pt;" fillcolor="#DBE5F1" filled="true" stroked="false" coordsize="58,395" coordorigin="0,0" path="m0,394l57,394l57,0l0,0l0,394xe"/>
              </w:pict>
            </w:r>
          </w:p>
        </w:tc>
        <w:tc>
          <w:tcPr>
            <w:shd w:val="clear" w:fill="DBE5F1"/>
            <w:tcW w:w="951" w:type="dxa"/>
            <w:vAlign w:val="top"/>
            <w:tcBorders>
              <w:bottom w:val="single" w:color="000000" w:sz="2" w:space="0"/>
              <w:top w:val="single" w:color="000000" w:sz="2" w:space="0"/>
            </w:tcBorders>
          </w:tcPr>
          <w:p>
            <w:pPr>
              <w:spacing w:before="5"/>
              <w:jc w:val="right"/>
              <w:rPr>
                <w:sz w:val="18"/>
                <w:szCs w:val="18"/>
              </w:rPr>
            </w:pPr>
            <w:r>
              <w:rPr>
                <w:rFonts w:ascii="Times New Roman" w:hAnsi="Times New Roman" w:eastAsia="Times New Roman" w:cs="Times New Roman"/>
                <w:sz w:val="18"/>
                <w:szCs w:val="18"/>
                <w:b/>
                <w:bCs/>
                <w:spacing w:val="-1"/>
              </w:rPr>
              <w:t>519,857</w:t>
            </w:r>
            <w:r>
              <w:rPr>
                <w:rFonts w:ascii="Times New Roman" w:hAnsi="Times New Roman" w:eastAsia="Times New Roman" w:cs="Times New Roman"/>
                <w:sz w:val="18"/>
                <w:szCs w:val="18"/>
                <w:b/>
                <w:bCs/>
                <w:spacing w:val="10"/>
              </w:rPr>
              <w:t xml:space="preserve"> </w:t>
            </w:r>
            <w:r>
              <w:rPr>
                <w:sz w:val="18"/>
                <w:szCs w:val="18"/>
                <w:position w:val="-11"/>
              </w:rPr>
              <w:drawing>
                <wp:inline distT="0" distB="0" distL="0" distR="0">
                  <wp:extent cx="36512" cy="246303"/>
                  <wp:effectExtent l="0" t="0" r="0" b="0"/>
                  <wp:docPr id="142" name="IM 142"/>
                  <wp:cNvGraphicFramePr/>
                  <a:graphic>
                    <a:graphicData uri="http://schemas.openxmlformats.org/drawingml/2006/picture">
                      <pic:pic>
                        <pic:nvPicPr>
                          <pic:cNvPr id="142" name="IM 142"/>
                          <pic:cNvPicPr/>
                        </pic:nvPicPr>
                        <pic:blipFill>
                          <a:blip r:embed="rId72"/>
                          <a:stretch>
                            <a:fillRect/>
                          </a:stretch>
                        </pic:blipFill>
                        <pic:spPr>
                          <a:xfrm rot="0">
                            <a:off x="0" y="0"/>
                            <a:ext cx="36512" cy="246303"/>
                          </a:xfrm>
                          <a:prstGeom prst="rect">
                            <a:avLst/>
                          </a:prstGeom>
                        </pic:spPr>
                      </pic:pic>
                    </a:graphicData>
                  </a:graphic>
                </wp:inline>
              </w:drawing>
            </w:r>
          </w:p>
        </w:tc>
        <w:tc>
          <w:tcPr>
            <w:shd w:val="clear" w:fill="DBE5F1"/>
            <w:tcW w:w="898" w:type="dxa"/>
            <w:vAlign w:val="top"/>
            <w:tcBorders>
              <w:bottom w:val="single" w:color="000000" w:sz="2" w:space="0"/>
              <w:top w:val="single" w:color="000000" w:sz="2" w:space="0"/>
            </w:tcBorders>
          </w:tcPr>
          <w:p>
            <w:pPr>
              <w:ind w:left="475"/>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7.13</w:t>
            </w:r>
          </w:p>
        </w:tc>
        <w:tc>
          <w:tcPr>
            <w:shd w:val="clear" w:fill="DBE5F1"/>
            <w:tcW w:w="990" w:type="dxa"/>
            <w:vAlign w:val="top"/>
            <w:tcBorders>
              <w:bottom w:val="single" w:color="000000" w:sz="2" w:space="0"/>
              <w:top w:val="single" w:color="000000" w:sz="2" w:space="0"/>
            </w:tcBorders>
          </w:tcPr>
          <w:p>
            <w:pPr>
              <w:spacing w:before="5"/>
              <w:jc w:val="right"/>
              <w:rPr>
                <w:sz w:val="18"/>
                <w:szCs w:val="18"/>
              </w:rPr>
            </w:pPr>
            <w:r>
              <w:rPr>
                <w:rFonts w:ascii="Times New Roman" w:hAnsi="Times New Roman" w:eastAsia="Times New Roman" w:cs="Times New Roman"/>
                <w:sz w:val="18"/>
                <w:szCs w:val="18"/>
                <w:b/>
                <w:bCs/>
                <w:spacing w:val="-6"/>
              </w:rPr>
              <w:t>14,560</w:t>
            </w:r>
            <w:r>
              <w:rPr>
                <w:rFonts w:ascii="Times New Roman" w:hAnsi="Times New Roman" w:eastAsia="Times New Roman" w:cs="Times New Roman"/>
                <w:sz w:val="18"/>
                <w:szCs w:val="18"/>
                <w:b/>
                <w:bCs/>
                <w:spacing w:val="9"/>
              </w:rPr>
              <w:t xml:space="preserve"> </w:t>
            </w:r>
            <w:r>
              <w:rPr>
                <w:sz w:val="18"/>
                <w:szCs w:val="18"/>
                <w:position w:val="-10"/>
              </w:rPr>
              <w:drawing>
                <wp:inline distT="0" distB="0" distL="0" distR="0">
                  <wp:extent cx="33380" cy="246303"/>
                  <wp:effectExtent l="0" t="0" r="0" b="0"/>
                  <wp:docPr id="144" name="IM 144"/>
                  <wp:cNvGraphicFramePr/>
                  <a:graphic>
                    <a:graphicData uri="http://schemas.openxmlformats.org/drawingml/2006/picture">
                      <pic:pic>
                        <pic:nvPicPr>
                          <pic:cNvPr id="144" name="IM 144"/>
                          <pic:cNvPicPr/>
                        </pic:nvPicPr>
                        <pic:blipFill>
                          <a:blip r:embed="rId73"/>
                          <a:stretch>
                            <a:fillRect/>
                          </a:stretch>
                        </pic:blipFill>
                        <pic:spPr>
                          <a:xfrm rot="0">
                            <a:off x="0" y="0"/>
                            <a:ext cx="33380" cy="246303"/>
                          </a:xfrm>
                          <a:prstGeom prst="rect">
                            <a:avLst/>
                          </a:prstGeom>
                        </pic:spPr>
                      </pic:pic>
                    </a:graphicData>
                  </a:graphic>
                </wp:inline>
              </w:drawing>
            </w:r>
          </w:p>
        </w:tc>
        <w:tc>
          <w:tcPr>
            <w:shd w:val="clear" w:fill="DBE5F1"/>
            <w:tcW w:w="867" w:type="dxa"/>
            <w:vAlign w:val="top"/>
            <w:tcBorders>
              <w:bottom w:val="single" w:color="000000" w:sz="2" w:space="0"/>
              <w:top w:val="single" w:color="000000" w:sz="2" w:space="0"/>
            </w:tcBorders>
          </w:tcPr>
          <w:p>
            <w:pPr>
              <w:ind w:left="507"/>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2.80</w:t>
            </w:r>
          </w:p>
        </w:tc>
        <w:tc>
          <w:tcPr>
            <w:tcW w:w="1471" w:type="dxa"/>
            <w:vAlign w:val="top"/>
            <w:tcBorders>
              <w:bottom w:val="single" w:color="000000" w:sz="2" w:space="0"/>
              <w:top w:val="single" w:color="000000" w:sz="2" w:space="0"/>
            </w:tcBorders>
          </w:tcPr>
          <w:p>
            <w:pPr>
              <w:ind w:left="645"/>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419,820</w:t>
            </w:r>
          </w:p>
        </w:tc>
        <w:tc>
          <w:tcPr>
            <w:tcW w:w="901" w:type="dxa"/>
            <w:vAlign w:val="top"/>
            <w:tcBorders>
              <w:bottom w:val="single" w:color="000000" w:sz="2" w:space="0"/>
              <w:top w:val="single" w:color="000000" w:sz="2" w:space="0"/>
            </w:tcBorders>
          </w:tcPr>
          <w:p>
            <w:pPr>
              <w:ind w:left="348"/>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6.40</w:t>
            </w:r>
          </w:p>
        </w:tc>
        <w:tc>
          <w:tcPr>
            <w:tcW w:w="1101" w:type="dxa"/>
            <w:vAlign w:val="top"/>
            <w:gridSpan w:val="2"/>
            <w:tcBorders>
              <w:bottom w:val="single" w:color="000000" w:sz="2" w:space="0"/>
              <w:top w:val="single" w:color="000000" w:sz="2" w:space="0"/>
            </w:tcBorders>
          </w:tcPr>
          <w:p>
            <w:pPr>
              <w:ind w:left="372"/>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5,260</w:t>
            </w:r>
          </w:p>
        </w:tc>
        <w:tc>
          <w:tcPr>
            <w:tcW w:w="727" w:type="dxa"/>
            <w:vAlign w:val="top"/>
            <w:tcBorders>
              <w:bottom w:val="single" w:color="000000" w:sz="2" w:space="0"/>
              <w:top w:val="single" w:color="000000" w:sz="2" w:space="0"/>
            </w:tcBorders>
          </w:tcPr>
          <w:p>
            <w:pPr>
              <w:ind w:left="378"/>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1.25</w:t>
            </w:r>
          </w:p>
        </w:tc>
      </w:tr>
    </w:tbl>
    <w:p>
      <w:pPr>
        <w:pStyle w:val="BodyText"/>
        <w:rPr/>
      </w:pPr>
      <w:r/>
    </w:p>
    <w:p>
      <w:pPr>
        <w:sectPr>
          <w:footerReference w:type="default" r:id="rId58"/>
          <w:pgSz w:w="11907" w:h="16839"/>
          <w:pgMar w:top="1132" w:right="1075" w:bottom="1375" w:left="1060" w:header="0" w:footer="1211" w:gutter="0"/>
        </w:sectPr>
        <w:rPr/>
      </w:pPr>
    </w:p>
    <w:tbl>
      <w:tblPr>
        <w:tblStyle w:val="TableNormal"/>
        <w:tblW w:w="9798"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519"/>
        <w:gridCol w:w="71"/>
        <w:gridCol w:w="1168"/>
        <w:gridCol w:w="930"/>
        <w:gridCol w:w="1019"/>
        <w:gridCol w:w="832"/>
        <w:gridCol w:w="361"/>
        <w:gridCol w:w="1107"/>
        <w:gridCol w:w="950"/>
        <w:gridCol w:w="1100"/>
        <w:gridCol w:w="741"/>
      </w:tblGrid>
      <w:tr>
        <w:trPr>
          <w:trHeight w:val="686" w:hRule="atLeast"/>
        </w:trPr>
        <w:tc>
          <w:tcPr>
            <w:tcW w:w="1519" w:type="dxa"/>
            <w:vAlign w:val="top"/>
            <w:tcBorders>
              <w:bottom w:val="single" w:color="000000" w:sz="2" w:space="0"/>
              <w:top w:val="single" w:color="000000" w:sz="2" w:space="0"/>
            </w:tcBorders>
          </w:tcPr>
          <w:p>
            <w:pPr>
              <w:pStyle w:val="TableText"/>
              <w:ind w:left="81" w:right="28"/>
              <w:spacing w:before="133" w:line="253" w:lineRule="auto"/>
              <w:rPr>
                <w:sz w:val="18"/>
                <w:szCs w:val="18"/>
              </w:rPr>
            </w:pPr>
            <w:r>
              <w:pict>
                <v:shape id="_x0000_s444" style="position:absolute;margin-left:398.859pt;margin-top:571.569pt;mso-position-vertical-relative:page;mso-position-horizontal-relative:page;width:76.25pt;height:12.75pt;z-index:251916288;" o:allowincell="f" filled="false" stroked="false" type="#_x0000_t202">
                  <v:fill on="false"/>
                  <v:stroke on="false"/>
                  <v:path/>
                  <v:imagedata o:title=""/>
                  <o:lock v:ext="edit" aspectratio="false"/>
                  <v:textbox inset="0mm,0mm,0mm,0mm">
                    <w:txbxContent>
                      <w:p>
                        <w:pPr>
                          <w:spacing w:before="20" w:line="220" w:lineRule="auto"/>
                          <w:jc w:val="right"/>
                          <w:rPr>
                            <w:rFonts w:ascii="SimSun" w:hAnsi="SimSun" w:eastAsia="SimSun" w:cs="SimSun"/>
                            <w:sz w:val="18"/>
                            <w:szCs w:val="18"/>
                          </w:rPr>
                        </w:pPr>
                        <w:r>
                          <w:rPr>
                            <w:rFonts w:ascii="Times New Roman" w:hAnsi="Times New Roman" w:eastAsia="Times New Roman" w:cs="Times New Roman"/>
                            <w:sz w:val="18"/>
                            <w:szCs w:val="18"/>
                            <w:spacing w:val="-8"/>
                          </w:rPr>
                          <w:t>2021</w:t>
                        </w:r>
                        <w:r>
                          <w:rPr>
                            <w:rFonts w:ascii="Times New Roman" w:hAnsi="Times New Roman" w:eastAsia="Times New Roman" w:cs="Times New Roman"/>
                            <w:sz w:val="18"/>
                            <w:szCs w:val="18"/>
                            <w:spacing w:val="16"/>
                            <w:w w:val="101"/>
                          </w:rPr>
                          <w:t xml:space="preserve"> </w:t>
                        </w:r>
                        <w:r>
                          <w:rPr>
                            <w:rFonts w:ascii="SimSun" w:hAnsi="SimSun" w:eastAsia="SimSun" w:cs="SimSun"/>
                            <w:sz w:val="18"/>
                            <w:szCs w:val="18"/>
                            <w:spacing w:val="-8"/>
                          </w:rPr>
                          <w:t>年</w:t>
                        </w:r>
                        <w:r>
                          <w:rPr>
                            <w:rFonts w:ascii="SimSun" w:hAnsi="SimSun" w:eastAsia="SimSun" w:cs="SimSun"/>
                            <w:sz w:val="18"/>
                            <w:szCs w:val="18"/>
                            <w:spacing w:val="-26"/>
                          </w:rPr>
                          <w:t xml:space="preserve"> </w:t>
                        </w:r>
                        <w:r>
                          <w:rPr>
                            <w:rFonts w:ascii="Times New Roman" w:hAnsi="Times New Roman" w:eastAsia="Times New Roman" w:cs="Times New Roman"/>
                            <w:sz w:val="18"/>
                            <w:szCs w:val="18"/>
                            <w:spacing w:val="-8"/>
                          </w:rPr>
                          <w:t>12</w:t>
                        </w:r>
                        <w:r>
                          <w:rPr>
                            <w:rFonts w:ascii="Times New Roman" w:hAnsi="Times New Roman" w:eastAsia="Times New Roman" w:cs="Times New Roman"/>
                            <w:sz w:val="18"/>
                            <w:szCs w:val="18"/>
                            <w:spacing w:val="13"/>
                            <w:w w:val="101"/>
                          </w:rPr>
                          <w:t xml:space="preserve"> </w:t>
                        </w:r>
                        <w:r>
                          <w:rPr>
                            <w:rFonts w:ascii="SimSun" w:hAnsi="SimSun" w:eastAsia="SimSun" w:cs="SimSun"/>
                            <w:sz w:val="18"/>
                            <w:szCs w:val="18"/>
                            <w:spacing w:val="-8"/>
                          </w:rPr>
                          <w:t>月</w:t>
                        </w:r>
                        <w:r>
                          <w:rPr>
                            <w:rFonts w:ascii="SimSun" w:hAnsi="SimSun" w:eastAsia="SimSun" w:cs="SimSun"/>
                            <w:sz w:val="18"/>
                            <w:szCs w:val="18"/>
                            <w:spacing w:val="-37"/>
                          </w:rPr>
                          <w:t xml:space="preserve"> </w:t>
                        </w:r>
                        <w:r>
                          <w:rPr>
                            <w:rFonts w:ascii="Times New Roman" w:hAnsi="Times New Roman" w:eastAsia="Times New Roman" w:cs="Times New Roman"/>
                            <w:sz w:val="18"/>
                            <w:szCs w:val="18"/>
                            <w:spacing w:val="-8"/>
                          </w:rPr>
                          <w:t>31  </w:t>
                        </w:r>
                        <w:r>
                          <w:rPr>
                            <w:rFonts w:ascii="SimSun" w:hAnsi="SimSun" w:eastAsia="SimSun" w:cs="SimSun"/>
                            <w:sz w:val="18"/>
                            <w:szCs w:val="18"/>
                            <w:spacing w:val="-8"/>
                          </w:rPr>
                          <w:t>日</w:t>
                        </w:r>
                      </w:p>
                    </w:txbxContent>
                  </v:textbox>
                </v:shape>
              </w:pict>
            </w:r>
            <w:r>
              <w:rPr>
                <w:sz w:val="18"/>
                <w:szCs w:val="18"/>
                <w:spacing w:val="-4"/>
              </w:rPr>
              <w:t>水利、环境和公共</w:t>
            </w:r>
            <w:r>
              <w:rPr>
                <w:sz w:val="18"/>
                <w:szCs w:val="18"/>
              </w:rPr>
              <w:t xml:space="preserve"> </w:t>
            </w:r>
            <w:r>
              <w:rPr>
                <w:sz w:val="18"/>
                <w:szCs w:val="18"/>
                <w:spacing w:val="-2"/>
              </w:rPr>
              <w:t>设施管理业</w:t>
            </w:r>
          </w:p>
        </w:tc>
        <w:tc>
          <w:tcPr>
            <w:tcW w:w="71" w:type="dxa"/>
            <w:vAlign w:val="top"/>
            <w:tcBorders>
              <w:bottom w:val="single" w:color="000000" w:sz="2" w:space="0"/>
              <w:top w:val="single" w:color="000000" w:sz="2" w:space="0"/>
            </w:tcBorders>
          </w:tcPr>
          <w:p>
            <w:pPr>
              <w:ind w:firstLine="29"/>
              <w:spacing w:before="146" w:line="394" w:lineRule="exact"/>
              <w:rPr/>
            </w:pPr>
            <w:r>
              <w:rPr>
                <w:position w:val="-7"/>
              </w:rPr>
              <w:pict>
                <v:shape id="_x0000_s446" style="mso-position-vertical-relative:line;mso-position-horizontal-relative:char;width:2.9pt;height:19.75pt;" fillcolor="#DBE5F1" filled="true" stroked="false" coordsize="58,395" coordorigin="0,0" path="m0,394l57,394l57,0l0,0l0,394xe"/>
              </w:pict>
            </w:r>
          </w:p>
        </w:tc>
        <w:tc>
          <w:tcPr>
            <w:shd w:val="clear" w:fill="DBE5F1"/>
            <w:tcW w:w="1168" w:type="dxa"/>
            <w:vAlign w:val="top"/>
            <w:tcBorders>
              <w:bottom w:val="single" w:color="000000" w:sz="2" w:space="0"/>
              <w:top w:val="single" w:color="000000" w:sz="2" w:space="0"/>
            </w:tcBorders>
          </w:tcPr>
          <w:p>
            <w:pPr>
              <w:spacing w:line="251" w:lineRule="auto"/>
              <w:rPr>
                <w:rFonts w:ascii="Arial"/>
                <w:sz w:val="21"/>
              </w:rPr>
            </w:pPr>
            <w:r/>
          </w:p>
          <w:p>
            <w:pPr>
              <w:ind w:left="531"/>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429,222</w:t>
            </w:r>
          </w:p>
        </w:tc>
        <w:tc>
          <w:tcPr>
            <w:shd w:val="clear" w:fill="DBE5F1"/>
            <w:tcW w:w="930" w:type="dxa"/>
            <w:vAlign w:val="top"/>
            <w:tcBorders>
              <w:bottom w:val="single" w:color="000000" w:sz="2" w:space="0"/>
              <w:top w:val="single" w:color="000000" w:sz="2" w:space="0"/>
            </w:tcBorders>
          </w:tcPr>
          <w:p>
            <w:pPr>
              <w:spacing w:line="252" w:lineRule="auto"/>
              <w:rPr>
                <w:rFonts w:ascii="Arial"/>
                <w:sz w:val="21"/>
              </w:rPr>
            </w:pPr>
            <w:r>
              <w:pict>
                <v:shape id="_x0000_s448" style="position:absolute;margin-left:-1.59pt;margin-top:7.30597pt;mso-position-vertical-relative:top-margin-area;mso-position-horizontal-relative:right-margin-area;width:2.9pt;height:19.75pt;z-index:251922432;" fillcolor="#DBE5F1" filled="true" stroked="false" coordsize="58,395" coordorigin="0,0" path="m0,394l57,394l57,0l0,0l0,394xe"/>
              </w:pict>
            </w:r>
            <w:r/>
          </w:p>
          <w:p>
            <w:pPr>
              <w:ind w:left="532"/>
              <w:spacing w:before="52" w:line="185"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5.88</w:t>
            </w:r>
          </w:p>
        </w:tc>
        <w:tc>
          <w:tcPr>
            <w:shd w:val="clear" w:fill="DBE5F1"/>
            <w:tcW w:w="1019" w:type="dxa"/>
            <w:vAlign w:val="top"/>
            <w:tcBorders>
              <w:bottom w:val="single" w:color="000000" w:sz="2" w:space="0"/>
              <w:top w:val="single" w:color="000000" w:sz="2" w:space="0"/>
            </w:tcBorders>
          </w:tcPr>
          <w:p>
            <w:pPr>
              <w:spacing w:before="146"/>
              <w:jc w:val="right"/>
              <w:rPr>
                <w:sz w:val="18"/>
                <w:szCs w:val="18"/>
              </w:rPr>
            </w:pPr>
            <w:r>
              <w:rPr>
                <w:rFonts w:ascii="Times New Roman" w:hAnsi="Times New Roman" w:eastAsia="Times New Roman" w:cs="Times New Roman"/>
                <w:sz w:val="18"/>
                <w:szCs w:val="18"/>
                <w:b/>
                <w:bCs/>
                <w:spacing w:val="-5"/>
              </w:rPr>
              <w:t>5,343</w:t>
            </w:r>
            <w:r>
              <w:rPr>
                <w:rFonts w:ascii="Times New Roman" w:hAnsi="Times New Roman" w:eastAsia="Times New Roman" w:cs="Times New Roman"/>
                <w:sz w:val="18"/>
                <w:szCs w:val="18"/>
                <w:b/>
                <w:bCs/>
                <w:spacing w:val="9"/>
              </w:rPr>
              <w:t xml:space="preserve"> </w:t>
            </w:r>
            <w:r>
              <w:rPr>
                <w:sz w:val="18"/>
                <w:szCs w:val="18"/>
                <w:position w:val="-10"/>
              </w:rPr>
              <w:drawing>
                <wp:inline distT="0" distB="0" distL="0" distR="0">
                  <wp:extent cx="33382" cy="250240"/>
                  <wp:effectExtent l="0" t="0" r="0" b="0"/>
                  <wp:docPr id="146" name="IM 146"/>
                  <wp:cNvGraphicFramePr/>
                  <a:graphic>
                    <a:graphicData uri="http://schemas.openxmlformats.org/drawingml/2006/picture">
                      <pic:pic>
                        <pic:nvPicPr>
                          <pic:cNvPr id="146" name="IM 146"/>
                          <pic:cNvPicPr/>
                        </pic:nvPicPr>
                        <pic:blipFill>
                          <a:blip r:embed="rId75"/>
                          <a:stretch>
                            <a:fillRect/>
                          </a:stretch>
                        </pic:blipFill>
                        <pic:spPr>
                          <a:xfrm rot="0">
                            <a:off x="0" y="0"/>
                            <a:ext cx="33382" cy="250240"/>
                          </a:xfrm>
                          <a:prstGeom prst="rect">
                            <a:avLst/>
                          </a:prstGeom>
                        </pic:spPr>
                      </pic:pic>
                    </a:graphicData>
                  </a:graphic>
                </wp:inline>
              </w:drawing>
            </w:r>
          </w:p>
        </w:tc>
        <w:tc>
          <w:tcPr>
            <w:shd w:val="clear" w:fill="DBE5F1"/>
            <w:tcW w:w="832" w:type="dxa"/>
            <w:vAlign w:val="top"/>
            <w:tcBorders>
              <w:bottom w:val="single" w:color="000000" w:sz="2" w:space="0"/>
              <w:top w:val="single" w:color="000000" w:sz="2" w:space="0"/>
            </w:tcBorders>
          </w:tcPr>
          <w:p>
            <w:pPr>
              <w:spacing w:line="252" w:lineRule="auto"/>
              <w:rPr>
                <w:rFonts w:ascii="Arial"/>
                <w:sz w:val="21"/>
              </w:rPr>
            </w:pPr>
            <w:r/>
          </w:p>
          <w:p>
            <w:pPr>
              <w:ind w:right="15"/>
              <w:spacing w:before="51"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1.24</w:t>
            </w:r>
          </w:p>
        </w:tc>
        <w:tc>
          <w:tcPr>
            <w:tcW w:w="361" w:type="dxa"/>
            <w:vAlign w:val="top"/>
            <w:tcBorders>
              <w:bottom w:val="single" w:color="000000" w:sz="2" w:space="0"/>
              <w:top w:val="single" w:color="000000" w:sz="2" w:space="0"/>
            </w:tcBorders>
          </w:tcPr>
          <w:p>
            <w:pPr>
              <w:spacing w:before="146" w:line="394" w:lineRule="exact"/>
              <w:rPr/>
            </w:pPr>
            <w:r>
              <w:rPr>
                <w:position w:val="-7"/>
              </w:rPr>
              <w:pict>
                <v:shape id="_x0000_s450" style="mso-position-vertical-relative:line;mso-position-horizontal-relative:char;width:2.9pt;height:19.75pt;" fillcolor="#DBE5F1" filled="true" stroked="false" coordsize="58,395" coordorigin="0,0" path="m0,394l57,394l57,0l0,0l0,394xe"/>
              </w:pict>
            </w:r>
          </w:p>
        </w:tc>
        <w:tc>
          <w:tcPr>
            <w:tcW w:w="1107" w:type="dxa"/>
            <w:vAlign w:val="top"/>
            <w:tcBorders>
              <w:bottom w:val="single" w:color="000000" w:sz="2" w:space="0"/>
              <w:top w:val="single" w:color="000000" w:sz="2" w:space="0"/>
            </w:tcBorders>
          </w:tcPr>
          <w:p>
            <w:pPr>
              <w:spacing w:line="252" w:lineRule="auto"/>
              <w:rPr>
                <w:rFonts w:ascii="Arial"/>
                <w:sz w:val="21"/>
              </w:rPr>
            </w:pPr>
            <w:r/>
          </w:p>
          <w:p>
            <w:pPr>
              <w:ind w:left="319"/>
              <w:spacing w:before="5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382,201</w:t>
            </w:r>
          </w:p>
        </w:tc>
        <w:tc>
          <w:tcPr>
            <w:tcW w:w="950" w:type="dxa"/>
            <w:vAlign w:val="top"/>
            <w:tcBorders>
              <w:bottom w:val="single" w:color="000000" w:sz="2" w:space="0"/>
              <w:top w:val="single" w:color="000000" w:sz="2" w:space="0"/>
            </w:tcBorders>
          </w:tcPr>
          <w:p>
            <w:pPr>
              <w:spacing w:line="252" w:lineRule="auto"/>
              <w:rPr>
                <w:rFonts w:ascii="Arial"/>
                <w:sz w:val="21"/>
              </w:rPr>
            </w:pPr>
            <w:r/>
          </w:p>
          <w:p>
            <w:pPr>
              <w:ind w:left="383"/>
              <w:spacing w:before="5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5.83</w:t>
            </w:r>
          </w:p>
        </w:tc>
        <w:tc>
          <w:tcPr>
            <w:tcW w:w="1100" w:type="dxa"/>
            <w:vAlign w:val="top"/>
            <w:tcBorders>
              <w:bottom w:val="single" w:color="000000" w:sz="2" w:space="0"/>
              <w:top w:val="single" w:color="000000" w:sz="2" w:space="0"/>
            </w:tcBorders>
          </w:tcPr>
          <w:p>
            <w:pPr>
              <w:spacing w:line="252" w:lineRule="auto"/>
              <w:rPr>
                <w:rFonts w:ascii="Arial"/>
                <w:sz w:val="21"/>
              </w:rPr>
            </w:pPr>
            <w:r/>
          </w:p>
          <w:p>
            <w:pPr>
              <w:ind w:left="356"/>
              <w:spacing w:before="5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3,357</w:t>
            </w:r>
          </w:p>
        </w:tc>
        <w:tc>
          <w:tcPr>
            <w:tcW w:w="741" w:type="dxa"/>
            <w:vAlign w:val="top"/>
            <w:tcBorders>
              <w:bottom w:val="single" w:color="000000" w:sz="2" w:space="0"/>
              <w:top w:val="single" w:color="000000" w:sz="2" w:space="0"/>
            </w:tcBorders>
          </w:tcPr>
          <w:p>
            <w:pPr>
              <w:spacing w:line="252" w:lineRule="auto"/>
              <w:rPr>
                <w:rFonts w:ascii="Arial"/>
                <w:sz w:val="21"/>
              </w:rPr>
            </w:pPr>
            <w:r/>
          </w:p>
          <w:p>
            <w:pPr>
              <w:ind w:left="349"/>
              <w:spacing w:before="5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0.88</w:t>
            </w:r>
          </w:p>
        </w:tc>
      </w:tr>
      <w:tr>
        <w:trPr>
          <w:trHeight w:val="957" w:hRule="atLeast"/>
        </w:trPr>
        <w:tc>
          <w:tcPr>
            <w:tcW w:w="1519" w:type="dxa"/>
            <w:vAlign w:val="top"/>
            <w:tcBorders>
              <w:bottom w:val="single" w:color="000000" w:sz="2" w:space="0"/>
              <w:top w:val="single" w:color="000000" w:sz="2" w:space="0"/>
            </w:tcBorders>
          </w:tcPr>
          <w:p>
            <w:pPr>
              <w:pStyle w:val="TableText"/>
              <w:ind w:left="78" w:right="31" w:firstLine="21"/>
              <w:spacing w:before="125" w:line="269" w:lineRule="auto"/>
              <w:rPr>
                <w:sz w:val="18"/>
                <w:szCs w:val="18"/>
              </w:rPr>
            </w:pPr>
            <w:r>
              <w:rPr>
                <w:sz w:val="18"/>
                <w:szCs w:val="18"/>
                <w:spacing w:val="-7"/>
              </w:rPr>
              <w:t>电力、热力、燃气</w:t>
            </w:r>
            <w:r>
              <w:rPr>
                <w:sz w:val="18"/>
                <w:szCs w:val="18"/>
                <w:spacing w:val="2"/>
              </w:rPr>
              <w:t xml:space="preserve"> </w:t>
            </w:r>
            <w:r>
              <w:rPr>
                <w:sz w:val="18"/>
                <w:szCs w:val="18"/>
                <w:spacing w:val="-2"/>
              </w:rPr>
              <w:t>及水生产和供应  </w:t>
            </w:r>
            <w:r>
              <w:rPr>
                <w:sz w:val="18"/>
                <w:szCs w:val="18"/>
              </w:rPr>
              <w:t>业</w:t>
            </w:r>
          </w:p>
        </w:tc>
        <w:tc>
          <w:tcPr>
            <w:tcW w:w="71" w:type="dxa"/>
            <w:vAlign w:val="top"/>
            <w:tcBorders>
              <w:bottom w:val="single" w:color="000000" w:sz="2" w:space="0"/>
              <w:top w:val="single" w:color="000000" w:sz="2" w:space="0"/>
            </w:tcBorders>
          </w:tcPr>
          <w:p>
            <w:pPr>
              <w:spacing w:line="277" w:lineRule="auto"/>
              <w:rPr>
                <w:rFonts w:ascii="Arial"/>
                <w:sz w:val="21"/>
              </w:rPr>
            </w:pPr>
            <w:r/>
          </w:p>
          <w:p>
            <w:pPr>
              <w:ind w:firstLine="29"/>
              <w:spacing w:line="396" w:lineRule="exact"/>
              <w:rPr/>
            </w:pPr>
            <w:r>
              <w:rPr>
                <w:position w:val="-7"/>
              </w:rPr>
              <w:pict>
                <v:shape id="_x0000_s452" style="mso-position-vertical-relative:line;mso-position-horizontal-relative:char;width:2.9pt;height:19.8pt;" fillcolor="#DBE5F1" filled="true" stroked="false" coordsize="58,395" coordorigin="0,0" path="m0,395l57,395l57,0l0,0l0,395xe"/>
              </w:pict>
            </w:r>
          </w:p>
        </w:tc>
        <w:tc>
          <w:tcPr>
            <w:shd w:val="clear" w:fill="DBE5F1"/>
            <w:tcW w:w="1168" w:type="dxa"/>
            <w:vAlign w:val="top"/>
            <w:tcBorders>
              <w:bottom w:val="single" w:color="000000" w:sz="2" w:space="0"/>
              <w:top w:val="single" w:color="000000" w:sz="2" w:space="0"/>
            </w:tcBorders>
          </w:tcPr>
          <w:p>
            <w:pPr>
              <w:spacing w:line="383" w:lineRule="auto"/>
              <w:rPr>
                <w:rFonts w:ascii="Arial"/>
                <w:sz w:val="21"/>
              </w:rPr>
            </w:pPr>
            <w:r/>
          </w:p>
          <w:p>
            <w:pPr>
              <w:ind w:left="530"/>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342,617</w:t>
            </w:r>
          </w:p>
        </w:tc>
        <w:tc>
          <w:tcPr>
            <w:shd w:val="clear" w:fill="DBE5F1"/>
            <w:tcW w:w="930" w:type="dxa"/>
            <w:vAlign w:val="top"/>
            <w:tcBorders>
              <w:bottom w:val="single" w:color="000000" w:sz="2" w:space="0"/>
              <w:top w:val="single" w:color="000000" w:sz="2" w:space="0"/>
            </w:tcBorders>
          </w:tcPr>
          <w:p>
            <w:pPr>
              <w:spacing w:line="383" w:lineRule="auto"/>
              <w:rPr>
                <w:rFonts w:ascii="Arial"/>
                <w:sz w:val="21"/>
              </w:rPr>
            </w:pPr>
            <w:r/>
          </w:p>
          <w:p>
            <w:pPr>
              <w:ind w:left="530"/>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4.70</w:t>
            </w:r>
          </w:p>
        </w:tc>
        <w:tc>
          <w:tcPr>
            <w:shd w:val="clear" w:fill="DBE5F1"/>
            <w:tcW w:w="1019" w:type="dxa"/>
            <w:vAlign w:val="top"/>
            <w:tcBorders>
              <w:bottom w:val="single" w:color="000000" w:sz="2" w:space="0"/>
              <w:top w:val="single" w:color="000000" w:sz="2" w:space="0"/>
            </w:tcBorders>
          </w:tcPr>
          <w:p>
            <w:pPr>
              <w:spacing w:line="383" w:lineRule="auto"/>
              <w:rPr>
                <w:rFonts w:ascii="Arial"/>
                <w:sz w:val="21"/>
              </w:rPr>
            </w:pPr>
            <w:r/>
          </w:p>
          <w:p>
            <w:pPr>
              <w:ind w:left="527"/>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3,237</w:t>
            </w:r>
          </w:p>
        </w:tc>
        <w:tc>
          <w:tcPr>
            <w:shd w:val="clear" w:fill="DBE5F1"/>
            <w:tcW w:w="832" w:type="dxa"/>
            <w:vAlign w:val="top"/>
            <w:tcBorders>
              <w:bottom w:val="single" w:color="000000" w:sz="2" w:space="0"/>
              <w:top w:val="single" w:color="000000" w:sz="2" w:space="0"/>
            </w:tcBorders>
          </w:tcPr>
          <w:p>
            <w:pPr>
              <w:spacing w:line="383" w:lineRule="auto"/>
              <w:rPr>
                <w:rFonts w:ascii="Arial"/>
                <w:sz w:val="21"/>
              </w:rPr>
            </w:pPr>
            <w:r/>
          </w:p>
          <w:p>
            <w:pPr>
              <w:ind w:right="15"/>
              <w:spacing w:before="52"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0.94</w:t>
            </w:r>
          </w:p>
        </w:tc>
        <w:tc>
          <w:tcPr>
            <w:tcW w:w="361" w:type="dxa"/>
            <w:vAlign w:val="top"/>
            <w:tcBorders>
              <w:bottom w:val="single" w:color="000000" w:sz="2" w:space="0"/>
              <w:top w:val="single" w:color="000000" w:sz="2" w:space="0"/>
            </w:tcBorders>
          </w:tcPr>
          <w:p>
            <w:pPr>
              <w:spacing w:line="277" w:lineRule="auto"/>
              <w:rPr>
                <w:rFonts w:ascii="Arial"/>
                <w:sz w:val="21"/>
              </w:rPr>
            </w:pPr>
            <w:r/>
          </w:p>
          <w:p>
            <w:pPr>
              <w:spacing w:line="396" w:lineRule="exact"/>
              <w:rPr/>
            </w:pPr>
            <w:r>
              <w:rPr>
                <w:position w:val="-7"/>
              </w:rPr>
              <w:pict>
                <v:shape id="_x0000_s454" style="mso-position-vertical-relative:line;mso-position-horizontal-relative:char;width:2.9pt;height:19.8pt;" fillcolor="#DBE5F1" filled="true" stroked="false" coordsize="58,395" coordorigin="0,0" path="m0,395l57,395l57,0l0,0l0,395xe"/>
              </w:pict>
            </w:r>
          </w:p>
        </w:tc>
        <w:tc>
          <w:tcPr>
            <w:tcW w:w="1107" w:type="dxa"/>
            <w:vAlign w:val="top"/>
            <w:tcBorders>
              <w:bottom w:val="single" w:color="000000" w:sz="2" w:space="0"/>
              <w:top w:val="single" w:color="000000" w:sz="2" w:space="0"/>
            </w:tcBorders>
          </w:tcPr>
          <w:p>
            <w:pPr>
              <w:spacing w:line="383" w:lineRule="auto"/>
              <w:rPr>
                <w:rFonts w:ascii="Arial"/>
                <w:sz w:val="21"/>
              </w:rPr>
            </w:pPr>
            <w:r/>
          </w:p>
          <w:p>
            <w:pPr>
              <w:ind w:left="316"/>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268,772</w:t>
            </w:r>
          </w:p>
        </w:tc>
        <w:tc>
          <w:tcPr>
            <w:tcW w:w="950" w:type="dxa"/>
            <w:vAlign w:val="top"/>
            <w:tcBorders>
              <w:bottom w:val="single" w:color="000000" w:sz="2" w:space="0"/>
              <w:top w:val="single" w:color="000000" w:sz="2" w:space="0"/>
            </w:tcBorders>
          </w:tcPr>
          <w:p>
            <w:pPr>
              <w:spacing w:line="383" w:lineRule="auto"/>
              <w:rPr>
                <w:rFonts w:ascii="Arial"/>
                <w:sz w:val="21"/>
              </w:rPr>
            </w:pPr>
            <w:r/>
          </w:p>
          <w:p>
            <w:pPr>
              <w:ind w:left="377"/>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4.10</w:t>
            </w:r>
          </w:p>
        </w:tc>
        <w:tc>
          <w:tcPr>
            <w:tcW w:w="1100" w:type="dxa"/>
            <w:vAlign w:val="top"/>
            <w:tcBorders>
              <w:bottom w:val="single" w:color="000000" w:sz="2" w:space="0"/>
              <w:top w:val="single" w:color="000000" w:sz="2" w:space="0"/>
            </w:tcBorders>
          </w:tcPr>
          <w:p>
            <w:pPr>
              <w:spacing w:line="383" w:lineRule="auto"/>
              <w:rPr>
                <w:rFonts w:ascii="Arial"/>
                <w:sz w:val="21"/>
              </w:rPr>
            </w:pPr>
            <w:r/>
          </w:p>
          <w:p>
            <w:pPr>
              <w:ind w:left="352"/>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2,496</w:t>
            </w:r>
          </w:p>
        </w:tc>
        <w:tc>
          <w:tcPr>
            <w:tcW w:w="741" w:type="dxa"/>
            <w:vAlign w:val="top"/>
            <w:tcBorders>
              <w:bottom w:val="single" w:color="000000" w:sz="2" w:space="0"/>
              <w:top w:val="single" w:color="000000" w:sz="2" w:space="0"/>
            </w:tcBorders>
          </w:tcPr>
          <w:p>
            <w:pPr>
              <w:spacing w:line="383" w:lineRule="auto"/>
              <w:rPr>
                <w:rFonts w:ascii="Arial"/>
                <w:sz w:val="21"/>
              </w:rPr>
            </w:pPr>
            <w:r/>
          </w:p>
          <w:p>
            <w:pPr>
              <w:ind w:left="349"/>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0.93</w:t>
            </w:r>
          </w:p>
        </w:tc>
      </w:tr>
      <w:tr>
        <w:trPr>
          <w:trHeight w:val="400" w:hRule="atLeast"/>
        </w:trPr>
        <w:tc>
          <w:tcPr>
            <w:tcW w:w="1519" w:type="dxa"/>
            <w:vAlign w:val="top"/>
            <w:tcBorders>
              <w:bottom w:val="single" w:color="000000" w:sz="2" w:space="0"/>
              <w:top w:val="single" w:color="000000" w:sz="2" w:space="0"/>
            </w:tcBorders>
          </w:tcPr>
          <w:p>
            <w:pPr>
              <w:pStyle w:val="TableText"/>
              <w:ind w:left="78"/>
              <w:spacing w:before="127" w:line="220" w:lineRule="auto"/>
              <w:rPr>
                <w:sz w:val="18"/>
                <w:szCs w:val="18"/>
              </w:rPr>
            </w:pPr>
            <w:r>
              <w:rPr>
                <w:sz w:val="18"/>
                <w:szCs w:val="18"/>
                <w:spacing w:val="-1"/>
              </w:rPr>
              <w:t>批发和零售业</w:t>
            </w:r>
          </w:p>
        </w:tc>
        <w:tc>
          <w:tcPr>
            <w:shd w:val="clear" w:fill="DBE5F1"/>
            <w:tcW w:w="71" w:type="dxa"/>
            <w:vAlign w:val="top"/>
            <w:tcBorders>
              <w:bottom w:val="single" w:color="000000" w:sz="2" w:space="0"/>
              <w:top w:val="single" w:color="000000" w:sz="2" w:space="0"/>
            </w:tcBorders>
          </w:tcPr>
          <w:p>
            <w:pPr>
              <w:rPr>
                <w:rFonts w:ascii="Arial"/>
                <w:sz w:val="21"/>
              </w:rPr>
            </w:pPr>
            <w:r/>
          </w:p>
        </w:tc>
        <w:tc>
          <w:tcPr>
            <w:shd w:val="clear" w:fill="DBE5F1"/>
            <w:tcW w:w="1168" w:type="dxa"/>
            <w:vAlign w:val="top"/>
            <w:tcBorders>
              <w:bottom w:val="single" w:color="000000" w:sz="2" w:space="0"/>
              <w:top w:val="single" w:color="000000" w:sz="2" w:space="0"/>
            </w:tcBorders>
          </w:tcPr>
          <w:p>
            <w:pPr>
              <w:ind w:left="531"/>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254,447</w:t>
            </w:r>
          </w:p>
        </w:tc>
        <w:tc>
          <w:tcPr>
            <w:shd w:val="clear" w:fill="DBE5F1"/>
            <w:tcW w:w="930" w:type="dxa"/>
            <w:vAlign w:val="top"/>
            <w:tcBorders>
              <w:bottom w:val="single" w:color="000000" w:sz="2" w:space="0"/>
              <w:top w:val="single" w:color="000000" w:sz="2" w:space="0"/>
            </w:tcBorders>
          </w:tcPr>
          <w:p>
            <w:pPr>
              <w:ind w:left="529"/>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3.49</w:t>
            </w:r>
          </w:p>
        </w:tc>
        <w:tc>
          <w:tcPr>
            <w:shd w:val="clear" w:fill="DBE5F1"/>
            <w:tcW w:w="1019" w:type="dxa"/>
            <w:vAlign w:val="top"/>
            <w:tcBorders>
              <w:bottom w:val="single" w:color="000000" w:sz="2" w:space="0"/>
              <w:top w:val="single" w:color="000000" w:sz="2" w:space="0"/>
            </w:tcBorders>
          </w:tcPr>
          <w:p>
            <w:pPr>
              <w:jc w:val="right"/>
              <w:rPr>
                <w:sz w:val="18"/>
                <w:szCs w:val="18"/>
              </w:rPr>
            </w:pPr>
            <w:r>
              <w:rPr>
                <w:rFonts w:ascii="Times New Roman" w:hAnsi="Times New Roman" w:eastAsia="Times New Roman" w:cs="Times New Roman"/>
                <w:sz w:val="18"/>
                <w:szCs w:val="18"/>
                <w:b/>
                <w:bCs/>
                <w:spacing w:val="-7"/>
              </w:rPr>
              <w:t>3,911</w:t>
            </w:r>
            <w:r>
              <w:rPr>
                <w:rFonts w:ascii="Times New Roman" w:hAnsi="Times New Roman" w:eastAsia="Times New Roman" w:cs="Times New Roman"/>
                <w:sz w:val="18"/>
                <w:szCs w:val="18"/>
                <w:b/>
                <w:bCs/>
                <w:spacing w:val="12"/>
                <w:w w:val="102"/>
              </w:rPr>
              <w:t xml:space="preserve"> </w:t>
            </w:r>
            <w:r>
              <w:rPr>
                <w:sz w:val="18"/>
                <w:szCs w:val="18"/>
                <w:position w:val="-10"/>
              </w:rPr>
              <w:drawing>
                <wp:inline distT="0" distB="0" distL="0" distR="0">
                  <wp:extent cx="33361" cy="247141"/>
                  <wp:effectExtent l="0" t="0" r="0" b="0"/>
                  <wp:docPr id="148" name="IM 148"/>
                  <wp:cNvGraphicFramePr/>
                  <a:graphic>
                    <a:graphicData uri="http://schemas.openxmlformats.org/drawingml/2006/picture">
                      <pic:pic>
                        <pic:nvPicPr>
                          <pic:cNvPr id="148" name="IM 148"/>
                          <pic:cNvPicPr/>
                        </pic:nvPicPr>
                        <pic:blipFill>
                          <a:blip r:embed="rId76"/>
                          <a:stretch>
                            <a:fillRect/>
                          </a:stretch>
                        </pic:blipFill>
                        <pic:spPr>
                          <a:xfrm rot="0">
                            <a:off x="0" y="0"/>
                            <a:ext cx="33361" cy="247141"/>
                          </a:xfrm>
                          <a:prstGeom prst="rect">
                            <a:avLst/>
                          </a:prstGeom>
                        </pic:spPr>
                      </pic:pic>
                    </a:graphicData>
                  </a:graphic>
                </wp:inline>
              </w:drawing>
            </w:r>
          </w:p>
        </w:tc>
        <w:tc>
          <w:tcPr>
            <w:shd w:val="clear" w:fill="DBE5F1"/>
            <w:tcW w:w="832" w:type="dxa"/>
            <w:vAlign w:val="top"/>
            <w:tcBorders>
              <w:bottom w:val="single" w:color="000000" w:sz="2" w:space="0"/>
              <w:top w:val="single" w:color="000000" w:sz="2" w:space="0"/>
            </w:tcBorders>
          </w:tcPr>
          <w:p>
            <w:pPr>
              <w:ind w:right="15"/>
              <w:spacing w:before="160"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1.54</w:t>
            </w:r>
          </w:p>
        </w:tc>
        <w:tc>
          <w:tcPr>
            <w:tcW w:w="361" w:type="dxa"/>
            <w:vAlign w:val="top"/>
            <w:tcBorders>
              <w:bottom w:val="single" w:color="000000" w:sz="2" w:space="0"/>
              <w:top w:val="single" w:color="000000" w:sz="2" w:space="0"/>
            </w:tcBorders>
          </w:tcPr>
          <w:p>
            <w:pPr>
              <w:spacing w:line="390" w:lineRule="exact"/>
              <w:rPr/>
            </w:pPr>
            <w:r>
              <w:rPr>
                <w:position w:val="-8"/>
              </w:rPr>
              <w:pict>
                <v:shape id="_x0000_s456" style="mso-position-vertical-relative:line;mso-position-horizontal-relative:char;width:2.9pt;height:19.8pt;" fillcolor="#DBE5F1" filled="true" stroked="false" coordsize="58,395" coordorigin="0,0" path="m0,395l57,395l57,0l0,0l0,395xe"/>
              </w:pict>
            </w:r>
          </w:p>
        </w:tc>
        <w:tc>
          <w:tcPr>
            <w:tcW w:w="1107" w:type="dxa"/>
            <w:vAlign w:val="top"/>
            <w:tcBorders>
              <w:bottom w:val="single" w:color="000000" w:sz="2" w:space="0"/>
              <w:top w:val="single" w:color="000000" w:sz="2" w:space="0"/>
            </w:tcBorders>
          </w:tcPr>
          <w:p>
            <w:pPr>
              <w:ind w:left="316"/>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215,554</w:t>
            </w:r>
          </w:p>
        </w:tc>
        <w:tc>
          <w:tcPr>
            <w:tcW w:w="950" w:type="dxa"/>
            <w:vAlign w:val="top"/>
            <w:tcBorders>
              <w:bottom w:val="single" w:color="000000" w:sz="2" w:space="0"/>
              <w:top w:val="single" w:color="000000" w:sz="2" w:space="0"/>
            </w:tcBorders>
          </w:tcPr>
          <w:p>
            <w:pPr>
              <w:ind w:left="381"/>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3.29</w:t>
            </w:r>
          </w:p>
        </w:tc>
        <w:tc>
          <w:tcPr>
            <w:tcW w:w="1100" w:type="dxa"/>
            <w:vAlign w:val="top"/>
            <w:tcBorders>
              <w:bottom w:val="single" w:color="000000" w:sz="2" w:space="0"/>
              <w:top w:val="single" w:color="000000" w:sz="2" w:space="0"/>
            </w:tcBorders>
          </w:tcPr>
          <w:p>
            <w:pPr>
              <w:ind w:left="357"/>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5,649</w:t>
            </w:r>
          </w:p>
        </w:tc>
        <w:tc>
          <w:tcPr>
            <w:tcW w:w="741" w:type="dxa"/>
            <w:vAlign w:val="top"/>
            <w:tcBorders>
              <w:bottom w:val="single" w:color="000000" w:sz="2" w:space="0"/>
              <w:top w:val="single" w:color="000000" w:sz="2" w:space="0"/>
            </w:tcBorders>
          </w:tcPr>
          <w:p>
            <w:pPr>
              <w:ind w:left="347"/>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2.62</w:t>
            </w:r>
          </w:p>
        </w:tc>
      </w:tr>
      <w:tr>
        <w:trPr>
          <w:trHeight w:val="398" w:hRule="atLeast"/>
        </w:trPr>
        <w:tc>
          <w:tcPr>
            <w:tcW w:w="1519" w:type="dxa"/>
            <w:vAlign w:val="top"/>
            <w:tcBorders>
              <w:bottom w:val="single" w:color="000000" w:sz="2" w:space="0"/>
              <w:top w:val="single" w:color="000000" w:sz="2" w:space="0"/>
            </w:tcBorders>
          </w:tcPr>
          <w:p>
            <w:pPr>
              <w:pStyle w:val="TableText"/>
              <w:ind w:left="81"/>
              <w:spacing w:before="127" w:line="221" w:lineRule="auto"/>
              <w:rPr>
                <w:sz w:val="18"/>
                <w:szCs w:val="18"/>
              </w:rPr>
            </w:pPr>
            <w:r>
              <w:rPr>
                <w:sz w:val="18"/>
                <w:szCs w:val="18"/>
                <w:spacing w:val="-3"/>
              </w:rPr>
              <w:t>建筑业</w:t>
            </w:r>
          </w:p>
        </w:tc>
        <w:tc>
          <w:tcPr>
            <w:shd w:val="clear" w:fill="DBE5F1"/>
            <w:tcW w:w="71" w:type="dxa"/>
            <w:vAlign w:val="top"/>
            <w:tcBorders>
              <w:bottom w:val="single" w:color="000000" w:sz="2" w:space="0"/>
              <w:top w:val="single" w:color="000000" w:sz="2" w:space="0"/>
            </w:tcBorders>
          </w:tcPr>
          <w:p>
            <w:pPr>
              <w:rPr>
                <w:rFonts w:ascii="Arial"/>
                <w:sz w:val="21"/>
              </w:rPr>
            </w:pPr>
            <w:r/>
          </w:p>
        </w:tc>
        <w:tc>
          <w:tcPr>
            <w:shd w:val="clear" w:fill="DBE5F1"/>
            <w:tcW w:w="1168" w:type="dxa"/>
            <w:vAlign w:val="top"/>
            <w:tcBorders>
              <w:bottom w:val="single" w:color="000000" w:sz="2" w:space="0"/>
              <w:top w:val="single" w:color="000000" w:sz="2" w:space="0"/>
            </w:tcBorders>
          </w:tcPr>
          <w:p>
            <w:pPr>
              <w:ind w:left="539"/>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176,696</w:t>
            </w:r>
          </w:p>
        </w:tc>
        <w:tc>
          <w:tcPr>
            <w:shd w:val="clear" w:fill="DBE5F1"/>
            <w:tcW w:w="930" w:type="dxa"/>
            <w:vAlign w:val="top"/>
            <w:tcBorders>
              <w:bottom w:val="single" w:color="000000" w:sz="2" w:space="0"/>
              <w:top w:val="single" w:color="000000" w:sz="2" w:space="0"/>
            </w:tcBorders>
          </w:tcPr>
          <w:p>
            <w:pPr>
              <w:ind w:left="530"/>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2.42</w:t>
            </w:r>
          </w:p>
        </w:tc>
        <w:tc>
          <w:tcPr>
            <w:shd w:val="clear" w:fill="DBE5F1"/>
            <w:tcW w:w="1019" w:type="dxa"/>
            <w:vAlign w:val="top"/>
            <w:tcBorders>
              <w:bottom w:val="single" w:color="000000" w:sz="2" w:space="0"/>
              <w:top w:val="single" w:color="000000" w:sz="2" w:space="0"/>
            </w:tcBorders>
          </w:tcPr>
          <w:p>
            <w:pPr>
              <w:spacing w:before="1"/>
              <w:jc w:val="right"/>
              <w:rPr>
                <w:sz w:val="18"/>
                <w:szCs w:val="18"/>
              </w:rPr>
            </w:pPr>
            <w:r>
              <w:rPr>
                <w:rFonts w:ascii="Times New Roman" w:hAnsi="Times New Roman" w:eastAsia="Times New Roman" w:cs="Times New Roman"/>
                <w:sz w:val="18"/>
                <w:szCs w:val="18"/>
                <w:b/>
                <w:bCs/>
                <w:spacing w:val="-5"/>
              </w:rPr>
              <w:t>2,000</w:t>
            </w:r>
            <w:r>
              <w:rPr>
                <w:rFonts w:ascii="Times New Roman" w:hAnsi="Times New Roman" w:eastAsia="Times New Roman" w:cs="Times New Roman"/>
                <w:sz w:val="18"/>
                <w:szCs w:val="18"/>
                <w:b/>
                <w:bCs/>
                <w:spacing w:val="11"/>
              </w:rPr>
              <w:t xml:space="preserve"> </w:t>
            </w:r>
            <w:r>
              <w:rPr>
                <w:sz w:val="18"/>
                <w:szCs w:val="18"/>
                <w:position w:val="-10"/>
              </w:rPr>
              <w:drawing>
                <wp:inline distT="0" distB="0" distL="0" distR="0">
                  <wp:extent cx="33388" cy="245491"/>
                  <wp:effectExtent l="0" t="0" r="0" b="0"/>
                  <wp:docPr id="150" name="IM 150"/>
                  <wp:cNvGraphicFramePr/>
                  <a:graphic>
                    <a:graphicData uri="http://schemas.openxmlformats.org/drawingml/2006/picture">
                      <pic:pic>
                        <pic:nvPicPr>
                          <pic:cNvPr id="150" name="IM 150"/>
                          <pic:cNvPicPr/>
                        </pic:nvPicPr>
                        <pic:blipFill>
                          <a:blip r:embed="rId77"/>
                          <a:stretch>
                            <a:fillRect/>
                          </a:stretch>
                        </pic:blipFill>
                        <pic:spPr>
                          <a:xfrm rot="0">
                            <a:off x="0" y="0"/>
                            <a:ext cx="33388" cy="245491"/>
                          </a:xfrm>
                          <a:prstGeom prst="rect">
                            <a:avLst/>
                          </a:prstGeom>
                        </pic:spPr>
                      </pic:pic>
                    </a:graphicData>
                  </a:graphic>
                </wp:inline>
              </w:drawing>
            </w:r>
          </w:p>
        </w:tc>
        <w:tc>
          <w:tcPr>
            <w:shd w:val="clear" w:fill="DBE5F1"/>
            <w:tcW w:w="832" w:type="dxa"/>
            <w:vAlign w:val="top"/>
            <w:tcBorders>
              <w:bottom w:val="single" w:color="000000" w:sz="2" w:space="0"/>
              <w:top w:val="single" w:color="000000" w:sz="2" w:space="0"/>
            </w:tcBorders>
          </w:tcPr>
          <w:p>
            <w:pPr>
              <w:ind w:right="15"/>
              <w:spacing w:before="160"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1.13</w:t>
            </w:r>
          </w:p>
        </w:tc>
        <w:tc>
          <w:tcPr>
            <w:tcW w:w="361" w:type="dxa"/>
            <w:vAlign w:val="top"/>
            <w:tcBorders>
              <w:bottom w:val="single" w:color="000000" w:sz="2" w:space="0"/>
              <w:top w:val="single" w:color="000000" w:sz="2" w:space="0"/>
            </w:tcBorders>
          </w:tcPr>
          <w:p>
            <w:pPr>
              <w:spacing w:before="1" w:line="387" w:lineRule="exact"/>
              <w:rPr/>
            </w:pPr>
            <w:r>
              <w:rPr>
                <w:position w:val="-8"/>
              </w:rPr>
              <w:pict>
                <v:shape id="_x0000_s458" style="mso-position-vertical-relative:line;mso-position-horizontal-relative:char;width:2.9pt;height:19.7pt;" fillcolor="#DBE5F1" filled="true" stroked="false" coordsize="58,394" coordorigin="0,0" path="m0,393l57,393l57,0l0,0l0,393xe"/>
              </w:pict>
            </w:r>
          </w:p>
        </w:tc>
        <w:tc>
          <w:tcPr>
            <w:tcW w:w="1107" w:type="dxa"/>
            <w:vAlign w:val="top"/>
            <w:tcBorders>
              <w:bottom w:val="single" w:color="000000" w:sz="2" w:space="0"/>
              <w:top w:val="single" w:color="000000" w:sz="2" w:space="0"/>
            </w:tcBorders>
          </w:tcPr>
          <w:p>
            <w:pPr>
              <w:ind w:left="333"/>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157,729</w:t>
            </w:r>
          </w:p>
        </w:tc>
        <w:tc>
          <w:tcPr>
            <w:tcW w:w="950" w:type="dxa"/>
            <w:vAlign w:val="top"/>
            <w:tcBorders>
              <w:bottom w:val="single" w:color="000000" w:sz="2" w:space="0"/>
              <w:top w:val="single" w:color="000000" w:sz="2" w:space="0"/>
            </w:tcBorders>
          </w:tcPr>
          <w:p>
            <w:pPr>
              <w:ind w:left="378"/>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2.40</w:t>
            </w:r>
          </w:p>
        </w:tc>
        <w:tc>
          <w:tcPr>
            <w:tcW w:w="1100" w:type="dxa"/>
            <w:vAlign w:val="top"/>
            <w:tcBorders>
              <w:bottom w:val="single" w:color="000000" w:sz="2" w:space="0"/>
              <w:top w:val="single" w:color="000000" w:sz="2" w:space="0"/>
            </w:tcBorders>
          </w:tcPr>
          <w:p>
            <w:pPr>
              <w:ind w:left="370"/>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1,504</w:t>
            </w:r>
          </w:p>
        </w:tc>
        <w:tc>
          <w:tcPr>
            <w:tcW w:w="741" w:type="dxa"/>
            <w:vAlign w:val="top"/>
            <w:tcBorders>
              <w:bottom w:val="single" w:color="000000" w:sz="2" w:space="0"/>
              <w:top w:val="single" w:color="000000" w:sz="2" w:space="0"/>
            </w:tcBorders>
          </w:tcPr>
          <w:p>
            <w:pPr>
              <w:ind w:left="349"/>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0.95</w:t>
            </w:r>
          </w:p>
        </w:tc>
      </w:tr>
      <w:tr>
        <w:trPr>
          <w:trHeight w:val="398" w:hRule="atLeast"/>
        </w:trPr>
        <w:tc>
          <w:tcPr>
            <w:tcW w:w="1519" w:type="dxa"/>
            <w:vAlign w:val="top"/>
            <w:tcBorders>
              <w:bottom w:val="single" w:color="000000" w:sz="2" w:space="0"/>
              <w:top w:val="single" w:color="000000" w:sz="2" w:space="0"/>
            </w:tcBorders>
          </w:tcPr>
          <w:p>
            <w:pPr>
              <w:pStyle w:val="TableText"/>
              <w:ind w:left="80"/>
              <w:spacing w:before="127" w:line="222" w:lineRule="auto"/>
              <w:rPr>
                <w:sz w:val="18"/>
                <w:szCs w:val="18"/>
              </w:rPr>
            </w:pPr>
            <w:r>
              <w:rPr>
                <w:sz w:val="18"/>
                <w:szCs w:val="18"/>
                <w:spacing w:val="-2"/>
              </w:rPr>
              <w:t>金融业</w:t>
            </w:r>
          </w:p>
        </w:tc>
        <w:tc>
          <w:tcPr>
            <w:shd w:val="clear" w:fill="DBE5F1"/>
            <w:tcW w:w="71" w:type="dxa"/>
            <w:vAlign w:val="top"/>
            <w:tcBorders>
              <w:bottom w:val="single" w:color="000000" w:sz="2" w:space="0"/>
              <w:top w:val="single" w:color="000000" w:sz="2" w:space="0"/>
            </w:tcBorders>
          </w:tcPr>
          <w:p>
            <w:pPr>
              <w:rPr>
                <w:rFonts w:ascii="Arial"/>
                <w:sz w:val="21"/>
              </w:rPr>
            </w:pPr>
            <w:r/>
          </w:p>
        </w:tc>
        <w:tc>
          <w:tcPr>
            <w:shd w:val="clear" w:fill="DBE5F1"/>
            <w:tcW w:w="1168" w:type="dxa"/>
            <w:vAlign w:val="top"/>
            <w:tcBorders>
              <w:bottom w:val="single" w:color="000000" w:sz="2" w:space="0"/>
              <w:top w:val="single" w:color="000000" w:sz="2" w:space="0"/>
            </w:tcBorders>
          </w:tcPr>
          <w:p>
            <w:pPr>
              <w:ind w:left="539"/>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148,747</w:t>
            </w:r>
          </w:p>
        </w:tc>
        <w:tc>
          <w:tcPr>
            <w:shd w:val="clear" w:fill="DBE5F1"/>
            <w:tcW w:w="930" w:type="dxa"/>
            <w:vAlign w:val="top"/>
            <w:tcBorders>
              <w:bottom w:val="single" w:color="000000" w:sz="2" w:space="0"/>
              <w:top w:val="single" w:color="000000" w:sz="2" w:space="0"/>
            </w:tcBorders>
          </w:tcPr>
          <w:p>
            <w:pPr>
              <w:ind w:left="530"/>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2.04</w:t>
            </w:r>
          </w:p>
        </w:tc>
        <w:tc>
          <w:tcPr>
            <w:shd w:val="clear" w:fill="DBE5F1"/>
            <w:tcW w:w="1019" w:type="dxa"/>
            <w:vAlign w:val="top"/>
            <w:tcBorders>
              <w:bottom w:val="single" w:color="000000" w:sz="2" w:space="0"/>
              <w:top w:val="single" w:color="000000" w:sz="2" w:space="0"/>
            </w:tcBorders>
          </w:tcPr>
          <w:p>
            <w:pPr>
              <w:spacing w:before="1"/>
              <w:jc w:val="right"/>
              <w:rPr>
                <w:sz w:val="18"/>
                <w:szCs w:val="18"/>
              </w:rPr>
            </w:pPr>
            <w:r>
              <w:rPr>
                <w:rFonts w:ascii="Times New Roman" w:hAnsi="Times New Roman" w:eastAsia="Times New Roman" w:cs="Times New Roman"/>
                <w:sz w:val="18"/>
                <w:szCs w:val="18"/>
                <w:b/>
                <w:bCs/>
                <w:spacing w:val="-6"/>
              </w:rPr>
              <w:t>1,874</w:t>
            </w:r>
            <w:r>
              <w:rPr>
                <w:rFonts w:ascii="Times New Roman" w:hAnsi="Times New Roman" w:eastAsia="Times New Roman" w:cs="Times New Roman"/>
                <w:sz w:val="18"/>
                <w:szCs w:val="18"/>
                <w:b/>
                <w:bCs/>
                <w:spacing w:val="9"/>
              </w:rPr>
              <w:t xml:space="preserve"> </w:t>
            </w:r>
            <w:r>
              <w:rPr>
                <w:sz w:val="18"/>
                <w:szCs w:val="18"/>
                <w:position w:val="-10"/>
              </w:rPr>
              <w:drawing>
                <wp:inline distT="0" distB="0" distL="0" distR="0">
                  <wp:extent cx="33363" cy="245364"/>
                  <wp:effectExtent l="0" t="0" r="0" b="0"/>
                  <wp:docPr id="152" name="IM 152"/>
                  <wp:cNvGraphicFramePr/>
                  <a:graphic>
                    <a:graphicData uri="http://schemas.openxmlformats.org/drawingml/2006/picture">
                      <pic:pic>
                        <pic:nvPicPr>
                          <pic:cNvPr id="152" name="IM 152"/>
                          <pic:cNvPicPr/>
                        </pic:nvPicPr>
                        <pic:blipFill>
                          <a:blip r:embed="rId78"/>
                          <a:stretch>
                            <a:fillRect/>
                          </a:stretch>
                        </pic:blipFill>
                        <pic:spPr>
                          <a:xfrm rot="0">
                            <a:off x="0" y="0"/>
                            <a:ext cx="33363" cy="245364"/>
                          </a:xfrm>
                          <a:prstGeom prst="rect">
                            <a:avLst/>
                          </a:prstGeom>
                        </pic:spPr>
                      </pic:pic>
                    </a:graphicData>
                  </a:graphic>
                </wp:inline>
              </w:drawing>
            </w:r>
          </w:p>
        </w:tc>
        <w:tc>
          <w:tcPr>
            <w:shd w:val="clear" w:fill="DBE5F1"/>
            <w:tcW w:w="832" w:type="dxa"/>
            <w:vAlign w:val="top"/>
            <w:tcBorders>
              <w:bottom w:val="single" w:color="000000" w:sz="2" w:space="0"/>
              <w:top w:val="single" w:color="000000" w:sz="2" w:space="0"/>
            </w:tcBorders>
          </w:tcPr>
          <w:p>
            <w:pPr>
              <w:ind w:right="15"/>
              <w:spacing w:before="160"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1.26</w:t>
            </w:r>
          </w:p>
        </w:tc>
        <w:tc>
          <w:tcPr>
            <w:tcW w:w="361" w:type="dxa"/>
            <w:vAlign w:val="top"/>
            <w:tcBorders>
              <w:bottom w:val="single" w:color="000000" w:sz="2" w:space="0"/>
              <w:top w:val="single" w:color="000000" w:sz="2" w:space="0"/>
            </w:tcBorders>
          </w:tcPr>
          <w:p>
            <w:pPr>
              <w:spacing w:before="1" w:line="387" w:lineRule="exact"/>
              <w:rPr/>
            </w:pPr>
            <w:r>
              <w:rPr>
                <w:position w:val="-8"/>
              </w:rPr>
              <w:pict>
                <v:shape id="_x0000_s460" style="mso-position-vertical-relative:line;mso-position-horizontal-relative:char;width:2.9pt;height:19.7pt;" fillcolor="#DBE5F1" filled="true" stroked="false" coordsize="58,394" coordorigin="0,0" path="m0,393l57,393l57,0l0,0l0,393xe"/>
              </w:pict>
            </w:r>
          </w:p>
        </w:tc>
        <w:tc>
          <w:tcPr>
            <w:tcW w:w="1107" w:type="dxa"/>
            <w:vAlign w:val="top"/>
            <w:tcBorders>
              <w:bottom w:val="single" w:color="000000" w:sz="2" w:space="0"/>
              <w:top w:val="single" w:color="000000" w:sz="2" w:space="0"/>
            </w:tcBorders>
          </w:tcPr>
          <w:p>
            <w:pPr>
              <w:ind w:left="333"/>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132,633</w:t>
            </w:r>
          </w:p>
        </w:tc>
        <w:tc>
          <w:tcPr>
            <w:tcW w:w="950" w:type="dxa"/>
            <w:vAlign w:val="top"/>
            <w:tcBorders>
              <w:bottom w:val="single" w:color="000000" w:sz="2" w:space="0"/>
              <w:top w:val="single" w:color="000000" w:sz="2" w:space="0"/>
            </w:tcBorders>
          </w:tcPr>
          <w:p>
            <w:pPr>
              <w:ind w:left="378"/>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2.02</w:t>
            </w:r>
          </w:p>
        </w:tc>
        <w:tc>
          <w:tcPr>
            <w:tcW w:w="1100" w:type="dxa"/>
            <w:vAlign w:val="top"/>
            <w:tcBorders>
              <w:bottom w:val="single" w:color="000000" w:sz="2" w:space="0"/>
              <w:top w:val="single" w:color="000000" w:sz="2" w:space="0"/>
            </w:tcBorders>
          </w:tcPr>
          <w:p>
            <w:pPr>
              <w:ind w:left="701"/>
              <w:spacing w:before="235" w:line="86"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position w:val="-1"/>
              </w:rPr>
              <w:t>-</w:t>
            </w:r>
          </w:p>
        </w:tc>
        <w:tc>
          <w:tcPr>
            <w:tcW w:w="741" w:type="dxa"/>
            <w:vAlign w:val="top"/>
            <w:tcBorders>
              <w:bottom w:val="single" w:color="000000" w:sz="2" w:space="0"/>
              <w:top w:val="single" w:color="000000" w:sz="2" w:space="0"/>
            </w:tcBorders>
          </w:tcPr>
          <w:p>
            <w:pPr>
              <w:ind w:left="607"/>
              <w:spacing w:before="235" w:line="86"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position w:val="-1"/>
              </w:rPr>
              <w:t>-</w:t>
            </w:r>
          </w:p>
        </w:tc>
      </w:tr>
      <w:tr>
        <w:trPr>
          <w:trHeight w:val="400" w:hRule="atLeast"/>
        </w:trPr>
        <w:tc>
          <w:tcPr>
            <w:tcW w:w="1519" w:type="dxa"/>
            <w:vAlign w:val="top"/>
            <w:tcBorders>
              <w:bottom w:val="single" w:color="000000" w:sz="2" w:space="0"/>
              <w:top w:val="single" w:color="000000" w:sz="2" w:space="0"/>
            </w:tcBorders>
          </w:tcPr>
          <w:p>
            <w:pPr>
              <w:pStyle w:val="TableText"/>
              <w:ind w:left="79"/>
              <w:spacing w:before="127" w:line="220" w:lineRule="auto"/>
              <w:rPr>
                <w:sz w:val="18"/>
                <w:szCs w:val="18"/>
              </w:rPr>
            </w:pPr>
            <w:r>
              <w:rPr>
                <w:sz w:val="18"/>
                <w:szCs w:val="18"/>
                <w:spacing w:val="-2"/>
              </w:rPr>
              <w:t>科教文卫</w:t>
            </w:r>
          </w:p>
        </w:tc>
        <w:tc>
          <w:tcPr>
            <w:shd w:val="clear" w:fill="DBE5F1"/>
            <w:tcW w:w="71" w:type="dxa"/>
            <w:vAlign w:val="top"/>
            <w:tcBorders>
              <w:bottom w:val="single" w:color="000000" w:sz="2" w:space="0"/>
              <w:top w:val="single" w:color="000000" w:sz="2" w:space="0"/>
            </w:tcBorders>
          </w:tcPr>
          <w:p>
            <w:pPr>
              <w:rPr>
                <w:rFonts w:ascii="Arial"/>
                <w:sz w:val="21"/>
              </w:rPr>
            </w:pPr>
            <w:r/>
          </w:p>
        </w:tc>
        <w:tc>
          <w:tcPr>
            <w:shd w:val="clear" w:fill="DBE5F1"/>
            <w:tcW w:w="1168" w:type="dxa"/>
            <w:vAlign w:val="top"/>
            <w:tcBorders>
              <w:bottom w:val="single" w:color="000000" w:sz="2" w:space="0"/>
              <w:top w:val="single" w:color="000000" w:sz="2" w:space="0"/>
            </w:tcBorders>
          </w:tcPr>
          <w:p>
            <w:pPr>
              <w:ind w:left="539"/>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128,762</w:t>
            </w:r>
          </w:p>
        </w:tc>
        <w:tc>
          <w:tcPr>
            <w:shd w:val="clear" w:fill="DBE5F1"/>
            <w:tcW w:w="930" w:type="dxa"/>
            <w:vAlign w:val="top"/>
            <w:tcBorders>
              <w:bottom w:val="single" w:color="000000" w:sz="2" w:space="0"/>
              <w:top w:val="single" w:color="000000" w:sz="2" w:space="0"/>
            </w:tcBorders>
          </w:tcPr>
          <w:p>
            <w:pPr>
              <w:ind w:left="538"/>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1.76</w:t>
            </w:r>
          </w:p>
        </w:tc>
        <w:tc>
          <w:tcPr>
            <w:shd w:val="clear" w:fill="DBE5F1"/>
            <w:tcW w:w="1019" w:type="dxa"/>
            <w:vAlign w:val="top"/>
            <w:tcBorders>
              <w:bottom w:val="single" w:color="000000" w:sz="2" w:space="0"/>
              <w:top w:val="single" w:color="000000" w:sz="2" w:space="0"/>
            </w:tcBorders>
          </w:tcPr>
          <w:p>
            <w:pPr>
              <w:spacing w:before="1"/>
              <w:jc w:val="right"/>
              <w:rPr>
                <w:sz w:val="18"/>
                <w:szCs w:val="18"/>
              </w:rPr>
            </w:pPr>
            <w:r>
              <w:rPr>
                <w:rFonts w:ascii="Times New Roman" w:hAnsi="Times New Roman" w:eastAsia="Times New Roman" w:cs="Times New Roman"/>
                <w:sz w:val="18"/>
                <w:szCs w:val="18"/>
                <w:b/>
                <w:bCs/>
                <w:spacing w:val="-5"/>
              </w:rPr>
              <w:t>2,861</w:t>
            </w:r>
            <w:r>
              <w:rPr>
                <w:rFonts w:ascii="Times New Roman" w:hAnsi="Times New Roman" w:eastAsia="Times New Roman" w:cs="Times New Roman"/>
                <w:sz w:val="18"/>
                <w:szCs w:val="18"/>
                <w:b/>
                <w:bCs/>
                <w:spacing w:val="11"/>
              </w:rPr>
              <w:t xml:space="preserve"> </w:t>
            </w:r>
            <w:r>
              <w:rPr>
                <w:sz w:val="18"/>
                <w:szCs w:val="18"/>
                <w:position w:val="-10"/>
              </w:rPr>
              <w:drawing>
                <wp:inline distT="0" distB="0" distL="0" distR="0">
                  <wp:extent cx="33388" cy="246507"/>
                  <wp:effectExtent l="0" t="0" r="0" b="0"/>
                  <wp:docPr id="154" name="IM 154"/>
                  <wp:cNvGraphicFramePr/>
                  <a:graphic>
                    <a:graphicData uri="http://schemas.openxmlformats.org/drawingml/2006/picture">
                      <pic:pic>
                        <pic:nvPicPr>
                          <pic:cNvPr id="154" name="IM 154"/>
                          <pic:cNvPicPr/>
                        </pic:nvPicPr>
                        <pic:blipFill>
                          <a:blip r:embed="rId79"/>
                          <a:stretch>
                            <a:fillRect/>
                          </a:stretch>
                        </pic:blipFill>
                        <pic:spPr>
                          <a:xfrm rot="0">
                            <a:off x="0" y="0"/>
                            <a:ext cx="33388" cy="246507"/>
                          </a:xfrm>
                          <a:prstGeom prst="rect">
                            <a:avLst/>
                          </a:prstGeom>
                        </pic:spPr>
                      </pic:pic>
                    </a:graphicData>
                  </a:graphic>
                </wp:inline>
              </w:drawing>
            </w:r>
          </w:p>
        </w:tc>
        <w:tc>
          <w:tcPr>
            <w:shd w:val="clear" w:fill="DBE5F1"/>
            <w:tcW w:w="832" w:type="dxa"/>
            <w:vAlign w:val="top"/>
            <w:tcBorders>
              <w:bottom w:val="single" w:color="000000" w:sz="2" w:space="0"/>
              <w:top w:val="single" w:color="000000" w:sz="2" w:space="0"/>
            </w:tcBorders>
          </w:tcPr>
          <w:p>
            <w:pPr>
              <w:ind w:right="15"/>
              <w:spacing w:before="160"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2.22</w:t>
            </w:r>
          </w:p>
        </w:tc>
        <w:tc>
          <w:tcPr>
            <w:tcW w:w="361" w:type="dxa"/>
            <w:vAlign w:val="top"/>
            <w:tcBorders>
              <w:bottom w:val="single" w:color="000000" w:sz="2" w:space="0"/>
              <w:top w:val="single" w:color="000000" w:sz="2" w:space="0"/>
            </w:tcBorders>
          </w:tcPr>
          <w:p>
            <w:pPr>
              <w:spacing w:before="1" w:line="389" w:lineRule="exact"/>
              <w:rPr/>
            </w:pPr>
            <w:r>
              <w:rPr>
                <w:position w:val="-8"/>
              </w:rPr>
              <w:pict>
                <v:shape id="_x0000_s462" style="mso-position-vertical-relative:line;mso-position-horizontal-relative:char;width:2.9pt;height:19.8pt;" fillcolor="#DBE5F1" filled="true" stroked="false" coordsize="58,395" coordorigin="0,0" path="m0,395l57,395l57,0l0,0l0,395xe"/>
              </w:pict>
            </w:r>
          </w:p>
        </w:tc>
        <w:tc>
          <w:tcPr>
            <w:tcW w:w="1107" w:type="dxa"/>
            <w:vAlign w:val="top"/>
            <w:tcBorders>
              <w:bottom w:val="single" w:color="000000" w:sz="2" w:space="0"/>
              <w:top w:val="single" w:color="000000" w:sz="2" w:space="0"/>
            </w:tcBorders>
          </w:tcPr>
          <w:p>
            <w:pPr>
              <w:ind w:left="333"/>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122,196</w:t>
            </w:r>
          </w:p>
        </w:tc>
        <w:tc>
          <w:tcPr>
            <w:tcW w:w="950" w:type="dxa"/>
            <w:vAlign w:val="top"/>
            <w:tcBorders>
              <w:bottom w:val="single" w:color="000000" w:sz="2" w:space="0"/>
              <w:top w:val="single" w:color="000000" w:sz="2" w:space="0"/>
            </w:tcBorders>
          </w:tcPr>
          <w:p>
            <w:pPr>
              <w:ind w:left="395"/>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1.86</w:t>
            </w:r>
          </w:p>
        </w:tc>
        <w:tc>
          <w:tcPr>
            <w:tcW w:w="1100" w:type="dxa"/>
            <w:vAlign w:val="top"/>
            <w:tcBorders>
              <w:bottom w:val="single" w:color="000000" w:sz="2" w:space="0"/>
              <w:top w:val="single" w:color="000000" w:sz="2" w:space="0"/>
            </w:tcBorders>
          </w:tcPr>
          <w:p>
            <w:pPr>
              <w:ind w:left="352"/>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2,759</w:t>
            </w:r>
          </w:p>
        </w:tc>
        <w:tc>
          <w:tcPr>
            <w:tcW w:w="741" w:type="dxa"/>
            <w:vAlign w:val="top"/>
            <w:tcBorders>
              <w:bottom w:val="single" w:color="000000" w:sz="2" w:space="0"/>
              <w:top w:val="single" w:color="000000" w:sz="2" w:space="0"/>
            </w:tcBorders>
          </w:tcPr>
          <w:p>
            <w:pPr>
              <w:ind w:left="347"/>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2.26</w:t>
            </w:r>
          </w:p>
        </w:tc>
      </w:tr>
      <w:tr>
        <w:trPr>
          <w:trHeight w:val="398" w:hRule="atLeast"/>
        </w:trPr>
        <w:tc>
          <w:tcPr>
            <w:tcW w:w="1519" w:type="dxa"/>
            <w:vAlign w:val="top"/>
            <w:tcBorders>
              <w:bottom w:val="single" w:color="000000" w:sz="2" w:space="0"/>
              <w:top w:val="single" w:color="000000" w:sz="2" w:space="0"/>
            </w:tcBorders>
          </w:tcPr>
          <w:p>
            <w:pPr>
              <w:pStyle w:val="TableText"/>
              <w:ind w:left="78"/>
              <w:spacing w:before="128" w:line="220" w:lineRule="auto"/>
              <w:rPr>
                <w:sz w:val="18"/>
                <w:szCs w:val="18"/>
              </w:rPr>
            </w:pPr>
            <w:r>
              <w:rPr>
                <w:sz w:val="18"/>
                <w:szCs w:val="18"/>
                <w:spacing w:val="-2"/>
              </w:rPr>
              <w:t>采矿业</w:t>
            </w:r>
          </w:p>
        </w:tc>
        <w:tc>
          <w:tcPr>
            <w:shd w:val="clear" w:fill="DBE5F1"/>
            <w:tcW w:w="71" w:type="dxa"/>
            <w:vAlign w:val="top"/>
            <w:tcBorders>
              <w:bottom w:val="single" w:color="000000" w:sz="2" w:space="0"/>
              <w:top w:val="single" w:color="000000" w:sz="2" w:space="0"/>
            </w:tcBorders>
          </w:tcPr>
          <w:p>
            <w:pPr>
              <w:rPr>
                <w:rFonts w:ascii="Arial"/>
                <w:sz w:val="21"/>
              </w:rPr>
            </w:pPr>
            <w:r/>
          </w:p>
        </w:tc>
        <w:tc>
          <w:tcPr>
            <w:shd w:val="clear" w:fill="DBE5F1"/>
            <w:tcW w:w="1168" w:type="dxa"/>
            <w:vAlign w:val="top"/>
            <w:tcBorders>
              <w:bottom w:val="single" w:color="000000" w:sz="2" w:space="0"/>
              <w:top w:val="single" w:color="000000" w:sz="2" w:space="0"/>
            </w:tcBorders>
          </w:tcPr>
          <w:p>
            <w:pPr>
              <w:ind w:left="548"/>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118,246</w:t>
            </w:r>
          </w:p>
        </w:tc>
        <w:tc>
          <w:tcPr>
            <w:shd w:val="clear" w:fill="DBE5F1"/>
            <w:tcW w:w="930" w:type="dxa"/>
            <w:vAlign w:val="top"/>
            <w:tcBorders>
              <w:bottom w:val="single" w:color="000000" w:sz="2" w:space="0"/>
              <w:top w:val="single" w:color="000000" w:sz="2" w:space="0"/>
            </w:tcBorders>
          </w:tcPr>
          <w:p>
            <w:pPr>
              <w:ind w:left="538"/>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1.62</w:t>
            </w:r>
          </w:p>
        </w:tc>
        <w:tc>
          <w:tcPr>
            <w:shd w:val="clear" w:fill="DBE5F1"/>
            <w:tcW w:w="1019" w:type="dxa"/>
            <w:vAlign w:val="top"/>
            <w:tcBorders>
              <w:bottom w:val="single" w:color="000000" w:sz="2" w:space="0"/>
              <w:top w:val="single" w:color="000000" w:sz="2" w:space="0"/>
            </w:tcBorders>
          </w:tcPr>
          <w:p>
            <w:pPr>
              <w:spacing w:before="2"/>
              <w:jc w:val="right"/>
              <w:rPr>
                <w:sz w:val="18"/>
                <w:szCs w:val="18"/>
              </w:rPr>
            </w:pPr>
            <w:r>
              <w:rPr>
                <w:rFonts w:ascii="Times New Roman" w:hAnsi="Times New Roman" w:eastAsia="Times New Roman" w:cs="Times New Roman"/>
                <w:sz w:val="18"/>
                <w:szCs w:val="18"/>
                <w:b/>
                <w:bCs/>
                <w:spacing w:val="-5"/>
              </w:rPr>
              <w:t>2,162</w:t>
            </w:r>
            <w:r>
              <w:rPr>
                <w:rFonts w:ascii="Times New Roman" w:hAnsi="Times New Roman" w:eastAsia="Times New Roman" w:cs="Times New Roman"/>
                <w:sz w:val="18"/>
                <w:szCs w:val="18"/>
                <w:b/>
                <w:bCs/>
                <w:spacing w:val="11"/>
              </w:rPr>
              <w:t xml:space="preserve"> </w:t>
            </w:r>
            <w:r>
              <w:rPr>
                <w:sz w:val="18"/>
                <w:szCs w:val="18"/>
                <w:position w:val="-10"/>
              </w:rPr>
              <w:drawing>
                <wp:inline distT="0" distB="0" distL="0" distR="0">
                  <wp:extent cx="33388" cy="244857"/>
                  <wp:effectExtent l="0" t="0" r="0" b="0"/>
                  <wp:docPr id="156" name="IM 156"/>
                  <wp:cNvGraphicFramePr/>
                  <a:graphic>
                    <a:graphicData uri="http://schemas.openxmlformats.org/drawingml/2006/picture">
                      <pic:pic>
                        <pic:nvPicPr>
                          <pic:cNvPr id="156" name="IM 156"/>
                          <pic:cNvPicPr/>
                        </pic:nvPicPr>
                        <pic:blipFill>
                          <a:blip r:embed="rId80"/>
                          <a:stretch>
                            <a:fillRect/>
                          </a:stretch>
                        </pic:blipFill>
                        <pic:spPr>
                          <a:xfrm rot="0">
                            <a:off x="0" y="0"/>
                            <a:ext cx="33388" cy="244857"/>
                          </a:xfrm>
                          <a:prstGeom prst="rect">
                            <a:avLst/>
                          </a:prstGeom>
                        </pic:spPr>
                      </pic:pic>
                    </a:graphicData>
                  </a:graphic>
                </wp:inline>
              </w:drawing>
            </w:r>
          </w:p>
        </w:tc>
        <w:tc>
          <w:tcPr>
            <w:shd w:val="clear" w:fill="DBE5F1"/>
            <w:tcW w:w="832" w:type="dxa"/>
            <w:vAlign w:val="top"/>
            <w:tcBorders>
              <w:bottom w:val="single" w:color="000000" w:sz="2" w:space="0"/>
              <w:top w:val="single" w:color="000000" w:sz="2" w:space="0"/>
            </w:tcBorders>
          </w:tcPr>
          <w:p>
            <w:pPr>
              <w:ind w:right="15"/>
              <w:spacing w:before="161"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1.83</w:t>
            </w:r>
          </w:p>
        </w:tc>
        <w:tc>
          <w:tcPr>
            <w:tcW w:w="361" w:type="dxa"/>
            <w:vAlign w:val="top"/>
            <w:tcBorders>
              <w:bottom w:val="single" w:color="000000" w:sz="2" w:space="0"/>
              <w:top w:val="single" w:color="000000" w:sz="2" w:space="0"/>
            </w:tcBorders>
          </w:tcPr>
          <w:p>
            <w:pPr>
              <w:spacing w:before="2" w:line="386" w:lineRule="exact"/>
              <w:rPr/>
            </w:pPr>
            <w:r>
              <w:rPr>
                <w:position w:val="-8"/>
              </w:rPr>
              <w:pict>
                <v:shape id="_x0000_s464" style="mso-position-vertical-relative:line;mso-position-horizontal-relative:char;width:2.9pt;height:19.7pt;" fillcolor="#DBE5F1" filled="true" stroked="false" coordsize="58,394" coordorigin="0,0" path="m0,393l57,393l57,0l0,0l0,393xe"/>
              </w:pict>
            </w:r>
          </w:p>
        </w:tc>
        <w:tc>
          <w:tcPr>
            <w:tcW w:w="1107" w:type="dxa"/>
            <w:vAlign w:val="top"/>
            <w:tcBorders>
              <w:bottom w:val="single" w:color="000000" w:sz="2" w:space="0"/>
              <w:top w:val="single" w:color="000000" w:sz="2" w:space="0"/>
            </w:tcBorders>
          </w:tcPr>
          <w:p>
            <w:pPr>
              <w:ind w:left="333"/>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120,216</w:t>
            </w:r>
          </w:p>
        </w:tc>
        <w:tc>
          <w:tcPr>
            <w:tcW w:w="950" w:type="dxa"/>
            <w:vAlign w:val="top"/>
            <w:tcBorders>
              <w:bottom w:val="single" w:color="000000" w:sz="2" w:space="0"/>
              <w:top w:val="single" w:color="000000" w:sz="2" w:space="0"/>
            </w:tcBorders>
          </w:tcPr>
          <w:p>
            <w:pPr>
              <w:ind w:left="395"/>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1.83</w:t>
            </w:r>
          </w:p>
        </w:tc>
        <w:tc>
          <w:tcPr>
            <w:tcW w:w="1100" w:type="dxa"/>
            <w:vAlign w:val="top"/>
            <w:tcBorders>
              <w:bottom w:val="single" w:color="000000" w:sz="2" w:space="0"/>
              <w:top w:val="single" w:color="000000" w:sz="2" w:space="0"/>
            </w:tcBorders>
          </w:tcPr>
          <w:p>
            <w:pPr>
              <w:ind w:left="352"/>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2,413</w:t>
            </w:r>
          </w:p>
        </w:tc>
        <w:tc>
          <w:tcPr>
            <w:tcW w:w="741" w:type="dxa"/>
            <w:vAlign w:val="top"/>
            <w:tcBorders>
              <w:bottom w:val="single" w:color="000000" w:sz="2" w:space="0"/>
              <w:top w:val="single" w:color="000000" w:sz="2" w:space="0"/>
            </w:tcBorders>
          </w:tcPr>
          <w:p>
            <w:pPr>
              <w:ind w:left="347"/>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2.01</w:t>
            </w:r>
          </w:p>
        </w:tc>
      </w:tr>
      <w:tr>
        <w:trPr>
          <w:trHeight w:val="399" w:hRule="atLeast"/>
        </w:trPr>
        <w:tc>
          <w:tcPr>
            <w:tcW w:w="1519" w:type="dxa"/>
            <w:vAlign w:val="top"/>
            <w:tcBorders>
              <w:bottom w:val="single" w:color="000000" w:sz="2" w:space="0"/>
              <w:top w:val="single" w:color="000000" w:sz="2" w:space="0"/>
            </w:tcBorders>
          </w:tcPr>
          <w:p>
            <w:pPr>
              <w:pStyle w:val="TableText"/>
              <w:ind w:left="79"/>
              <w:spacing w:before="129" w:line="221" w:lineRule="auto"/>
              <w:rPr>
                <w:sz w:val="18"/>
                <w:szCs w:val="18"/>
              </w:rPr>
            </w:pPr>
            <w:r>
              <w:rPr>
                <w:sz w:val="18"/>
                <w:szCs w:val="18"/>
                <w:spacing w:val="-2"/>
              </w:rPr>
              <w:t>其他</w:t>
            </w:r>
          </w:p>
        </w:tc>
        <w:tc>
          <w:tcPr>
            <w:shd w:val="clear" w:fill="DBE5F1"/>
            <w:tcW w:w="71" w:type="dxa"/>
            <w:vAlign w:val="top"/>
            <w:tcBorders>
              <w:bottom w:val="single" w:color="000000" w:sz="2" w:space="0"/>
              <w:top w:val="single" w:color="000000" w:sz="2" w:space="0"/>
            </w:tcBorders>
          </w:tcPr>
          <w:p>
            <w:pPr>
              <w:rPr>
                <w:rFonts w:ascii="Arial"/>
                <w:sz w:val="21"/>
              </w:rPr>
            </w:pPr>
            <w:r/>
          </w:p>
        </w:tc>
        <w:tc>
          <w:tcPr>
            <w:shd w:val="clear" w:fill="DBE5F1"/>
            <w:tcW w:w="1168" w:type="dxa"/>
            <w:vAlign w:val="top"/>
            <w:tcBorders>
              <w:bottom w:val="single" w:color="000000" w:sz="2" w:space="0"/>
              <w:top w:val="single" w:color="000000" w:sz="2" w:space="0"/>
            </w:tcBorders>
          </w:tcPr>
          <w:p>
            <w:pPr>
              <w:ind w:left="621"/>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94,839</w:t>
            </w:r>
          </w:p>
        </w:tc>
        <w:tc>
          <w:tcPr>
            <w:shd w:val="clear" w:fill="DBE5F1"/>
            <w:tcW w:w="930" w:type="dxa"/>
            <w:vAlign w:val="top"/>
            <w:tcBorders>
              <w:bottom w:val="single" w:color="000000" w:sz="2" w:space="0"/>
              <w:top w:val="single" w:color="000000" w:sz="2" w:space="0"/>
            </w:tcBorders>
          </w:tcPr>
          <w:p>
            <w:pPr>
              <w:ind w:left="538"/>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1.31</w:t>
            </w:r>
          </w:p>
        </w:tc>
        <w:tc>
          <w:tcPr>
            <w:shd w:val="clear" w:fill="DBE5F1"/>
            <w:tcW w:w="1019" w:type="dxa"/>
            <w:vAlign w:val="top"/>
            <w:tcBorders>
              <w:bottom w:val="single" w:color="000000" w:sz="2" w:space="0"/>
              <w:top w:val="single" w:color="000000" w:sz="2" w:space="0"/>
            </w:tcBorders>
          </w:tcPr>
          <w:p>
            <w:pPr>
              <w:spacing w:before="2"/>
              <w:jc w:val="right"/>
              <w:rPr>
                <w:sz w:val="18"/>
                <w:szCs w:val="18"/>
              </w:rPr>
            </w:pPr>
            <w:r>
              <w:rPr>
                <w:rFonts w:ascii="Times New Roman" w:hAnsi="Times New Roman" w:eastAsia="Times New Roman" w:cs="Times New Roman"/>
                <w:sz w:val="18"/>
                <w:szCs w:val="18"/>
                <w:b/>
                <w:bCs/>
                <w:spacing w:val="-6"/>
              </w:rPr>
              <w:t>1,012</w:t>
            </w:r>
            <w:r>
              <w:rPr>
                <w:rFonts w:ascii="Times New Roman" w:hAnsi="Times New Roman" w:eastAsia="Times New Roman" w:cs="Times New Roman"/>
                <w:sz w:val="18"/>
                <w:szCs w:val="18"/>
                <w:b/>
                <w:bCs/>
                <w:spacing w:val="8"/>
              </w:rPr>
              <w:t xml:space="preserve"> </w:t>
            </w:r>
            <w:r>
              <w:rPr>
                <w:sz w:val="18"/>
                <w:szCs w:val="18"/>
                <w:position w:val="-10"/>
              </w:rPr>
              <w:drawing>
                <wp:inline distT="0" distB="0" distL="0" distR="0">
                  <wp:extent cx="33363" cy="245288"/>
                  <wp:effectExtent l="0" t="0" r="0" b="0"/>
                  <wp:docPr id="158" name="IM 158"/>
                  <wp:cNvGraphicFramePr/>
                  <a:graphic>
                    <a:graphicData uri="http://schemas.openxmlformats.org/drawingml/2006/picture">
                      <pic:pic>
                        <pic:nvPicPr>
                          <pic:cNvPr id="158" name="IM 158"/>
                          <pic:cNvPicPr/>
                        </pic:nvPicPr>
                        <pic:blipFill>
                          <a:blip r:embed="rId81"/>
                          <a:stretch>
                            <a:fillRect/>
                          </a:stretch>
                        </pic:blipFill>
                        <pic:spPr>
                          <a:xfrm rot="0">
                            <a:off x="0" y="0"/>
                            <a:ext cx="33363" cy="245288"/>
                          </a:xfrm>
                          <a:prstGeom prst="rect">
                            <a:avLst/>
                          </a:prstGeom>
                        </pic:spPr>
                      </pic:pic>
                    </a:graphicData>
                  </a:graphic>
                </wp:inline>
              </w:drawing>
            </w:r>
          </w:p>
        </w:tc>
        <w:tc>
          <w:tcPr>
            <w:shd w:val="clear" w:fill="DBE5F1"/>
            <w:tcW w:w="832" w:type="dxa"/>
            <w:vAlign w:val="top"/>
            <w:tcBorders>
              <w:bottom w:val="single" w:color="000000" w:sz="2" w:space="0"/>
              <w:top w:val="single" w:color="000000" w:sz="2" w:space="0"/>
            </w:tcBorders>
          </w:tcPr>
          <w:p>
            <w:pPr>
              <w:ind w:right="16"/>
              <w:spacing w:before="162"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1.07</w:t>
            </w:r>
          </w:p>
        </w:tc>
        <w:tc>
          <w:tcPr>
            <w:tcW w:w="361" w:type="dxa"/>
            <w:vAlign w:val="top"/>
            <w:tcBorders>
              <w:bottom w:val="single" w:color="000000" w:sz="2" w:space="0"/>
              <w:top w:val="single" w:color="000000" w:sz="2" w:space="0"/>
            </w:tcBorders>
          </w:tcPr>
          <w:p>
            <w:pPr>
              <w:spacing w:before="2" w:line="387" w:lineRule="exact"/>
              <w:rPr/>
            </w:pPr>
            <w:r>
              <w:rPr>
                <w:position w:val="-8"/>
              </w:rPr>
              <w:pict>
                <v:shape id="_x0000_s466" style="mso-position-vertical-relative:line;mso-position-horizontal-relative:char;width:2.9pt;height:19.75pt;" fillcolor="#DBE5F1" filled="true" stroked="false" coordsize="58,395" coordorigin="0,0" path="m0,394l57,394l57,0l0,0l0,394xe"/>
              </w:pict>
            </w:r>
          </w:p>
        </w:tc>
        <w:tc>
          <w:tcPr>
            <w:tcW w:w="1107" w:type="dxa"/>
            <w:vAlign w:val="top"/>
            <w:tcBorders>
              <w:bottom w:val="single" w:color="000000" w:sz="2" w:space="0"/>
              <w:top w:val="single" w:color="000000" w:sz="2" w:space="0"/>
            </w:tcBorders>
          </w:tcPr>
          <w:p>
            <w:pPr>
              <w:ind w:left="410"/>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77,884</w:t>
            </w:r>
          </w:p>
        </w:tc>
        <w:tc>
          <w:tcPr>
            <w:tcW w:w="950" w:type="dxa"/>
            <w:vAlign w:val="top"/>
            <w:tcBorders>
              <w:bottom w:val="single" w:color="000000" w:sz="2" w:space="0"/>
              <w:top w:val="single" w:color="000000" w:sz="2" w:space="0"/>
            </w:tcBorders>
          </w:tcPr>
          <w:p>
            <w:pPr>
              <w:ind w:left="395"/>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1.19</w:t>
            </w:r>
          </w:p>
        </w:tc>
        <w:tc>
          <w:tcPr>
            <w:tcW w:w="1100" w:type="dxa"/>
            <w:vAlign w:val="top"/>
            <w:tcBorders>
              <w:bottom w:val="single" w:color="000000" w:sz="2" w:space="0"/>
              <w:top w:val="single" w:color="000000" w:sz="2" w:space="0"/>
            </w:tcBorders>
          </w:tcPr>
          <w:p>
            <w:pPr>
              <w:ind w:left="490"/>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743</w:t>
            </w:r>
          </w:p>
        </w:tc>
        <w:tc>
          <w:tcPr>
            <w:tcW w:w="741" w:type="dxa"/>
            <w:vAlign w:val="top"/>
            <w:tcBorders>
              <w:bottom w:val="single" w:color="000000" w:sz="2" w:space="0"/>
              <w:top w:val="single" w:color="000000" w:sz="2" w:space="0"/>
            </w:tcBorders>
          </w:tcPr>
          <w:p>
            <w:pPr>
              <w:ind w:left="349"/>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0.95</w:t>
            </w:r>
          </w:p>
        </w:tc>
      </w:tr>
      <w:tr>
        <w:trPr>
          <w:trHeight w:val="679" w:hRule="atLeast"/>
        </w:trPr>
        <w:tc>
          <w:tcPr>
            <w:tcW w:w="1519" w:type="dxa"/>
            <w:vAlign w:val="top"/>
            <w:tcBorders>
              <w:bottom w:val="single" w:color="000000" w:sz="2" w:space="0"/>
              <w:top w:val="single" w:color="000000" w:sz="2" w:space="0"/>
            </w:tcBorders>
          </w:tcPr>
          <w:p>
            <w:pPr>
              <w:pStyle w:val="TableText"/>
              <w:ind w:left="79" w:right="28"/>
              <w:spacing w:before="128" w:line="254" w:lineRule="auto"/>
              <w:rPr>
                <w:sz w:val="18"/>
                <w:szCs w:val="18"/>
              </w:rPr>
            </w:pPr>
            <w:r>
              <w:rPr>
                <w:sz w:val="18"/>
                <w:szCs w:val="18"/>
                <w:spacing w:val="-4"/>
              </w:rPr>
              <w:t>信息传输、软件和</w:t>
            </w:r>
            <w:r>
              <w:rPr>
                <w:sz w:val="18"/>
                <w:szCs w:val="18"/>
                <w:spacing w:val="2"/>
              </w:rPr>
              <w:t xml:space="preserve"> </w:t>
            </w:r>
            <w:r>
              <w:rPr>
                <w:sz w:val="18"/>
                <w:szCs w:val="18"/>
                <w:spacing w:val="-1"/>
              </w:rPr>
              <w:t>信息技术服务业</w:t>
            </w:r>
          </w:p>
        </w:tc>
        <w:tc>
          <w:tcPr>
            <w:tcW w:w="71" w:type="dxa"/>
            <w:vAlign w:val="top"/>
            <w:tcBorders>
              <w:bottom w:val="single" w:color="000000" w:sz="2" w:space="0"/>
              <w:top w:val="single" w:color="000000" w:sz="2" w:space="0"/>
            </w:tcBorders>
          </w:tcPr>
          <w:p>
            <w:pPr>
              <w:ind w:firstLine="29"/>
              <w:spacing w:before="143" w:line="394" w:lineRule="exact"/>
              <w:rPr/>
            </w:pPr>
            <w:r>
              <w:rPr>
                <w:position w:val="-7"/>
              </w:rPr>
              <w:pict>
                <v:shape id="_x0000_s468" style="mso-position-vertical-relative:line;mso-position-horizontal-relative:char;width:2.9pt;height:19.7pt;" fillcolor="#DBE5F1" filled="true" stroked="false" coordsize="58,394" coordorigin="0,0" path="m0,393l57,393l57,0l0,0l0,393xe"/>
              </w:pict>
            </w:r>
          </w:p>
        </w:tc>
        <w:tc>
          <w:tcPr>
            <w:shd w:val="clear" w:fill="DBE5F1"/>
            <w:tcW w:w="1168" w:type="dxa"/>
            <w:vAlign w:val="top"/>
            <w:tcBorders>
              <w:bottom w:val="single" w:color="000000" w:sz="2" w:space="0"/>
              <w:top w:val="single" w:color="000000" w:sz="2" w:space="0"/>
            </w:tcBorders>
          </w:tcPr>
          <w:p>
            <w:pPr>
              <w:spacing w:line="249" w:lineRule="auto"/>
              <w:rPr>
                <w:rFonts w:ascii="Arial"/>
                <w:sz w:val="21"/>
              </w:rPr>
            </w:pPr>
            <w:r/>
          </w:p>
          <w:p>
            <w:pPr>
              <w:ind w:left="622"/>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68,246</w:t>
            </w:r>
          </w:p>
        </w:tc>
        <w:tc>
          <w:tcPr>
            <w:shd w:val="clear" w:fill="DBE5F1"/>
            <w:tcW w:w="930" w:type="dxa"/>
            <w:vAlign w:val="top"/>
            <w:tcBorders>
              <w:bottom w:val="single" w:color="000000" w:sz="2" w:space="0"/>
              <w:top w:val="single" w:color="000000" w:sz="2" w:space="0"/>
            </w:tcBorders>
          </w:tcPr>
          <w:p>
            <w:pPr>
              <w:spacing w:line="249" w:lineRule="auto"/>
              <w:rPr>
                <w:rFonts w:ascii="Arial"/>
                <w:sz w:val="21"/>
              </w:rPr>
            </w:pPr>
            <w:r>
              <w:pict>
                <v:shape id="_x0000_s470" style="position:absolute;margin-left:-1.59pt;margin-top:7.19995pt;mso-position-vertical-relative:top-margin-area;mso-position-horizontal-relative:right-margin-area;width:2.9pt;height:19.7pt;z-index:251924480;" fillcolor="#DBE5F1" filled="true" stroked="false" coordsize="58,394" coordorigin="0,0" path="m0,393l57,393l57,0l0,0l0,393xe"/>
              </w:pict>
            </w:r>
            <w:r/>
          </w:p>
          <w:p>
            <w:pPr>
              <w:ind w:left="532"/>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0.94</w:t>
            </w:r>
          </w:p>
        </w:tc>
        <w:tc>
          <w:tcPr>
            <w:shd w:val="clear" w:fill="DBE5F1"/>
            <w:tcW w:w="1019" w:type="dxa"/>
            <w:vAlign w:val="top"/>
            <w:tcBorders>
              <w:bottom w:val="single" w:color="000000" w:sz="2" w:space="0"/>
              <w:top w:val="single" w:color="000000" w:sz="2" w:space="0"/>
            </w:tcBorders>
          </w:tcPr>
          <w:p>
            <w:pPr>
              <w:spacing w:line="249" w:lineRule="auto"/>
              <w:rPr>
                <w:rFonts w:ascii="Arial"/>
                <w:sz w:val="21"/>
              </w:rPr>
            </w:pPr>
            <w:r>
              <w:pict>
                <v:shape id="_x0000_s472" style="position:absolute;margin-left:-1.54004pt;margin-top:7.19995pt;mso-position-vertical-relative:top-margin-area;mso-position-horizontal-relative:right-margin-area;width:2.8pt;height:19.7pt;z-index:251923456;" fillcolor="#DBE5F1" filled="true" stroked="false" coordsize="55,394" coordorigin="0,0" path="m0,393l55,393l55,0l0,0l0,393xe"/>
              </w:pict>
            </w:r>
            <w:r/>
          </w:p>
          <w:p>
            <w:pPr>
              <w:ind w:left="666"/>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648</w:t>
            </w:r>
          </w:p>
        </w:tc>
        <w:tc>
          <w:tcPr>
            <w:shd w:val="clear" w:fill="DBE5F1"/>
            <w:tcW w:w="832" w:type="dxa"/>
            <w:vAlign w:val="top"/>
            <w:tcBorders>
              <w:bottom w:val="single" w:color="000000" w:sz="2" w:space="0"/>
              <w:top w:val="single" w:color="000000" w:sz="2" w:space="0"/>
            </w:tcBorders>
          </w:tcPr>
          <w:p>
            <w:pPr>
              <w:spacing w:line="249" w:lineRule="auto"/>
              <w:rPr>
                <w:rFonts w:ascii="Arial"/>
                <w:sz w:val="21"/>
              </w:rPr>
            </w:pPr>
            <w:r/>
          </w:p>
          <w:p>
            <w:pPr>
              <w:ind w:right="15"/>
              <w:spacing w:before="52"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0.95</w:t>
            </w:r>
          </w:p>
        </w:tc>
        <w:tc>
          <w:tcPr>
            <w:tcW w:w="361" w:type="dxa"/>
            <w:vAlign w:val="top"/>
            <w:tcBorders>
              <w:bottom w:val="single" w:color="000000" w:sz="2" w:space="0"/>
              <w:top w:val="single" w:color="000000" w:sz="2" w:space="0"/>
            </w:tcBorders>
          </w:tcPr>
          <w:p>
            <w:pPr>
              <w:spacing w:before="143" w:line="394" w:lineRule="exact"/>
              <w:rPr/>
            </w:pPr>
            <w:r>
              <w:rPr>
                <w:position w:val="-7"/>
              </w:rPr>
              <w:pict>
                <v:shape id="_x0000_s474" style="mso-position-vertical-relative:line;mso-position-horizontal-relative:char;width:2.9pt;height:19.7pt;" fillcolor="#DBE5F1" filled="true" stroked="false" coordsize="58,394" coordorigin="0,0" path="m0,393l57,393l57,0l0,0l0,393xe"/>
              </w:pict>
            </w:r>
          </w:p>
        </w:tc>
        <w:tc>
          <w:tcPr>
            <w:tcW w:w="1107" w:type="dxa"/>
            <w:vAlign w:val="top"/>
            <w:tcBorders>
              <w:bottom w:val="single" w:color="000000" w:sz="2" w:space="0"/>
              <w:top w:val="single" w:color="000000" w:sz="2" w:space="0"/>
            </w:tcBorders>
          </w:tcPr>
          <w:p>
            <w:pPr>
              <w:spacing w:line="249" w:lineRule="auto"/>
              <w:rPr>
                <w:rFonts w:ascii="Arial"/>
                <w:sz w:val="21"/>
              </w:rPr>
            </w:pPr>
            <w:r/>
          </w:p>
          <w:p>
            <w:pPr>
              <w:ind w:left="411"/>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60,718</w:t>
            </w:r>
          </w:p>
        </w:tc>
        <w:tc>
          <w:tcPr>
            <w:tcW w:w="950" w:type="dxa"/>
            <w:vAlign w:val="top"/>
            <w:tcBorders>
              <w:bottom w:val="single" w:color="000000" w:sz="2" w:space="0"/>
              <w:top w:val="single" w:color="000000" w:sz="2" w:space="0"/>
            </w:tcBorders>
          </w:tcPr>
          <w:p>
            <w:pPr>
              <w:spacing w:line="249" w:lineRule="auto"/>
              <w:rPr>
                <w:rFonts w:ascii="Arial"/>
                <w:sz w:val="21"/>
              </w:rPr>
            </w:pPr>
            <w:r/>
          </w:p>
          <w:p>
            <w:pPr>
              <w:ind w:left="380"/>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0.93</w:t>
            </w:r>
          </w:p>
        </w:tc>
        <w:tc>
          <w:tcPr>
            <w:tcW w:w="1100" w:type="dxa"/>
            <w:vAlign w:val="top"/>
            <w:tcBorders>
              <w:bottom w:val="single" w:color="000000" w:sz="2" w:space="0"/>
              <w:top w:val="single" w:color="000000" w:sz="2" w:space="0"/>
            </w:tcBorders>
          </w:tcPr>
          <w:p>
            <w:pPr>
              <w:spacing w:line="249" w:lineRule="auto"/>
              <w:rPr>
                <w:rFonts w:ascii="Arial"/>
                <w:sz w:val="21"/>
              </w:rPr>
            </w:pPr>
            <w:r/>
          </w:p>
          <w:p>
            <w:pPr>
              <w:ind w:left="370"/>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1,149</w:t>
            </w:r>
          </w:p>
        </w:tc>
        <w:tc>
          <w:tcPr>
            <w:tcW w:w="741" w:type="dxa"/>
            <w:vAlign w:val="top"/>
            <w:tcBorders>
              <w:bottom w:val="single" w:color="000000" w:sz="2" w:space="0"/>
              <w:top w:val="single" w:color="000000" w:sz="2" w:space="0"/>
            </w:tcBorders>
          </w:tcPr>
          <w:p>
            <w:pPr>
              <w:spacing w:line="249" w:lineRule="auto"/>
              <w:rPr>
                <w:rFonts w:ascii="Arial"/>
                <w:sz w:val="21"/>
              </w:rPr>
            </w:pPr>
            <w:r/>
          </w:p>
          <w:p>
            <w:pPr>
              <w:ind w:left="364"/>
              <w:spacing w:before="5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1.89</w:t>
            </w:r>
          </w:p>
        </w:tc>
      </w:tr>
      <w:tr>
        <w:trPr>
          <w:trHeight w:val="401" w:hRule="atLeast"/>
        </w:trPr>
        <w:tc>
          <w:tcPr>
            <w:tcW w:w="1519" w:type="dxa"/>
            <w:vAlign w:val="top"/>
            <w:tcBorders>
              <w:bottom w:val="single" w:color="000000" w:sz="2" w:space="0"/>
              <w:top w:val="single" w:color="000000" w:sz="2" w:space="0"/>
            </w:tcBorders>
          </w:tcPr>
          <w:p>
            <w:pPr>
              <w:pStyle w:val="TableText"/>
              <w:ind w:left="78"/>
              <w:spacing w:before="128" w:line="220" w:lineRule="auto"/>
              <w:rPr>
                <w:sz w:val="18"/>
                <w:szCs w:val="18"/>
              </w:rPr>
            </w:pPr>
            <w:r>
              <w:rPr>
                <w:sz w:val="18"/>
                <w:szCs w:val="18"/>
                <w:spacing w:val="-1"/>
              </w:rPr>
              <w:t>住宿和餐饮业</w:t>
            </w:r>
          </w:p>
        </w:tc>
        <w:tc>
          <w:tcPr>
            <w:shd w:val="clear" w:fill="DBE5F1"/>
            <w:tcW w:w="71" w:type="dxa"/>
            <w:vAlign w:val="top"/>
            <w:tcBorders>
              <w:bottom w:val="single" w:color="000000" w:sz="2" w:space="0"/>
              <w:top w:val="single" w:color="000000" w:sz="2" w:space="0"/>
            </w:tcBorders>
          </w:tcPr>
          <w:p>
            <w:pPr>
              <w:rPr>
                <w:rFonts w:ascii="Arial"/>
                <w:sz w:val="21"/>
              </w:rPr>
            </w:pPr>
            <w:r/>
          </w:p>
        </w:tc>
        <w:tc>
          <w:tcPr>
            <w:shd w:val="clear" w:fill="DBE5F1"/>
            <w:tcW w:w="1168" w:type="dxa"/>
            <w:vAlign w:val="top"/>
            <w:tcBorders>
              <w:bottom w:val="single" w:color="000000" w:sz="2" w:space="0"/>
              <w:top w:val="single" w:color="000000" w:sz="2" w:space="0"/>
            </w:tcBorders>
          </w:tcPr>
          <w:p>
            <w:pPr>
              <w:ind w:left="620"/>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40,168</w:t>
            </w:r>
          </w:p>
        </w:tc>
        <w:tc>
          <w:tcPr>
            <w:shd w:val="clear" w:fill="DBE5F1"/>
            <w:tcW w:w="930" w:type="dxa"/>
            <w:vAlign w:val="top"/>
            <w:tcBorders>
              <w:bottom w:val="single" w:color="000000" w:sz="2" w:space="0"/>
              <w:top w:val="single" w:color="000000" w:sz="2" w:space="0"/>
            </w:tcBorders>
          </w:tcPr>
          <w:p>
            <w:pPr>
              <w:ind w:left="532"/>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0.55</w:t>
            </w:r>
          </w:p>
        </w:tc>
        <w:tc>
          <w:tcPr>
            <w:shd w:val="clear" w:fill="DBE5F1"/>
            <w:tcW w:w="1019" w:type="dxa"/>
            <w:vAlign w:val="top"/>
            <w:tcBorders>
              <w:bottom w:val="single" w:color="000000" w:sz="2" w:space="0"/>
              <w:top w:val="single" w:color="000000" w:sz="2" w:space="0"/>
            </w:tcBorders>
          </w:tcPr>
          <w:p>
            <w:pPr>
              <w:spacing w:before="2"/>
              <w:jc w:val="right"/>
              <w:rPr>
                <w:sz w:val="18"/>
                <w:szCs w:val="18"/>
              </w:rPr>
            </w:pPr>
            <w:r>
              <w:rPr>
                <w:rFonts w:ascii="Times New Roman" w:hAnsi="Times New Roman" w:eastAsia="Times New Roman" w:cs="Times New Roman"/>
                <w:sz w:val="18"/>
                <w:szCs w:val="18"/>
                <w:b/>
                <w:bCs/>
                <w:spacing w:val="-5"/>
              </w:rPr>
              <w:t>4,221</w:t>
            </w:r>
            <w:r>
              <w:rPr>
                <w:rFonts w:ascii="Times New Roman" w:hAnsi="Times New Roman" w:eastAsia="Times New Roman" w:cs="Times New Roman"/>
                <w:sz w:val="18"/>
                <w:szCs w:val="18"/>
                <w:b/>
                <w:bCs/>
                <w:spacing w:val="10"/>
              </w:rPr>
              <w:t xml:space="preserve"> </w:t>
            </w:r>
            <w:r>
              <w:rPr>
                <w:sz w:val="18"/>
                <w:szCs w:val="18"/>
                <w:position w:val="-10"/>
              </w:rPr>
              <w:drawing>
                <wp:inline distT="0" distB="0" distL="0" distR="0">
                  <wp:extent cx="33387" cy="246761"/>
                  <wp:effectExtent l="0" t="0" r="0" b="0"/>
                  <wp:docPr id="160" name="IM 160"/>
                  <wp:cNvGraphicFramePr/>
                  <a:graphic>
                    <a:graphicData uri="http://schemas.openxmlformats.org/drawingml/2006/picture">
                      <pic:pic>
                        <pic:nvPicPr>
                          <pic:cNvPr id="160" name="IM 160"/>
                          <pic:cNvPicPr/>
                        </pic:nvPicPr>
                        <pic:blipFill>
                          <a:blip r:embed="rId82"/>
                          <a:stretch>
                            <a:fillRect/>
                          </a:stretch>
                        </pic:blipFill>
                        <pic:spPr>
                          <a:xfrm rot="0">
                            <a:off x="0" y="0"/>
                            <a:ext cx="33387" cy="246761"/>
                          </a:xfrm>
                          <a:prstGeom prst="rect">
                            <a:avLst/>
                          </a:prstGeom>
                        </pic:spPr>
                      </pic:pic>
                    </a:graphicData>
                  </a:graphic>
                </wp:inline>
              </w:drawing>
            </w:r>
          </w:p>
        </w:tc>
        <w:tc>
          <w:tcPr>
            <w:shd w:val="clear" w:fill="DBE5F1"/>
            <w:tcW w:w="832" w:type="dxa"/>
            <w:vAlign w:val="top"/>
            <w:tcBorders>
              <w:bottom w:val="single" w:color="000000" w:sz="2" w:space="0"/>
              <w:top w:val="single" w:color="000000" w:sz="2" w:space="0"/>
            </w:tcBorders>
          </w:tcPr>
          <w:p>
            <w:pPr>
              <w:ind w:right="14"/>
              <w:spacing w:before="161"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10.51</w:t>
            </w:r>
          </w:p>
        </w:tc>
        <w:tc>
          <w:tcPr>
            <w:tcW w:w="361" w:type="dxa"/>
            <w:vAlign w:val="top"/>
            <w:tcBorders>
              <w:bottom w:val="single" w:color="000000" w:sz="2" w:space="0"/>
              <w:top w:val="single" w:color="000000" w:sz="2" w:space="0"/>
            </w:tcBorders>
          </w:tcPr>
          <w:p>
            <w:pPr>
              <w:spacing w:before="2" w:line="388" w:lineRule="exact"/>
              <w:rPr/>
            </w:pPr>
            <w:r>
              <w:rPr>
                <w:position w:val="-8"/>
              </w:rPr>
              <w:pict>
                <v:shape id="_x0000_s476" style="mso-position-vertical-relative:line;mso-position-horizontal-relative:char;width:2.9pt;height:19.8pt;" fillcolor="#DBE5F1" filled="true" stroked="false" coordsize="58,395" coordorigin="0,0" path="m0,395l57,395l57,0l0,0l0,395xe"/>
              </w:pict>
            </w:r>
          </w:p>
        </w:tc>
        <w:tc>
          <w:tcPr>
            <w:tcW w:w="1107" w:type="dxa"/>
            <w:vAlign w:val="top"/>
            <w:tcBorders>
              <w:bottom w:val="single" w:color="000000" w:sz="2" w:space="0"/>
              <w:top w:val="single" w:color="000000" w:sz="2" w:space="0"/>
            </w:tcBorders>
          </w:tcPr>
          <w:p>
            <w:pPr>
              <w:ind w:left="411"/>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34,133</w:t>
            </w:r>
          </w:p>
        </w:tc>
        <w:tc>
          <w:tcPr>
            <w:tcW w:w="950" w:type="dxa"/>
            <w:vAlign w:val="top"/>
            <w:tcBorders>
              <w:bottom w:val="single" w:color="000000" w:sz="2" w:space="0"/>
              <w:top w:val="single" w:color="000000" w:sz="2" w:space="0"/>
            </w:tcBorders>
          </w:tcPr>
          <w:p>
            <w:pPr>
              <w:ind w:left="380"/>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0.52</w:t>
            </w:r>
          </w:p>
        </w:tc>
        <w:tc>
          <w:tcPr>
            <w:tcW w:w="1100" w:type="dxa"/>
            <w:vAlign w:val="top"/>
            <w:tcBorders>
              <w:bottom w:val="single" w:color="000000" w:sz="2" w:space="0"/>
              <w:top w:val="single" w:color="000000" w:sz="2" w:space="0"/>
            </w:tcBorders>
          </w:tcPr>
          <w:p>
            <w:pPr>
              <w:ind w:left="370"/>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1,593</w:t>
            </w:r>
          </w:p>
        </w:tc>
        <w:tc>
          <w:tcPr>
            <w:tcW w:w="741" w:type="dxa"/>
            <w:vAlign w:val="top"/>
            <w:tcBorders>
              <w:bottom w:val="single" w:color="000000" w:sz="2" w:space="0"/>
              <w:top w:val="single" w:color="000000" w:sz="2" w:space="0"/>
            </w:tcBorders>
          </w:tcPr>
          <w:p>
            <w:pPr>
              <w:ind w:left="346"/>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4.67</w:t>
            </w:r>
          </w:p>
        </w:tc>
      </w:tr>
      <w:tr>
        <w:trPr>
          <w:trHeight w:val="398" w:hRule="atLeast"/>
        </w:trPr>
        <w:tc>
          <w:tcPr>
            <w:tcW w:w="1519" w:type="dxa"/>
            <w:vAlign w:val="top"/>
            <w:tcBorders>
              <w:bottom w:val="single" w:color="000000" w:sz="2" w:space="0"/>
              <w:top w:val="single" w:color="000000" w:sz="2" w:space="0"/>
            </w:tcBorders>
          </w:tcPr>
          <w:p>
            <w:pPr>
              <w:pStyle w:val="TableText"/>
              <w:ind w:left="79"/>
              <w:spacing w:before="128" w:line="220" w:lineRule="auto"/>
              <w:rPr>
                <w:sz w:val="18"/>
                <w:szCs w:val="18"/>
              </w:rPr>
            </w:pPr>
            <w:r>
              <w:rPr>
                <w:sz w:val="18"/>
                <w:szCs w:val="18"/>
                <w:b/>
                <w:bCs/>
                <w:spacing w:val="-4"/>
              </w:rPr>
              <w:t>个人贷款</w:t>
            </w:r>
          </w:p>
        </w:tc>
        <w:tc>
          <w:tcPr>
            <w:shd w:val="clear" w:fill="DBE5F1"/>
            <w:tcW w:w="71" w:type="dxa"/>
            <w:vAlign w:val="top"/>
            <w:tcBorders>
              <w:bottom w:val="single" w:color="000000" w:sz="2" w:space="0"/>
              <w:top w:val="single" w:color="000000" w:sz="2" w:space="0"/>
            </w:tcBorders>
          </w:tcPr>
          <w:p>
            <w:pPr>
              <w:rPr>
                <w:rFonts w:ascii="Arial"/>
                <w:sz w:val="21"/>
              </w:rPr>
            </w:pPr>
            <w:r/>
          </w:p>
        </w:tc>
        <w:tc>
          <w:tcPr>
            <w:shd w:val="clear" w:fill="DBE5F1"/>
            <w:tcW w:w="1168" w:type="dxa"/>
            <w:vAlign w:val="top"/>
            <w:tcBorders>
              <w:bottom w:val="single" w:color="000000" w:sz="2" w:space="0"/>
              <w:top w:val="single" w:color="000000" w:sz="2" w:space="0"/>
            </w:tcBorders>
          </w:tcPr>
          <w:p>
            <w:pPr>
              <w:ind w:left="394"/>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2,366,507</w:t>
            </w:r>
          </w:p>
        </w:tc>
        <w:tc>
          <w:tcPr>
            <w:shd w:val="clear" w:fill="DBE5F1"/>
            <w:tcW w:w="930" w:type="dxa"/>
            <w:vAlign w:val="top"/>
            <w:tcBorders>
              <w:bottom w:val="single" w:color="000000" w:sz="2" w:space="0"/>
              <w:top w:val="single" w:color="000000" w:sz="2" w:space="0"/>
            </w:tcBorders>
          </w:tcPr>
          <w:p>
            <w:pPr>
              <w:ind w:left="440"/>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32.43</w:t>
            </w:r>
          </w:p>
        </w:tc>
        <w:tc>
          <w:tcPr>
            <w:shd w:val="clear" w:fill="DBE5F1"/>
            <w:tcW w:w="1019" w:type="dxa"/>
            <w:vAlign w:val="top"/>
            <w:tcBorders>
              <w:bottom w:val="single" w:color="000000" w:sz="2" w:space="0"/>
              <w:top w:val="single" w:color="000000" w:sz="2" w:space="0"/>
            </w:tcBorders>
          </w:tcPr>
          <w:p>
            <w:pPr>
              <w:spacing w:before="1"/>
              <w:jc w:val="right"/>
              <w:rPr>
                <w:sz w:val="18"/>
                <w:szCs w:val="18"/>
              </w:rPr>
            </w:pPr>
            <w:r>
              <w:rPr>
                <w:rFonts w:ascii="Times New Roman" w:hAnsi="Times New Roman" w:eastAsia="Times New Roman" w:cs="Times New Roman"/>
                <w:sz w:val="18"/>
                <w:szCs w:val="18"/>
                <w:b/>
                <w:bCs/>
                <w:spacing w:val="-5"/>
              </w:rPr>
              <w:t>20,003</w:t>
            </w:r>
            <w:r>
              <w:rPr>
                <w:rFonts w:ascii="Times New Roman" w:hAnsi="Times New Roman" w:eastAsia="Times New Roman" w:cs="Times New Roman"/>
                <w:sz w:val="18"/>
                <w:szCs w:val="18"/>
                <w:b/>
                <w:bCs/>
                <w:spacing w:val="14"/>
                <w:w w:val="101"/>
              </w:rPr>
              <w:t xml:space="preserve"> </w:t>
            </w:r>
            <w:r>
              <w:rPr>
                <w:sz w:val="18"/>
                <w:szCs w:val="18"/>
                <w:position w:val="-10"/>
              </w:rPr>
              <w:drawing>
                <wp:inline distT="0" distB="0" distL="0" distR="0">
                  <wp:extent cx="33633" cy="245111"/>
                  <wp:effectExtent l="0" t="0" r="0" b="0"/>
                  <wp:docPr id="162" name="IM 162"/>
                  <wp:cNvGraphicFramePr/>
                  <a:graphic>
                    <a:graphicData uri="http://schemas.openxmlformats.org/drawingml/2006/picture">
                      <pic:pic>
                        <pic:nvPicPr>
                          <pic:cNvPr id="162" name="IM 162"/>
                          <pic:cNvPicPr/>
                        </pic:nvPicPr>
                        <pic:blipFill>
                          <a:blip r:embed="rId83"/>
                          <a:stretch>
                            <a:fillRect/>
                          </a:stretch>
                        </pic:blipFill>
                        <pic:spPr>
                          <a:xfrm rot="0">
                            <a:off x="0" y="0"/>
                            <a:ext cx="33633" cy="245111"/>
                          </a:xfrm>
                          <a:prstGeom prst="rect">
                            <a:avLst/>
                          </a:prstGeom>
                        </pic:spPr>
                      </pic:pic>
                    </a:graphicData>
                  </a:graphic>
                </wp:inline>
              </w:drawing>
            </w:r>
          </w:p>
        </w:tc>
        <w:tc>
          <w:tcPr>
            <w:shd w:val="clear" w:fill="DBE5F1"/>
            <w:tcW w:w="832" w:type="dxa"/>
            <w:vAlign w:val="top"/>
            <w:tcBorders>
              <w:bottom w:val="single" w:color="000000" w:sz="2" w:space="0"/>
              <w:top w:val="single" w:color="000000" w:sz="2" w:space="0"/>
            </w:tcBorders>
          </w:tcPr>
          <w:p>
            <w:pPr>
              <w:ind w:right="15"/>
              <w:spacing w:before="161"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0.85</w:t>
            </w:r>
          </w:p>
        </w:tc>
        <w:tc>
          <w:tcPr>
            <w:tcW w:w="361" w:type="dxa"/>
            <w:vAlign w:val="top"/>
            <w:tcBorders>
              <w:bottom w:val="single" w:color="000000" w:sz="2" w:space="0"/>
              <w:top w:val="single" w:color="000000" w:sz="2" w:space="0"/>
            </w:tcBorders>
          </w:tcPr>
          <w:p>
            <w:pPr>
              <w:spacing w:before="1" w:line="386" w:lineRule="exact"/>
              <w:rPr/>
            </w:pPr>
            <w:r>
              <w:rPr>
                <w:position w:val="-8"/>
              </w:rPr>
              <w:pict>
                <v:shape id="_x0000_s478" style="mso-position-vertical-relative:line;mso-position-horizontal-relative:char;width:2.9pt;height:19.7pt;" fillcolor="#DBE5F1" filled="true" stroked="false" coordsize="58,394" coordorigin="0,0" path="m0,393l57,393l57,0l0,0l0,393xe"/>
              </w:pict>
            </w:r>
          </w:p>
        </w:tc>
        <w:tc>
          <w:tcPr>
            <w:tcW w:w="1107" w:type="dxa"/>
            <w:vAlign w:val="top"/>
            <w:tcBorders>
              <w:bottom w:val="single" w:color="000000" w:sz="2" w:space="0"/>
              <w:top w:val="single" w:color="000000" w:sz="2" w:space="0"/>
            </w:tcBorders>
          </w:tcPr>
          <w:p>
            <w:pPr>
              <w:ind w:left="181"/>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2,285,096</w:t>
            </w:r>
          </w:p>
        </w:tc>
        <w:tc>
          <w:tcPr>
            <w:tcW w:w="950" w:type="dxa"/>
            <w:vAlign w:val="top"/>
            <w:tcBorders>
              <w:bottom w:val="single" w:color="000000" w:sz="2" w:space="0"/>
              <w:top w:val="single" w:color="000000" w:sz="2" w:space="0"/>
            </w:tcBorders>
          </w:tcPr>
          <w:p>
            <w:pPr>
              <w:ind w:left="290"/>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34.83</w:t>
            </w:r>
          </w:p>
        </w:tc>
        <w:tc>
          <w:tcPr>
            <w:tcW w:w="1100" w:type="dxa"/>
            <w:vAlign w:val="top"/>
            <w:tcBorders>
              <w:bottom w:val="single" w:color="000000" w:sz="2" w:space="0"/>
              <w:top w:val="single" w:color="000000" w:sz="2" w:space="0"/>
            </w:tcBorders>
          </w:tcPr>
          <w:p>
            <w:pPr>
              <w:ind w:left="281"/>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19,168</w:t>
            </w:r>
          </w:p>
        </w:tc>
        <w:tc>
          <w:tcPr>
            <w:tcW w:w="741" w:type="dxa"/>
            <w:vAlign w:val="top"/>
            <w:tcBorders>
              <w:bottom w:val="single" w:color="000000" w:sz="2" w:space="0"/>
              <w:top w:val="single" w:color="000000" w:sz="2" w:space="0"/>
            </w:tcBorders>
          </w:tcPr>
          <w:p>
            <w:pPr>
              <w:ind w:left="349"/>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0.84</w:t>
            </w:r>
          </w:p>
        </w:tc>
      </w:tr>
      <w:tr>
        <w:trPr>
          <w:trHeight w:val="398" w:hRule="atLeast"/>
        </w:trPr>
        <w:tc>
          <w:tcPr>
            <w:tcW w:w="1519" w:type="dxa"/>
            <w:vAlign w:val="top"/>
            <w:tcBorders>
              <w:bottom w:val="single" w:color="000000" w:sz="2" w:space="0"/>
              <w:top w:val="single" w:color="000000" w:sz="2" w:space="0"/>
            </w:tcBorders>
          </w:tcPr>
          <w:p>
            <w:pPr>
              <w:pStyle w:val="TableText"/>
              <w:ind w:left="80"/>
              <w:spacing w:before="128" w:line="220" w:lineRule="auto"/>
              <w:rPr>
                <w:sz w:val="18"/>
                <w:szCs w:val="18"/>
              </w:rPr>
            </w:pPr>
            <w:r>
              <w:rPr>
                <w:sz w:val="18"/>
                <w:szCs w:val="18"/>
                <w:b/>
                <w:bCs/>
                <w:spacing w:val="-4"/>
              </w:rPr>
              <w:t>票据贴现</w:t>
            </w:r>
          </w:p>
        </w:tc>
        <w:tc>
          <w:tcPr>
            <w:shd w:val="clear" w:fill="DBE5F1"/>
            <w:tcW w:w="71" w:type="dxa"/>
            <w:vAlign w:val="top"/>
            <w:tcBorders>
              <w:bottom w:val="single" w:color="000000" w:sz="2" w:space="0"/>
              <w:top w:val="single" w:color="000000" w:sz="2" w:space="0"/>
            </w:tcBorders>
          </w:tcPr>
          <w:p>
            <w:pPr>
              <w:rPr>
                <w:rFonts w:ascii="Arial"/>
                <w:sz w:val="21"/>
              </w:rPr>
            </w:pPr>
            <w:r/>
          </w:p>
        </w:tc>
        <w:tc>
          <w:tcPr>
            <w:shd w:val="clear" w:fill="DBE5F1"/>
            <w:tcW w:w="1168" w:type="dxa"/>
            <w:vAlign w:val="top"/>
            <w:tcBorders>
              <w:bottom w:val="single" w:color="000000" w:sz="2" w:space="0"/>
              <w:top w:val="single" w:color="000000" w:sz="2" w:space="0"/>
            </w:tcBorders>
          </w:tcPr>
          <w:p>
            <w:pPr>
              <w:ind w:left="531"/>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218,295</w:t>
            </w:r>
          </w:p>
        </w:tc>
        <w:tc>
          <w:tcPr>
            <w:shd w:val="clear" w:fill="DBE5F1"/>
            <w:tcW w:w="930" w:type="dxa"/>
            <w:vAlign w:val="top"/>
            <w:tcBorders>
              <w:bottom w:val="single" w:color="000000" w:sz="2" w:space="0"/>
              <w:top w:val="single" w:color="000000" w:sz="2" w:space="0"/>
            </w:tcBorders>
          </w:tcPr>
          <w:p>
            <w:pPr>
              <w:ind w:left="530"/>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2.99</w:t>
            </w:r>
          </w:p>
        </w:tc>
        <w:tc>
          <w:tcPr>
            <w:shd w:val="clear" w:fill="DBE5F1"/>
            <w:tcW w:w="1019" w:type="dxa"/>
            <w:vAlign w:val="top"/>
            <w:tcBorders>
              <w:bottom w:val="single" w:color="000000" w:sz="2" w:space="0"/>
              <w:top w:val="single" w:color="000000" w:sz="2" w:space="0"/>
            </w:tcBorders>
          </w:tcPr>
          <w:p>
            <w:pPr>
              <w:ind w:left="753"/>
              <w:spacing w:before="161" w:line="186" w:lineRule="auto"/>
              <w:rPr>
                <w:rFonts w:ascii="Times New Roman" w:hAnsi="Times New Roman" w:eastAsia="Times New Roman" w:cs="Times New Roman"/>
                <w:sz w:val="18"/>
                <w:szCs w:val="18"/>
              </w:rPr>
            </w:pPr>
            <w:r>
              <w:pict>
                <v:shape id="_x0000_s480" style="position:absolute;margin-left:-1.54004pt;margin-top:0.109924pt;mso-position-vertical-relative:top-margin-area;mso-position-horizontal-relative:right-margin-area;width:2.8pt;height:19.7pt;z-index:251925504;" fillcolor="#DBE5F1" filled="true" stroked="false" coordsize="55,394" coordorigin="0,0" path="m0,393l55,393l55,0l0,0l0,393xe"/>
              </w:pict>
            </w:r>
            <w:r>
              <w:rPr>
                <w:rFonts w:ascii="Times New Roman" w:hAnsi="Times New Roman" w:eastAsia="Times New Roman" w:cs="Times New Roman"/>
                <w:sz w:val="18"/>
                <w:szCs w:val="18"/>
                <w:b/>
                <w:bCs/>
                <w:spacing w:val="-1"/>
              </w:rPr>
              <w:t>36</w:t>
            </w:r>
          </w:p>
        </w:tc>
        <w:tc>
          <w:tcPr>
            <w:shd w:val="clear" w:fill="DBE5F1"/>
            <w:tcW w:w="832" w:type="dxa"/>
            <w:vAlign w:val="top"/>
            <w:tcBorders>
              <w:bottom w:val="single" w:color="000000" w:sz="2" w:space="0"/>
              <w:top w:val="single" w:color="000000" w:sz="2" w:space="0"/>
            </w:tcBorders>
          </w:tcPr>
          <w:p>
            <w:pPr>
              <w:ind w:right="15"/>
              <w:spacing w:before="161"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0.02</w:t>
            </w:r>
          </w:p>
        </w:tc>
        <w:tc>
          <w:tcPr>
            <w:tcW w:w="361" w:type="dxa"/>
            <w:vAlign w:val="top"/>
            <w:tcBorders>
              <w:bottom w:val="single" w:color="000000" w:sz="2" w:space="0"/>
              <w:top w:val="single" w:color="000000" w:sz="2" w:space="0"/>
            </w:tcBorders>
          </w:tcPr>
          <w:p>
            <w:pPr>
              <w:spacing w:before="2" w:line="385" w:lineRule="exact"/>
              <w:rPr/>
            </w:pPr>
            <w:r>
              <w:rPr>
                <w:position w:val="-8"/>
              </w:rPr>
              <w:pict>
                <v:shape id="_x0000_s482" style="mso-position-vertical-relative:line;mso-position-horizontal-relative:char;width:2.9pt;height:19.7pt;" fillcolor="#DBE5F1" filled="true" stroked="false" coordsize="58,394" coordorigin="0,0" path="m0,393l57,393l57,0l0,0l0,393xe"/>
              </w:pict>
            </w:r>
          </w:p>
        </w:tc>
        <w:tc>
          <w:tcPr>
            <w:tcW w:w="1107" w:type="dxa"/>
            <w:vAlign w:val="top"/>
            <w:tcBorders>
              <w:bottom w:val="single" w:color="000000" w:sz="2" w:space="0"/>
              <w:top w:val="single" w:color="000000" w:sz="2" w:space="0"/>
            </w:tcBorders>
          </w:tcPr>
          <w:p>
            <w:pPr>
              <w:ind w:left="333"/>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136,722</w:t>
            </w:r>
          </w:p>
        </w:tc>
        <w:tc>
          <w:tcPr>
            <w:tcW w:w="950" w:type="dxa"/>
            <w:vAlign w:val="top"/>
            <w:tcBorders>
              <w:bottom w:val="single" w:color="000000" w:sz="2" w:space="0"/>
              <w:top w:val="single" w:color="000000" w:sz="2" w:space="0"/>
            </w:tcBorders>
          </w:tcPr>
          <w:p>
            <w:pPr>
              <w:ind w:left="378"/>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2.08</w:t>
            </w:r>
          </w:p>
        </w:tc>
        <w:tc>
          <w:tcPr>
            <w:tcW w:w="1100" w:type="dxa"/>
            <w:vAlign w:val="top"/>
            <w:tcBorders>
              <w:bottom w:val="single" w:color="000000" w:sz="2" w:space="0"/>
              <w:top w:val="single" w:color="000000" w:sz="2" w:space="0"/>
            </w:tcBorders>
          </w:tcPr>
          <w:p>
            <w:pPr>
              <w:ind w:left="595"/>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10</w:t>
            </w:r>
          </w:p>
        </w:tc>
        <w:tc>
          <w:tcPr>
            <w:tcW w:w="741" w:type="dxa"/>
            <w:vAlign w:val="top"/>
            <w:tcBorders>
              <w:bottom w:val="single" w:color="000000" w:sz="2" w:space="0"/>
              <w:top w:val="single" w:color="000000" w:sz="2" w:space="0"/>
            </w:tcBorders>
          </w:tcPr>
          <w:p>
            <w:pPr>
              <w:ind w:left="349"/>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0.01</w:t>
            </w:r>
          </w:p>
        </w:tc>
      </w:tr>
      <w:tr>
        <w:trPr>
          <w:trHeight w:val="400" w:hRule="atLeast"/>
        </w:trPr>
        <w:tc>
          <w:tcPr>
            <w:tcW w:w="1519" w:type="dxa"/>
            <w:vAlign w:val="top"/>
            <w:tcBorders>
              <w:bottom w:val="single" w:color="000000" w:sz="2" w:space="0"/>
              <w:top w:val="single" w:color="000000" w:sz="2" w:space="0"/>
            </w:tcBorders>
          </w:tcPr>
          <w:p>
            <w:pPr>
              <w:pStyle w:val="TableText"/>
              <w:ind w:left="79"/>
              <w:spacing w:before="128" w:line="222" w:lineRule="auto"/>
              <w:rPr>
                <w:sz w:val="18"/>
                <w:szCs w:val="18"/>
              </w:rPr>
            </w:pPr>
            <w:r>
              <w:rPr>
                <w:sz w:val="18"/>
                <w:szCs w:val="18"/>
                <w:b/>
                <w:bCs/>
                <w:spacing w:val="-4"/>
              </w:rPr>
              <w:t>合计</w:t>
            </w:r>
          </w:p>
        </w:tc>
        <w:tc>
          <w:tcPr>
            <w:shd w:val="clear" w:fill="DBE5F1"/>
            <w:tcW w:w="71" w:type="dxa"/>
            <w:vAlign w:val="top"/>
            <w:tcBorders>
              <w:bottom w:val="single" w:color="000000" w:sz="2" w:space="0"/>
              <w:top w:val="single" w:color="000000" w:sz="2" w:space="0"/>
            </w:tcBorders>
          </w:tcPr>
          <w:p>
            <w:pPr>
              <w:rPr>
                <w:rFonts w:ascii="Arial"/>
                <w:sz w:val="21"/>
              </w:rPr>
            </w:pPr>
            <w:r/>
          </w:p>
        </w:tc>
        <w:tc>
          <w:tcPr>
            <w:shd w:val="clear" w:fill="DBE5F1"/>
            <w:tcW w:w="1168" w:type="dxa"/>
            <w:vAlign w:val="top"/>
            <w:tcBorders>
              <w:bottom w:val="single" w:color="000000" w:sz="2" w:space="0"/>
              <w:top w:val="single" w:color="000000" w:sz="2" w:space="0"/>
            </w:tcBorders>
          </w:tcPr>
          <w:p>
            <w:pPr>
              <w:ind w:left="396"/>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7,296,155</w:t>
            </w:r>
          </w:p>
        </w:tc>
        <w:tc>
          <w:tcPr>
            <w:shd w:val="clear" w:fill="DBE5F1"/>
            <w:tcW w:w="930" w:type="dxa"/>
            <w:vAlign w:val="top"/>
            <w:tcBorders>
              <w:bottom w:val="single" w:color="000000" w:sz="2" w:space="0"/>
              <w:top w:val="single" w:color="000000" w:sz="2" w:space="0"/>
            </w:tcBorders>
          </w:tcPr>
          <w:p>
            <w:pPr>
              <w:ind w:left="358"/>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100.00</w:t>
            </w:r>
          </w:p>
        </w:tc>
        <w:tc>
          <w:tcPr>
            <w:shd w:val="clear" w:fill="DBE5F1"/>
            <w:tcW w:w="1019" w:type="dxa"/>
            <w:vAlign w:val="top"/>
            <w:tcBorders>
              <w:bottom w:val="single" w:color="000000" w:sz="2" w:space="0"/>
              <w:top w:val="single" w:color="000000" w:sz="2" w:space="0"/>
            </w:tcBorders>
          </w:tcPr>
          <w:p>
            <w:pPr>
              <w:spacing w:before="2"/>
              <w:jc w:val="right"/>
              <w:rPr>
                <w:sz w:val="18"/>
                <w:szCs w:val="18"/>
              </w:rPr>
            </w:pPr>
            <w:r>
              <w:rPr>
                <w:rFonts w:ascii="Times New Roman" w:hAnsi="Times New Roman" w:eastAsia="Times New Roman" w:cs="Times New Roman"/>
                <w:sz w:val="18"/>
                <w:szCs w:val="18"/>
                <w:b/>
                <w:bCs/>
                <w:spacing w:val="-5"/>
              </w:rPr>
              <w:t>98,526</w:t>
            </w:r>
            <w:r>
              <w:rPr>
                <w:rFonts w:ascii="Times New Roman" w:hAnsi="Times New Roman" w:eastAsia="Times New Roman" w:cs="Times New Roman"/>
                <w:sz w:val="18"/>
                <w:szCs w:val="18"/>
                <w:b/>
                <w:bCs/>
                <w:spacing w:val="13"/>
              </w:rPr>
              <w:t xml:space="preserve"> </w:t>
            </w:r>
            <w:r>
              <w:rPr>
                <w:sz w:val="18"/>
                <w:szCs w:val="18"/>
                <w:position w:val="-11"/>
              </w:rPr>
              <w:drawing>
                <wp:inline distT="0" distB="0" distL="0" distR="0">
                  <wp:extent cx="33630" cy="246126"/>
                  <wp:effectExtent l="0" t="0" r="0" b="0"/>
                  <wp:docPr id="164" name="IM 164"/>
                  <wp:cNvGraphicFramePr/>
                  <a:graphic>
                    <a:graphicData uri="http://schemas.openxmlformats.org/drawingml/2006/picture">
                      <pic:pic>
                        <pic:nvPicPr>
                          <pic:cNvPr id="164" name="IM 164"/>
                          <pic:cNvPicPr/>
                        </pic:nvPicPr>
                        <pic:blipFill>
                          <a:blip r:embed="rId84"/>
                          <a:stretch>
                            <a:fillRect/>
                          </a:stretch>
                        </pic:blipFill>
                        <pic:spPr>
                          <a:xfrm rot="0">
                            <a:off x="0" y="0"/>
                            <a:ext cx="33630" cy="246126"/>
                          </a:xfrm>
                          <a:prstGeom prst="rect">
                            <a:avLst/>
                          </a:prstGeom>
                        </pic:spPr>
                      </pic:pic>
                    </a:graphicData>
                  </a:graphic>
                </wp:inline>
              </w:drawing>
            </w:r>
          </w:p>
        </w:tc>
        <w:tc>
          <w:tcPr>
            <w:shd w:val="clear" w:fill="DBE5F1"/>
            <w:tcW w:w="832" w:type="dxa"/>
            <w:vAlign w:val="top"/>
            <w:tcBorders>
              <w:bottom w:val="single" w:color="000000" w:sz="2" w:space="0"/>
              <w:top w:val="single" w:color="000000" w:sz="2" w:space="0"/>
            </w:tcBorders>
          </w:tcPr>
          <w:p>
            <w:pPr>
              <w:ind w:right="15"/>
              <w:spacing w:before="161"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1.35</w:t>
            </w:r>
          </w:p>
        </w:tc>
        <w:tc>
          <w:tcPr>
            <w:tcW w:w="361" w:type="dxa"/>
            <w:vAlign w:val="top"/>
            <w:tcBorders>
              <w:bottom w:val="single" w:color="000000" w:sz="2" w:space="0"/>
              <w:top w:val="single" w:color="000000" w:sz="2" w:space="0"/>
            </w:tcBorders>
          </w:tcPr>
          <w:p>
            <w:pPr>
              <w:spacing w:before="2" w:line="387" w:lineRule="exact"/>
              <w:rPr/>
            </w:pPr>
            <w:r>
              <w:rPr>
                <w:position w:val="-8"/>
              </w:rPr>
              <w:pict>
                <v:shape id="_x0000_s484" style="mso-position-vertical-relative:line;mso-position-horizontal-relative:char;width:2.9pt;height:19.8pt;" fillcolor="#DBE5F1" filled="true" stroked="false" coordsize="58,395" coordorigin="0,0" path="m0,395l57,395l57,0l0,0l0,395xe"/>
              </w:pict>
            </w:r>
          </w:p>
        </w:tc>
        <w:tc>
          <w:tcPr>
            <w:tcW w:w="1107" w:type="dxa"/>
            <w:vAlign w:val="top"/>
            <w:tcBorders>
              <w:bottom w:val="single" w:color="000000" w:sz="2" w:space="0"/>
              <w:top w:val="single" w:color="000000" w:sz="2" w:space="0"/>
            </w:tcBorders>
          </w:tcPr>
          <w:p>
            <w:pPr>
              <w:ind w:left="185"/>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6,560,400</w:t>
            </w:r>
          </w:p>
        </w:tc>
        <w:tc>
          <w:tcPr>
            <w:tcW w:w="950" w:type="dxa"/>
            <w:vAlign w:val="top"/>
            <w:tcBorders>
              <w:bottom w:val="single" w:color="000000" w:sz="2" w:space="0"/>
              <w:top w:val="single" w:color="000000" w:sz="2" w:space="0"/>
            </w:tcBorders>
          </w:tcPr>
          <w:p>
            <w:pPr>
              <w:ind w:left="215"/>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100.00</w:t>
            </w:r>
          </w:p>
        </w:tc>
        <w:tc>
          <w:tcPr>
            <w:tcW w:w="1100" w:type="dxa"/>
            <w:vAlign w:val="top"/>
            <w:tcBorders>
              <w:bottom w:val="single" w:color="000000" w:sz="2" w:space="0"/>
              <w:top w:val="single" w:color="000000" w:sz="2" w:space="0"/>
            </w:tcBorders>
          </w:tcPr>
          <w:p>
            <w:pPr>
              <w:ind w:left="267"/>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96,796</w:t>
            </w:r>
          </w:p>
        </w:tc>
        <w:tc>
          <w:tcPr>
            <w:tcW w:w="741" w:type="dxa"/>
            <w:vAlign w:val="top"/>
            <w:tcBorders>
              <w:bottom w:val="single" w:color="000000" w:sz="2" w:space="0"/>
              <w:top w:val="single" w:color="000000" w:sz="2" w:space="0"/>
            </w:tcBorders>
          </w:tcPr>
          <w:p>
            <w:pPr>
              <w:ind w:left="364"/>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1.48</w:t>
            </w:r>
          </w:p>
        </w:tc>
      </w:tr>
      <w:tr>
        <w:trPr>
          <w:trHeight w:val="3802" w:hRule="atLeast"/>
        </w:trPr>
        <w:tc>
          <w:tcPr>
            <w:tcW w:w="9798" w:type="dxa"/>
            <w:vAlign w:val="top"/>
            <w:gridSpan w:val="11"/>
            <w:tcBorders>
              <w:bottom w:val="single" w:color="000000" w:sz="2" w:space="0"/>
              <w:top w:val="single" w:color="000000" w:sz="2" w:space="0"/>
            </w:tcBorders>
          </w:tcPr>
          <w:p>
            <w:pPr>
              <w:pStyle w:val="TableText"/>
              <w:ind w:left="77" w:firstLine="423"/>
              <w:spacing w:before="261" w:line="303" w:lineRule="auto"/>
              <w:jc w:val="both"/>
              <w:rPr/>
            </w:pPr>
            <w:r>
              <w:rPr>
                <w:spacing w:val="8"/>
              </w:rPr>
              <w:t>本集团积极贯彻落实国家政策部署,</w:t>
            </w:r>
            <w:r>
              <w:rPr>
                <w:spacing w:val="43"/>
              </w:rPr>
              <w:t xml:space="preserve"> </w:t>
            </w:r>
            <w:r>
              <w:rPr>
                <w:spacing w:val="8"/>
              </w:rPr>
              <w:t>持续加大实体经济融资支持力度。制造业贷款较上年末增加</w:t>
            </w:r>
            <w:r>
              <w:rPr/>
              <w:t xml:space="preserve">  </w:t>
            </w:r>
            <w:r>
              <w:rPr>
                <w:rFonts w:ascii="Times New Roman" w:hAnsi="Times New Roman" w:eastAsia="Times New Roman" w:cs="Times New Roman"/>
                <w:spacing w:val="-4"/>
              </w:rPr>
              <w:t>1,039.67 </w:t>
            </w:r>
            <w:r>
              <w:rPr>
                <w:spacing w:val="-4"/>
              </w:rPr>
              <w:t>亿元,</w:t>
            </w:r>
            <w:r>
              <w:rPr>
                <w:spacing w:val="26"/>
              </w:rPr>
              <w:t xml:space="preserve"> </w:t>
            </w:r>
            <w:r>
              <w:rPr>
                <w:spacing w:val="-4"/>
              </w:rPr>
              <w:t>增幅</w:t>
            </w:r>
            <w:r>
              <w:rPr>
                <w:spacing w:val="-28"/>
              </w:rPr>
              <w:t xml:space="preserve"> </w:t>
            </w:r>
            <w:r>
              <w:rPr>
                <w:rFonts w:ascii="Times New Roman" w:hAnsi="Times New Roman" w:eastAsia="Times New Roman" w:cs="Times New Roman"/>
                <w:spacing w:val="-4"/>
              </w:rPr>
              <w:t>14.19%</w:t>
            </w:r>
            <w:r>
              <w:rPr>
                <w:spacing w:val="-4"/>
              </w:rPr>
              <w:t>,</w:t>
            </w:r>
            <w:r>
              <w:rPr>
                <w:spacing w:val="30"/>
              </w:rPr>
              <w:t xml:space="preserve"> </w:t>
            </w:r>
            <w:r>
              <w:rPr>
                <w:spacing w:val="-4"/>
              </w:rPr>
              <w:t>高于全部贷款平均增速。</w:t>
            </w:r>
            <w:r>
              <w:rPr>
                <w:spacing w:val="-38"/>
              </w:rPr>
              <w:t xml:space="preserve"> </w:t>
            </w:r>
            <w:r>
              <w:rPr>
                <w:spacing w:val="-4"/>
              </w:rPr>
              <w:t>稳投资稳增长重点领域,</w:t>
            </w:r>
            <w:r>
              <w:rPr>
                <w:spacing w:val="26"/>
              </w:rPr>
              <w:t xml:space="preserve"> </w:t>
            </w:r>
            <w:r>
              <w:rPr>
                <w:spacing w:val="-4"/>
              </w:rPr>
              <w:t>交通运输、仓储和邮政业</w:t>
            </w:r>
            <w:r>
              <w:rPr/>
              <w:t xml:space="preserve"> </w:t>
            </w:r>
            <w:r>
              <w:rPr>
                <w:spacing w:val="-1"/>
              </w:rPr>
              <w:t>贷款较上年末增加</w:t>
            </w:r>
            <w:r>
              <w:rPr>
                <w:spacing w:val="-52"/>
              </w:rPr>
              <w:t xml:space="preserve"> </w:t>
            </w:r>
            <w:r>
              <w:rPr>
                <w:rFonts w:ascii="Times New Roman" w:hAnsi="Times New Roman" w:eastAsia="Times New Roman" w:cs="Times New Roman"/>
                <w:spacing w:val="-1"/>
              </w:rPr>
              <w:t>597.37 </w:t>
            </w:r>
            <w:r>
              <w:rPr>
                <w:spacing w:val="-1"/>
              </w:rPr>
              <w:t>亿元,增幅</w:t>
            </w:r>
            <w:r>
              <w:rPr>
                <w:spacing w:val="-56"/>
              </w:rPr>
              <w:t xml:space="preserve"> </w:t>
            </w:r>
            <w:r>
              <w:rPr>
                <w:rFonts w:ascii="Times New Roman" w:hAnsi="Times New Roman" w:eastAsia="Times New Roman" w:cs="Times New Roman"/>
                <w:spacing w:val="-1"/>
              </w:rPr>
              <w:t>7.82%</w:t>
            </w:r>
            <w:r>
              <w:rPr>
                <w:spacing w:val="-1"/>
              </w:rPr>
              <w:t>;租赁和商</w:t>
            </w:r>
            <w:r>
              <w:rPr>
                <w:spacing w:val="-2"/>
              </w:rPr>
              <w:t>务服务业贷款较上年末增加</w:t>
            </w:r>
            <w:r>
              <w:rPr>
                <w:spacing w:val="-54"/>
              </w:rPr>
              <w:t xml:space="preserve"> </w:t>
            </w:r>
            <w:r>
              <w:rPr>
                <w:rFonts w:ascii="Times New Roman" w:hAnsi="Times New Roman" w:eastAsia="Times New Roman" w:cs="Times New Roman"/>
                <w:spacing w:val="-2"/>
              </w:rPr>
              <w:t>790.76 </w:t>
            </w:r>
            <w:r>
              <w:rPr>
                <w:spacing w:val="-2"/>
              </w:rPr>
              <w:t>亿元,增幅</w:t>
            </w:r>
            <w:r>
              <w:rPr>
                <w:spacing w:val="-37"/>
              </w:rPr>
              <w:t xml:space="preserve"> </w:t>
            </w:r>
            <w:r>
              <w:rPr>
                <w:rFonts w:ascii="Times New Roman" w:hAnsi="Times New Roman" w:eastAsia="Times New Roman" w:cs="Times New Roman"/>
                <w:spacing w:val="-2"/>
              </w:rPr>
              <w:t>12.15%</w:t>
            </w:r>
            <w:r>
              <w:rPr>
                <w:spacing w:val="-2"/>
              </w:rPr>
              <w:t>;</w:t>
            </w:r>
            <w:r>
              <w:rPr/>
              <w:t xml:space="preserve"> </w:t>
            </w:r>
            <w:r>
              <w:rPr>
                <w:spacing w:val="-2"/>
              </w:rPr>
              <w:t>水利、环境和公共设施管理业贷款较上年末增加</w:t>
            </w:r>
            <w:r>
              <w:rPr>
                <w:spacing w:val="-27"/>
              </w:rPr>
              <w:t xml:space="preserve"> </w:t>
            </w:r>
            <w:r>
              <w:rPr>
                <w:rFonts w:ascii="Times New Roman" w:hAnsi="Times New Roman" w:eastAsia="Times New Roman" w:cs="Times New Roman"/>
                <w:spacing w:val="-2"/>
              </w:rPr>
              <w:t>470.21</w:t>
            </w:r>
            <w:r>
              <w:rPr>
                <w:rFonts w:ascii="Times New Roman" w:hAnsi="Times New Roman" w:eastAsia="Times New Roman" w:cs="Times New Roman"/>
                <w:spacing w:val="31"/>
                <w:w w:val="101"/>
              </w:rPr>
              <w:t xml:space="preserve"> </w:t>
            </w:r>
            <w:r>
              <w:rPr>
                <w:spacing w:val="-2"/>
              </w:rPr>
              <w:t>亿</w:t>
            </w:r>
            <w:r>
              <w:rPr>
                <w:spacing w:val="-3"/>
              </w:rPr>
              <w:t>元,</w:t>
            </w:r>
            <w:r>
              <w:rPr>
                <w:spacing w:val="29"/>
              </w:rPr>
              <w:t xml:space="preserve"> </w:t>
            </w:r>
            <w:r>
              <w:rPr>
                <w:spacing w:val="-3"/>
              </w:rPr>
              <w:t>增幅 </w:t>
            </w:r>
            <w:r>
              <w:rPr>
                <w:rFonts w:ascii="Times New Roman" w:hAnsi="Times New Roman" w:eastAsia="Times New Roman" w:cs="Times New Roman"/>
                <w:spacing w:val="-3"/>
              </w:rPr>
              <w:t>12.30%</w:t>
            </w:r>
            <w:r>
              <w:rPr>
                <w:spacing w:val="-3"/>
              </w:rPr>
              <w:t>;</w:t>
            </w:r>
            <w:r>
              <w:rPr>
                <w:spacing w:val="54"/>
              </w:rPr>
              <w:t xml:space="preserve"> </w:t>
            </w:r>
            <w:r>
              <w:rPr>
                <w:spacing w:val="-3"/>
              </w:rPr>
              <w:t>电力、热力、燃气及水生产 </w:t>
            </w:r>
            <w:r>
              <w:rPr>
                <w:spacing w:val="-1"/>
              </w:rPr>
              <w:t>和供应业贷款较上年末增加</w:t>
            </w:r>
            <w:r>
              <w:rPr>
                <w:spacing w:val="-23"/>
              </w:rPr>
              <w:t xml:space="preserve"> </w:t>
            </w:r>
            <w:r>
              <w:rPr>
                <w:rFonts w:ascii="Times New Roman" w:hAnsi="Times New Roman" w:eastAsia="Times New Roman" w:cs="Times New Roman"/>
                <w:spacing w:val="-1"/>
              </w:rPr>
              <w:t>738.45</w:t>
            </w:r>
            <w:r>
              <w:rPr>
                <w:rFonts w:ascii="Times New Roman" w:hAnsi="Times New Roman" w:eastAsia="Times New Roman" w:cs="Times New Roman"/>
                <w:spacing w:val="31"/>
                <w:w w:val="101"/>
              </w:rPr>
              <w:t xml:space="preserve"> </w:t>
            </w:r>
            <w:r>
              <w:rPr>
                <w:spacing w:val="-1"/>
              </w:rPr>
              <w:t>亿元,</w:t>
            </w:r>
            <w:r>
              <w:rPr>
                <w:spacing w:val="30"/>
              </w:rPr>
              <w:t xml:space="preserve"> </w:t>
            </w:r>
            <w:r>
              <w:rPr>
                <w:spacing w:val="-1"/>
              </w:rPr>
              <w:t>增</w:t>
            </w:r>
            <w:r>
              <w:rPr>
                <w:spacing w:val="-2"/>
              </w:rPr>
              <w:t>幅</w:t>
            </w:r>
            <w:r>
              <w:rPr>
                <w:spacing w:val="-29"/>
              </w:rPr>
              <w:t xml:space="preserve"> </w:t>
            </w:r>
            <w:r>
              <w:rPr>
                <w:rFonts w:ascii="Times New Roman" w:hAnsi="Times New Roman" w:eastAsia="Times New Roman" w:cs="Times New Roman"/>
                <w:spacing w:val="-2"/>
              </w:rPr>
              <w:t>27.47%</w:t>
            </w:r>
            <w:r>
              <w:rPr>
                <w:spacing w:val="-2"/>
              </w:rPr>
              <w:t>。同时本集团保持房地产业务融资平稳有序,</w:t>
            </w:r>
            <w:r>
              <w:rPr>
                <w:spacing w:val="29"/>
              </w:rPr>
              <w:t xml:space="preserve"> </w:t>
            </w:r>
            <w:r>
              <w:rPr>
                <w:spacing w:val="-2"/>
              </w:rPr>
              <w:t>加大 </w:t>
            </w:r>
            <w:r>
              <w:rPr>
                <w:spacing w:val="-3"/>
              </w:rPr>
              <w:t>对优质房企、优质项目的融资支持力度,</w:t>
            </w:r>
            <w:r>
              <w:rPr>
                <w:spacing w:val="-22"/>
              </w:rPr>
              <w:t xml:space="preserve"> </w:t>
            </w:r>
            <w:r>
              <w:rPr>
                <w:spacing w:val="-3"/>
              </w:rPr>
              <w:t>促进房地产市场平稳健康发展,</w:t>
            </w:r>
            <w:r>
              <w:rPr>
                <w:spacing w:val="-28"/>
              </w:rPr>
              <w:t xml:space="preserve"> </w:t>
            </w:r>
            <w:r>
              <w:rPr>
                <w:spacing w:val="-3"/>
              </w:rPr>
              <w:t>房地产贷款较上年末增加</w:t>
            </w:r>
            <w:r>
              <w:rPr>
                <w:spacing w:val="-27"/>
              </w:rPr>
              <w:t xml:space="preserve"> </w:t>
            </w:r>
            <w:r>
              <w:rPr>
                <w:rFonts w:ascii="Times New Roman" w:hAnsi="Times New Roman" w:eastAsia="Times New Roman" w:cs="Times New Roman"/>
                <w:spacing w:val="-3"/>
              </w:rPr>
              <w:t>1,000.37  </w:t>
            </w:r>
            <w:r>
              <w:rPr>
                <w:spacing w:val="-4"/>
              </w:rPr>
              <w:t>亿元,</w:t>
            </w:r>
            <w:r>
              <w:rPr>
                <w:spacing w:val="39"/>
              </w:rPr>
              <w:t xml:space="preserve"> </w:t>
            </w:r>
            <w:r>
              <w:rPr>
                <w:spacing w:val="-4"/>
              </w:rPr>
              <w:t>增幅</w:t>
            </w:r>
            <w:r>
              <w:rPr>
                <w:spacing w:val="-47"/>
              </w:rPr>
              <w:t xml:space="preserve"> </w:t>
            </w:r>
            <w:r>
              <w:rPr>
                <w:rFonts w:ascii="Times New Roman" w:hAnsi="Times New Roman" w:eastAsia="Times New Roman" w:cs="Times New Roman"/>
                <w:spacing w:val="-4"/>
              </w:rPr>
              <w:t>23.83%</w:t>
            </w:r>
            <w:r>
              <w:rPr>
                <w:spacing w:val="-4"/>
              </w:rPr>
              <w:t>。</w:t>
            </w:r>
          </w:p>
          <w:p>
            <w:pPr>
              <w:rPr>
                <w:rFonts w:ascii="Arial"/>
                <w:sz w:val="21"/>
              </w:rPr>
            </w:pPr>
            <w:r/>
          </w:p>
          <w:p>
            <w:pPr>
              <w:pStyle w:val="TableText"/>
              <w:ind w:left="504"/>
              <w:spacing w:before="68" w:line="221" w:lineRule="auto"/>
              <w:rPr/>
            </w:pPr>
            <w:r>
              <w:rPr>
                <w:b/>
                <w:bCs/>
                <w:spacing w:val="-2"/>
              </w:rPr>
              <w:t>按地区划分的贷款及不良贷款分布情况</w:t>
            </w:r>
          </w:p>
          <w:p>
            <w:pPr>
              <w:spacing w:line="275" w:lineRule="auto"/>
              <w:rPr>
                <w:rFonts w:ascii="Arial"/>
                <w:sz w:val="21"/>
              </w:rPr>
            </w:pPr>
            <w:r/>
          </w:p>
          <w:p>
            <w:pPr>
              <w:pStyle w:val="TableText"/>
              <w:ind w:left="7113"/>
              <w:spacing w:before="58" w:line="217" w:lineRule="auto"/>
              <w:rPr>
                <w:sz w:val="18"/>
                <w:szCs w:val="18"/>
              </w:rPr>
            </w:pPr>
            <w:r>
              <w:rPr>
                <w:sz w:val="18"/>
                <w:szCs w:val="18"/>
                <w:spacing w:val="6"/>
              </w:rPr>
              <w:t>(除另有标明外,人民币百万元)</w:t>
            </w:r>
          </w:p>
        </w:tc>
      </w:tr>
    </w:tbl>
    <w:p>
      <w:pPr>
        <w:ind w:firstLine="1392"/>
        <w:spacing w:before="2" w:line="394" w:lineRule="exact"/>
        <w:rPr/>
      </w:pPr>
      <w:r>
        <w:rPr>
          <w:position w:val="-7"/>
        </w:rPr>
        <w:pict>
          <v:group id="_x0000_s486" style="mso-position-vertical-relative:line;mso-position-horizontal-relative:char;width:209.5pt;height:19.75pt;" filled="false" stroked="false" coordsize="4190,395" coordorigin="0,0">
            <v:rect id="_x0000_s488" style="position:absolute;left:57;top:0;width:4073;height:395;" fillcolor="#DBE5F1" filled="true" stroked="false"/>
            <v:shape id="_x0000_s490" style="position:absolute;left:1333;top:106;width:1525;height:221;" filled="false" stroked="false" type="#_x0000_t202">
              <v:fill on="false"/>
              <v:stroke on="false"/>
              <v:path/>
              <v:imagedata o:title=""/>
              <o:lock v:ext="edit" aspectratio="false"/>
              <v:textbox inset="0mm,0mm,0mm,0mm">
                <w:txbxContent>
                  <w:p>
                    <w:pPr>
                      <w:spacing w:before="20" w:line="220" w:lineRule="auto"/>
                      <w:jc w:val="right"/>
                      <w:rPr>
                        <w:rFonts w:ascii="SimSun" w:hAnsi="SimSun" w:eastAsia="SimSun" w:cs="SimSun"/>
                        <w:sz w:val="18"/>
                        <w:szCs w:val="18"/>
                      </w:rPr>
                    </w:pPr>
                    <w:r>
                      <w:rPr>
                        <w:rFonts w:ascii="Times New Roman" w:hAnsi="Times New Roman" w:eastAsia="Times New Roman" w:cs="Times New Roman"/>
                        <w:sz w:val="18"/>
                        <w:szCs w:val="18"/>
                        <w:b/>
                        <w:bCs/>
                        <w:spacing w:val="-6"/>
                      </w:rPr>
                      <w:t>2022 </w:t>
                    </w:r>
                    <w:r>
                      <w:rPr>
                        <w:rFonts w:ascii="SimSun" w:hAnsi="SimSun" w:eastAsia="SimSun" w:cs="SimSun"/>
                        <w:sz w:val="18"/>
                        <w:szCs w:val="18"/>
                        <w:b/>
                        <w:bCs/>
                        <w:spacing w:val="-6"/>
                      </w:rPr>
                      <w:t>年</w:t>
                    </w:r>
                    <w:r>
                      <w:rPr>
                        <w:rFonts w:ascii="SimSun" w:hAnsi="SimSun" w:eastAsia="SimSun" w:cs="SimSun"/>
                        <w:sz w:val="18"/>
                        <w:szCs w:val="18"/>
                        <w:spacing w:val="-28"/>
                      </w:rPr>
                      <w:t xml:space="preserve"> </w:t>
                    </w:r>
                    <w:r>
                      <w:rPr>
                        <w:rFonts w:ascii="Times New Roman" w:hAnsi="Times New Roman" w:eastAsia="Times New Roman" w:cs="Times New Roman"/>
                        <w:sz w:val="18"/>
                        <w:szCs w:val="18"/>
                        <w:b/>
                        <w:bCs/>
                        <w:spacing w:val="-6"/>
                      </w:rPr>
                      <w:t>12</w:t>
                    </w:r>
                    <w:r>
                      <w:rPr>
                        <w:rFonts w:ascii="Times New Roman" w:hAnsi="Times New Roman" w:eastAsia="Times New Roman" w:cs="Times New Roman"/>
                        <w:sz w:val="18"/>
                        <w:szCs w:val="18"/>
                        <w:b/>
                        <w:bCs/>
                        <w:spacing w:val="11"/>
                      </w:rPr>
                      <w:t xml:space="preserve"> </w:t>
                    </w:r>
                    <w:r>
                      <w:rPr>
                        <w:rFonts w:ascii="SimSun" w:hAnsi="SimSun" w:eastAsia="SimSun" w:cs="SimSun"/>
                        <w:sz w:val="18"/>
                        <w:szCs w:val="18"/>
                        <w:b/>
                        <w:bCs/>
                        <w:spacing w:val="-6"/>
                      </w:rPr>
                      <w:t>月</w:t>
                    </w:r>
                    <w:r>
                      <w:rPr>
                        <w:rFonts w:ascii="SimSun" w:hAnsi="SimSun" w:eastAsia="SimSun" w:cs="SimSun"/>
                        <w:sz w:val="18"/>
                        <w:szCs w:val="18"/>
                        <w:spacing w:val="-42"/>
                      </w:rPr>
                      <w:t xml:space="preserve"> </w:t>
                    </w:r>
                    <w:r>
                      <w:rPr>
                        <w:rFonts w:ascii="Times New Roman" w:hAnsi="Times New Roman" w:eastAsia="Times New Roman" w:cs="Times New Roman"/>
                        <w:sz w:val="18"/>
                        <w:szCs w:val="18"/>
                        <w:b/>
                        <w:bCs/>
                        <w:spacing w:val="-6"/>
                      </w:rPr>
                      <w:t>31  </w:t>
                    </w:r>
                    <w:r>
                      <w:rPr>
                        <w:rFonts w:ascii="SimSun" w:hAnsi="SimSun" w:eastAsia="SimSun" w:cs="SimSun"/>
                        <w:sz w:val="18"/>
                        <w:szCs w:val="18"/>
                        <w:b/>
                        <w:bCs/>
                        <w:spacing w:val="-6"/>
                      </w:rPr>
                      <w:t>日</w:t>
                    </w:r>
                  </w:p>
                </w:txbxContent>
              </v:textbox>
            </v:shape>
            <v:shape id="_x0000_s492" style="position:absolute;left:4131;top:0;width:58;height:395;" fillcolor="#DBE5F1" filled="true" stroked="false" coordsize="58,395" coordorigin="0,0" path="m0,394l57,394l57,0l0,0l0,394xe"/>
            <v:shape id="_x0000_s494" style="position:absolute;left:0;top:0;width:58;height:395;" fillcolor="#DBE5F1" filled="true" stroked="false" coordsize="58,395" coordorigin="0,0" path="m0,394l57,394l57,0l0,0l0,394xe"/>
          </v:group>
        </w:pict>
      </w:r>
    </w:p>
    <w:tbl>
      <w:tblPr>
        <w:tblStyle w:val="TableNormal"/>
        <w:tblW w:w="9769"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392"/>
        <w:gridCol w:w="243"/>
        <w:gridCol w:w="995"/>
        <w:gridCol w:w="894"/>
        <w:gridCol w:w="990"/>
        <w:gridCol w:w="990"/>
        <w:gridCol w:w="1376"/>
        <w:gridCol w:w="902"/>
        <w:gridCol w:w="957"/>
        <w:gridCol w:w="1030"/>
      </w:tblGrid>
      <w:tr>
        <w:trPr>
          <w:trHeight w:val="683" w:hRule="atLeast"/>
        </w:trPr>
        <w:tc>
          <w:tcPr>
            <w:tcW w:w="1392" w:type="dxa"/>
            <w:vAlign w:val="top"/>
            <w:tcBorders>
              <w:left w:val="nil"/>
              <w:right w:val="nil"/>
              <w:top w:val="nil"/>
            </w:tcBorders>
          </w:tcPr>
          <w:p>
            <w:pPr>
              <w:rPr>
                <w:rFonts w:ascii="Arial"/>
                <w:sz w:val="21"/>
              </w:rPr>
            </w:pPr>
            <w:r/>
          </w:p>
        </w:tc>
        <w:tc>
          <w:tcPr>
            <w:shd w:val="clear" w:fill="DBE5F1"/>
            <w:tcW w:w="1238" w:type="dxa"/>
            <w:vAlign w:val="top"/>
            <w:gridSpan w:val="2"/>
            <w:tcBorders>
              <w:left w:val="nil"/>
              <w:right w:val="nil"/>
            </w:tcBorders>
          </w:tcPr>
          <w:p>
            <w:pPr>
              <w:pStyle w:val="TableText"/>
              <w:spacing w:before="143"/>
              <w:jc w:val="right"/>
              <w:rPr>
                <w:sz w:val="18"/>
                <w:szCs w:val="18"/>
              </w:rPr>
            </w:pPr>
            <w:r>
              <w:rPr>
                <w:sz w:val="18"/>
                <w:szCs w:val="18"/>
                <w:b/>
                <w:bCs/>
                <w:spacing w:val="-11"/>
              </w:rPr>
              <w:t>贷款</w:t>
            </w:r>
            <w:r>
              <w:rPr>
                <w:sz w:val="18"/>
                <w:szCs w:val="18"/>
                <w:spacing w:val="-38"/>
              </w:rPr>
              <w:t xml:space="preserve"> </w:t>
            </w:r>
            <w:r>
              <w:rPr>
                <w:sz w:val="18"/>
                <w:szCs w:val="18"/>
                <w:position w:val="-10"/>
              </w:rPr>
              <w:drawing>
                <wp:inline distT="0" distB="0" distL="0" distR="0">
                  <wp:extent cx="35020" cy="249936"/>
                  <wp:effectExtent l="0" t="0" r="0" b="0"/>
                  <wp:docPr id="166" name="IM 166"/>
                  <wp:cNvGraphicFramePr/>
                  <a:graphic>
                    <a:graphicData uri="http://schemas.openxmlformats.org/drawingml/2006/picture">
                      <pic:pic>
                        <pic:nvPicPr>
                          <pic:cNvPr id="166" name="IM 166"/>
                          <pic:cNvPicPr/>
                        </pic:nvPicPr>
                        <pic:blipFill>
                          <a:blip r:embed="rId85"/>
                          <a:stretch>
                            <a:fillRect/>
                          </a:stretch>
                        </pic:blipFill>
                        <pic:spPr>
                          <a:xfrm rot="0">
                            <a:off x="0" y="0"/>
                            <a:ext cx="35020" cy="249936"/>
                          </a:xfrm>
                          <a:prstGeom prst="rect">
                            <a:avLst/>
                          </a:prstGeom>
                        </pic:spPr>
                      </pic:pic>
                    </a:graphicData>
                  </a:graphic>
                </wp:inline>
              </w:drawing>
            </w:r>
          </w:p>
        </w:tc>
        <w:tc>
          <w:tcPr>
            <w:shd w:val="clear" w:fill="DBE5F1"/>
            <w:tcW w:w="894" w:type="dxa"/>
            <w:vAlign w:val="top"/>
            <w:tcBorders>
              <w:left w:val="nil"/>
              <w:right w:val="nil"/>
            </w:tcBorders>
          </w:tcPr>
          <w:p>
            <w:pPr>
              <w:pStyle w:val="TableText"/>
              <w:ind w:left="174"/>
              <w:spacing w:before="269" w:line="212" w:lineRule="auto"/>
              <w:rPr>
                <w:rFonts w:ascii="Times New Roman" w:hAnsi="Times New Roman" w:eastAsia="Times New Roman" w:cs="Times New Roman"/>
                <w:sz w:val="18"/>
                <w:szCs w:val="18"/>
              </w:rPr>
            </w:pPr>
            <w:r>
              <w:rPr>
                <w:sz w:val="18"/>
                <w:szCs w:val="18"/>
                <w:b/>
                <w:bCs/>
                <w:spacing w:val="-8"/>
              </w:rPr>
              <w:t>占比</w:t>
            </w:r>
            <w:r>
              <w:rPr>
                <w:rFonts w:ascii="Times New Roman" w:hAnsi="Times New Roman" w:eastAsia="Times New Roman" w:cs="Times New Roman"/>
                <w:sz w:val="18"/>
                <w:szCs w:val="18"/>
                <w:b/>
                <w:bCs/>
                <w:spacing w:val="-8"/>
              </w:rPr>
              <w:t>(%)</w:t>
            </w:r>
          </w:p>
        </w:tc>
        <w:tc>
          <w:tcPr>
            <w:shd w:val="clear" w:fill="DBE5F1"/>
            <w:tcW w:w="990" w:type="dxa"/>
            <w:vAlign w:val="top"/>
            <w:tcBorders>
              <w:left w:val="nil"/>
            </w:tcBorders>
          </w:tcPr>
          <w:p>
            <w:pPr>
              <w:pStyle w:val="TableText"/>
              <w:ind w:left="238"/>
              <w:spacing w:before="270" w:line="220" w:lineRule="auto"/>
              <w:rPr>
                <w:sz w:val="18"/>
                <w:szCs w:val="18"/>
              </w:rPr>
            </w:pPr>
            <w:r>
              <w:rPr>
                <w:sz w:val="18"/>
                <w:szCs w:val="18"/>
                <w:b/>
                <w:bCs/>
                <w:spacing w:val="-4"/>
              </w:rPr>
              <w:t>不良贷款</w:t>
            </w:r>
          </w:p>
        </w:tc>
        <w:tc>
          <w:tcPr>
            <w:shd w:val="clear" w:fill="DBE5F1"/>
            <w:tcW w:w="990" w:type="dxa"/>
            <w:vAlign w:val="top"/>
            <w:tcBorders>
              <w:left w:val="single" w:color="DBE5F1" w:sz="2" w:space="0"/>
              <w:right w:val="single" w:color="DBE5F1" w:sz="2" w:space="0"/>
            </w:tcBorders>
          </w:tcPr>
          <w:p>
            <w:pPr>
              <w:pStyle w:val="TableText"/>
              <w:ind w:left="114"/>
              <w:spacing w:before="130" w:line="257" w:lineRule="auto"/>
              <w:jc w:val="right"/>
              <w:rPr>
                <w:rFonts w:ascii="Times New Roman" w:hAnsi="Times New Roman" w:eastAsia="Times New Roman" w:cs="Times New Roman"/>
                <w:sz w:val="18"/>
                <w:szCs w:val="18"/>
              </w:rPr>
            </w:pPr>
            <w:r>
              <w:rPr>
                <w:sz w:val="18"/>
                <w:szCs w:val="18"/>
                <w:b/>
                <w:bCs/>
                <w:spacing w:val="-8"/>
              </w:rPr>
              <w:t>不良贷款率</w:t>
            </w:r>
            <w:r>
              <w:rPr>
                <w:sz w:val="18"/>
                <w:szCs w:val="18"/>
              </w:rPr>
              <w:t xml:space="preserve"> </w:t>
            </w:r>
            <w:r>
              <w:rPr>
                <w:rFonts w:ascii="Times New Roman" w:hAnsi="Times New Roman" w:eastAsia="Times New Roman" w:cs="Times New Roman"/>
                <w:sz w:val="18"/>
                <w:szCs w:val="18"/>
                <w:b/>
                <w:bCs/>
                <w:spacing w:val="-4"/>
              </w:rPr>
              <w:t>(%)</w:t>
            </w:r>
          </w:p>
        </w:tc>
        <w:tc>
          <w:tcPr>
            <w:tcW w:w="1376" w:type="dxa"/>
            <w:vAlign w:val="top"/>
            <w:tcBorders>
              <w:right w:val="nil"/>
              <w:left w:val="single" w:color="FFFFFF" w:sz="2" w:space="0"/>
            </w:tcBorders>
          </w:tcPr>
          <w:p>
            <w:pPr>
              <w:pStyle w:val="TableText"/>
              <w:ind w:left="881"/>
              <w:spacing w:before="270" w:line="220" w:lineRule="auto"/>
              <w:rPr>
                <w:sz w:val="18"/>
                <w:szCs w:val="18"/>
              </w:rPr>
            </w:pPr>
            <w:r>
              <w:rPr>
                <w:sz w:val="18"/>
                <w:szCs w:val="18"/>
                <w:spacing w:val="-2"/>
              </w:rPr>
              <w:t>贷款</w:t>
            </w:r>
          </w:p>
        </w:tc>
        <w:tc>
          <w:tcPr>
            <w:tcW w:w="902" w:type="dxa"/>
            <w:vAlign w:val="top"/>
            <w:tcBorders>
              <w:left w:val="nil"/>
              <w:right w:val="nil"/>
            </w:tcBorders>
          </w:tcPr>
          <w:p>
            <w:pPr>
              <w:pStyle w:val="TableText"/>
              <w:ind w:left="146"/>
              <w:spacing w:before="243" w:line="250" w:lineRule="exact"/>
              <w:rPr>
                <w:rFonts w:ascii="Times New Roman" w:hAnsi="Times New Roman" w:eastAsia="Times New Roman" w:cs="Times New Roman"/>
                <w:sz w:val="18"/>
                <w:szCs w:val="18"/>
              </w:rPr>
            </w:pPr>
            <w:r>
              <w:rPr>
                <w:sz w:val="18"/>
                <w:szCs w:val="18"/>
                <w:spacing w:val="-8"/>
                <w:position w:val="2"/>
              </w:rPr>
              <w:t>占比</w:t>
            </w:r>
            <w:r>
              <w:rPr>
                <w:rFonts w:ascii="Times New Roman" w:hAnsi="Times New Roman" w:eastAsia="Times New Roman" w:cs="Times New Roman"/>
                <w:sz w:val="18"/>
                <w:szCs w:val="18"/>
                <w:spacing w:val="-8"/>
                <w:position w:val="2"/>
              </w:rPr>
              <w:t>(%)</w:t>
            </w:r>
          </w:p>
        </w:tc>
        <w:tc>
          <w:tcPr>
            <w:tcW w:w="957" w:type="dxa"/>
            <w:vAlign w:val="top"/>
            <w:tcBorders>
              <w:left w:val="nil"/>
              <w:right w:val="nil"/>
            </w:tcBorders>
          </w:tcPr>
          <w:p>
            <w:pPr>
              <w:pStyle w:val="TableText"/>
              <w:ind w:left="171"/>
              <w:spacing w:before="270" w:line="220" w:lineRule="auto"/>
              <w:rPr>
                <w:sz w:val="18"/>
                <w:szCs w:val="18"/>
              </w:rPr>
            </w:pPr>
            <w:r>
              <w:rPr>
                <w:sz w:val="18"/>
                <w:szCs w:val="18"/>
                <w:spacing w:val="-2"/>
              </w:rPr>
              <w:t>不良贷款</w:t>
            </w:r>
          </w:p>
        </w:tc>
        <w:tc>
          <w:tcPr>
            <w:tcW w:w="1030" w:type="dxa"/>
            <w:vAlign w:val="top"/>
            <w:tcBorders>
              <w:left w:val="nil"/>
              <w:right w:val="nil"/>
            </w:tcBorders>
          </w:tcPr>
          <w:p>
            <w:pPr>
              <w:pStyle w:val="TableText"/>
              <w:ind w:left="83" w:right="56"/>
              <w:spacing w:before="130" w:line="266" w:lineRule="auto"/>
              <w:jc w:val="right"/>
              <w:rPr>
                <w:rFonts w:ascii="Times New Roman" w:hAnsi="Times New Roman" w:eastAsia="Times New Roman" w:cs="Times New Roman"/>
                <w:sz w:val="18"/>
                <w:szCs w:val="18"/>
              </w:rPr>
            </w:pPr>
            <w:r>
              <w:rPr>
                <w:sz w:val="18"/>
                <w:szCs w:val="18"/>
                <w:spacing w:val="-2"/>
              </w:rPr>
              <w:t>不良贷款率</w:t>
            </w:r>
            <w:r>
              <w:rPr>
                <w:sz w:val="18"/>
                <w:szCs w:val="18"/>
              </w:rPr>
              <w:t xml:space="preserve"> </w:t>
            </w:r>
            <w:r>
              <w:rPr>
                <w:rFonts w:ascii="Times New Roman" w:hAnsi="Times New Roman" w:eastAsia="Times New Roman" w:cs="Times New Roman"/>
                <w:sz w:val="18"/>
                <w:szCs w:val="18"/>
                <w:spacing w:val="-3"/>
              </w:rPr>
              <w:t>(%)</w:t>
            </w:r>
          </w:p>
        </w:tc>
      </w:tr>
      <w:tr>
        <w:trPr>
          <w:trHeight w:val="398" w:hRule="atLeast"/>
        </w:trPr>
        <w:tc>
          <w:tcPr>
            <w:tcW w:w="1392" w:type="dxa"/>
            <w:vAlign w:val="top"/>
            <w:tcBorders>
              <w:left w:val="nil"/>
              <w:right w:val="nil"/>
            </w:tcBorders>
          </w:tcPr>
          <w:p>
            <w:pPr>
              <w:pStyle w:val="TableText"/>
              <w:ind w:left="79"/>
              <w:spacing w:before="126" w:line="220" w:lineRule="auto"/>
              <w:rPr>
                <w:sz w:val="18"/>
                <w:szCs w:val="18"/>
              </w:rPr>
            </w:pPr>
            <w:r>
              <w:rPr>
                <w:sz w:val="18"/>
                <w:szCs w:val="18"/>
                <w:spacing w:val="-2"/>
              </w:rPr>
              <w:t>长江三角洲</w:t>
            </w:r>
          </w:p>
        </w:tc>
        <w:tc>
          <w:tcPr>
            <w:shd w:val="clear" w:fill="DBE5F1"/>
            <w:tcW w:w="243" w:type="dxa"/>
            <w:vAlign w:val="top"/>
            <w:tcBorders>
              <w:left w:val="nil"/>
              <w:right w:val="nil"/>
            </w:tcBorders>
          </w:tcPr>
          <w:p>
            <w:pPr>
              <w:spacing w:line="387" w:lineRule="exact"/>
              <w:rPr/>
            </w:pPr>
            <w:r>
              <w:rPr>
                <w:position w:val="-8"/>
              </w:rPr>
              <w:pict>
                <v:shape id="_x0000_s496" style="mso-position-vertical-relative:line;mso-position-horizontal-relative:char;width:2.9pt;height:19.7pt;" fillcolor="#DBE5F1" filled="true" stroked="false" coordsize="58,394" coordorigin="0,0" path="m0,393l57,393l57,0l0,0l0,393xe"/>
              </w:pict>
            </w:r>
          </w:p>
        </w:tc>
        <w:tc>
          <w:tcPr>
            <w:shd w:val="clear" w:fill="DBE5F1"/>
            <w:tcW w:w="995" w:type="dxa"/>
            <w:vAlign w:val="top"/>
            <w:tcBorders>
              <w:left w:val="nil"/>
              <w:right w:val="nil"/>
            </w:tcBorders>
          </w:tcPr>
          <w:p>
            <w:pPr>
              <w:jc w:val="right"/>
              <w:rPr>
                <w:sz w:val="18"/>
                <w:szCs w:val="18"/>
              </w:rPr>
            </w:pPr>
            <w:r>
              <w:rPr>
                <w:rFonts w:ascii="Times New Roman" w:hAnsi="Times New Roman" w:eastAsia="Times New Roman" w:cs="Times New Roman"/>
                <w:sz w:val="18"/>
                <w:szCs w:val="18"/>
                <w:b/>
                <w:bCs/>
                <w:spacing w:val="-3"/>
              </w:rPr>
              <w:t>2,000,365</w:t>
            </w:r>
            <w:r>
              <w:rPr>
                <w:rFonts w:ascii="Times New Roman" w:hAnsi="Times New Roman" w:eastAsia="Times New Roman" w:cs="Times New Roman"/>
                <w:sz w:val="18"/>
                <w:szCs w:val="18"/>
                <w:b/>
                <w:bCs/>
                <w:spacing w:val="13"/>
              </w:rPr>
              <w:t xml:space="preserve"> </w:t>
            </w:r>
            <w:r>
              <w:rPr>
                <w:sz w:val="18"/>
                <w:szCs w:val="18"/>
                <w:position w:val="-11"/>
              </w:rPr>
              <w:drawing>
                <wp:inline distT="0" distB="0" distL="0" distR="0">
                  <wp:extent cx="35693" cy="245999"/>
                  <wp:effectExtent l="0" t="0" r="0" b="0"/>
                  <wp:docPr id="168" name="IM 168"/>
                  <wp:cNvGraphicFramePr/>
                  <a:graphic>
                    <a:graphicData uri="http://schemas.openxmlformats.org/drawingml/2006/picture">
                      <pic:pic>
                        <pic:nvPicPr>
                          <pic:cNvPr id="168" name="IM 168"/>
                          <pic:cNvPicPr/>
                        </pic:nvPicPr>
                        <pic:blipFill>
                          <a:blip r:embed="rId86"/>
                          <a:stretch>
                            <a:fillRect/>
                          </a:stretch>
                        </pic:blipFill>
                        <pic:spPr>
                          <a:xfrm rot="0">
                            <a:off x="0" y="0"/>
                            <a:ext cx="35693" cy="245999"/>
                          </a:xfrm>
                          <a:prstGeom prst="rect">
                            <a:avLst/>
                          </a:prstGeom>
                        </pic:spPr>
                      </pic:pic>
                    </a:graphicData>
                  </a:graphic>
                </wp:inline>
              </w:drawing>
            </w:r>
          </w:p>
        </w:tc>
        <w:tc>
          <w:tcPr>
            <w:shd w:val="clear" w:fill="DBE5F1"/>
            <w:tcW w:w="894" w:type="dxa"/>
            <w:vAlign w:val="top"/>
            <w:tcBorders>
              <w:left w:val="nil"/>
              <w:right w:val="nil"/>
            </w:tcBorders>
          </w:tcPr>
          <w:p>
            <w:pPr>
              <w:ind w:left="399"/>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27.42</w:t>
            </w:r>
          </w:p>
        </w:tc>
        <w:tc>
          <w:tcPr>
            <w:shd w:val="clear" w:fill="DBE5F1"/>
            <w:tcW w:w="990" w:type="dxa"/>
            <w:vAlign w:val="top"/>
            <w:tcBorders>
              <w:left w:val="nil"/>
              <w:right w:val="nil"/>
            </w:tcBorders>
          </w:tcPr>
          <w:p>
            <w:pPr>
              <w:jc w:val="right"/>
              <w:rPr>
                <w:sz w:val="18"/>
                <w:szCs w:val="18"/>
              </w:rPr>
            </w:pPr>
            <w:r>
              <w:rPr>
                <w:rFonts w:ascii="Times New Roman" w:hAnsi="Times New Roman" w:eastAsia="Times New Roman" w:cs="Times New Roman"/>
                <w:sz w:val="18"/>
                <w:szCs w:val="18"/>
                <w:b/>
                <w:bCs/>
                <w:spacing w:val="-4"/>
              </w:rPr>
              <w:t>21,107</w:t>
            </w:r>
            <w:r>
              <w:rPr>
                <w:sz w:val="18"/>
                <w:szCs w:val="18"/>
                <w:position w:val="-10"/>
              </w:rPr>
              <w:drawing>
                <wp:inline distT="0" distB="0" distL="0" distR="0">
                  <wp:extent cx="34881" cy="245999"/>
                  <wp:effectExtent l="0" t="0" r="0" b="0"/>
                  <wp:docPr id="170" name="IM 170"/>
                  <wp:cNvGraphicFramePr/>
                  <a:graphic>
                    <a:graphicData uri="http://schemas.openxmlformats.org/drawingml/2006/picture">
                      <pic:pic>
                        <pic:nvPicPr>
                          <pic:cNvPr id="170" name="IM 170"/>
                          <pic:cNvPicPr/>
                        </pic:nvPicPr>
                        <pic:blipFill>
                          <a:blip r:embed="rId87"/>
                          <a:stretch>
                            <a:fillRect/>
                          </a:stretch>
                        </pic:blipFill>
                        <pic:spPr>
                          <a:xfrm rot="0">
                            <a:off x="0" y="0"/>
                            <a:ext cx="34881" cy="245999"/>
                          </a:xfrm>
                          <a:prstGeom prst="rect">
                            <a:avLst/>
                          </a:prstGeom>
                        </pic:spPr>
                      </pic:pic>
                    </a:graphicData>
                  </a:graphic>
                </wp:inline>
              </w:drawing>
            </w:r>
          </w:p>
        </w:tc>
        <w:tc>
          <w:tcPr>
            <w:shd w:val="clear" w:fill="DBE5F1"/>
            <w:tcW w:w="990" w:type="dxa"/>
            <w:vAlign w:val="top"/>
            <w:tcBorders>
              <w:left w:val="nil"/>
              <w:right w:val="nil"/>
            </w:tcBorders>
          </w:tcPr>
          <w:p>
            <w:pPr>
              <w:spacing w:before="159"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9"/>
              </w:rPr>
              <w:t>1.</w:t>
            </w:r>
            <w:r>
              <w:rPr>
                <w:rFonts w:ascii="Times New Roman" w:hAnsi="Times New Roman" w:eastAsia="Times New Roman" w:cs="Times New Roman"/>
                <w:sz w:val="18"/>
                <w:szCs w:val="18"/>
                <w:b/>
                <w:bCs/>
                <w:spacing w:val="-8"/>
              </w:rPr>
              <w:t>0</w:t>
            </w:r>
            <w:r>
              <w:rPr>
                <w:rFonts w:ascii="Times New Roman" w:hAnsi="Times New Roman" w:eastAsia="Times New Roman" w:cs="Times New Roman"/>
                <w:sz w:val="18"/>
                <w:szCs w:val="18"/>
                <w:b/>
                <w:bCs/>
                <w:spacing w:val="-6"/>
              </w:rPr>
              <w:t>6</w:t>
            </w:r>
          </w:p>
        </w:tc>
        <w:tc>
          <w:tcPr>
            <w:tcW w:w="1376" w:type="dxa"/>
            <w:vAlign w:val="top"/>
            <w:tcBorders>
              <w:left w:val="nil"/>
              <w:right w:val="nil"/>
            </w:tcBorders>
          </w:tcPr>
          <w:p>
            <w:pPr>
              <w:ind w:left="540"/>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1,780,637</w:t>
            </w:r>
          </w:p>
        </w:tc>
        <w:tc>
          <w:tcPr>
            <w:tcW w:w="902" w:type="dxa"/>
            <w:vAlign w:val="top"/>
            <w:tcBorders>
              <w:left w:val="nil"/>
              <w:right w:val="nil"/>
            </w:tcBorders>
          </w:tcPr>
          <w:p>
            <w:pPr>
              <w:ind w:left="337"/>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27.14</w:t>
            </w:r>
          </w:p>
        </w:tc>
        <w:tc>
          <w:tcPr>
            <w:tcW w:w="957" w:type="dxa"/>
            <w:vAlign w:val="top"/>
            <w:tcBorders>
              <w:left w:val="nil"/>
              <w:right w:val="nil"/>
            </w:tcBorders>
          </w:tcPr>
          <w:p>
            <w:pPr>
              <w:ind w:left="390"/>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22,399</w:t>
            </w:r>
          </w:p>
        </w:tc>
        <w:tc>
          <w:tcPr>
            <w:tcW w:w="1030" w:type="dxa"/>
            <w:vAlign w:val="top"/>
            <w:tcBorders>
              <w:left w:val="nil"/>
              <w:right w:val="nil"/>
            </w:tcBorders>
          </w:tcPr>
          <w:p>
            <w:pPr>
              <w:ind w:left="680"/>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1.26</w:t>
            </w:r>
          </w:p>
        </w:tc>
      </w:tr>
      <w:tr>
        <w:trPr>
          <w:trHeight w:val="397" w:hRule="atLeast"/>
        </w:trPr>
        <w:tc>
          <w:tcPr>
            <w:tcW w:w="1392" w:type="dxa"/>
            <w:vAlign w:val="top"/>
            <w:tcBorders>
              <w:left w:val="nil"/>
              <w:right w:val="nil"/>
            </w:tcBorders>
          </w:tcPr>
          <w:p>
            <w:pPr>
              <w:pStyle w:val="TableText"/>
              <w:ind w:left="79"/>
              <w:spacing w:before="126" w:line="220" w:lineRule="auto"/>
              <w:rPr>
                <w:sz w:val="18"/>
                <w:szCs w:val="18"/>
              </w:rPr>
            </w:pPr>
            <w:r>
              <w:rPr>
                <w:sz w:val="18"/>
                <w:szCs w:val="18"/>
                <w:spacing w:val="-2"/>
              </w:rPr>
              <w:t>珠江三角洲</w:t>
            </w:r>
          </w:p>
        </w:tc>
        <w:tc>
          <w:tcPr>
            <w:shd w:val="clear" w:fill="DBE5F1"/>
            <w:tcW w:w="243" w:type="dxa"/>
            <w:vAlign w:val="top"/>
            <w:tcBorders>
              <w:left w:val="nil"/>
              <w:right w:val="nil"/>
            </w:tcBorders>
          </w:tcPr>
          <w:p>
            <w:pPr>
              <w:spacing w:line="387" w:lineRule="exact"/>
              <w:rPr/>
            </w:pPr>
            <w:r>
              <w:rPr>
                <w:position w:val="-8"/>
              </w:rPr>
              <w:pict>
                <v:shape id="_x0000_s498" style="mso-position-vertical-relative:line;mso-position-horizontal-relative:char;width:2.9pt;height:19.7pt;" fillcolor="#DBE5F1" filled="true" stroked="false" coordsize="58,394" coordorigin="0,0" path="m0,393l57,393l57,0l0,0l0,393xe"/>
              </w:pict>
            </w:r>
          </w:p>
        </w:tc>
        <w:tc>
          <w:tcPr>
            <w:shd w:val="clear" w:fill="DBE5F1"/>
            <w:tcW w:w="995" w:type="dxa"/>
            <w:vAlign w:val="top"/>
            <w:tcBorders>
              <w:left w:val="nil"/>
              <w:right w:val="nil"/>
            </w:tcBorders>
          </w:tcPr>
          <w:p>
            <w:pPr>
              <w:jc w:val="right"/>
              <w:rPr>
                <w:sz w:val="18"/>
                <w:szCs w:val="18"/>
              </w:rPr>
            </w:pPr>
            <w:r>
              <w:rPr>
                <w:rFonts w:ascii="Times New Roman" w:hAnsi="Times New Roman" w:eastAsia="Times New Roman" w:cs="Times New Roman"/>
                <w:sz w:val="18"/>
                <w:szCs w:val="18"/>
                <w:b/>
                <w:bCs/>
                <w:spacing w:val="-4"/>
              </w:rPr>
              <w:t>978,749</w:t>
            </w:r>
            <w:r>
              <w:rPr>
                <w:rFonts w:ascii="Times New Roman" w:hAnsi="Times New Roman" w:eastAsia="Times New Roman" w:cs="Times New Roman"/>
                <w:sz w:val="18"/>
                <w:szCs w:val="18"/>
                <w:b/>
                <w:bCs/>
                <w:spacing w:val="13"/>
                <w:w w:val="101"/>
              </w:rPr>
              <w:t xml:space="preserve"> </w:t>
            </w:r>
            <w:r>
              <w:rPr>
                <w:sz w:val="18"/>
                <w:szCs w:val="18"/>
                <w:position w:val="-10"/>
              </w:rPr>
              <w:drawing>
                <wp:inline distT="0" distB="0" distL="0" distR="0">
                  <wp:extent cx="35520" cy="245236"/>
                  <wp:effectExtent l="0" t="0" r="0" b="0"/>
                  <wp:docPr id="172" name="IM 172"/>
                  <wp:cNvGraphicFramePr/>
                  <a:graphic>
                    <a:graphicData uri="http://schemas.openxmlformats.org/drawingml/2006/picture">
                      <pic:pic>
                        <pic:nvPicPr>
                          <pic:cNvPr id="172" name="IM 172"/>
                          <pic:cNvPicPr/>
                        </pic:nvPicPr>
                        <pic:blipFill>
                          <a:blip r:embed="rId88"/>
                          <a:stretch>
                            <a:fillRect/>
                          </a:stretch>
                        </pic:blipFill>
                        <pic:spPr>
                          <a:xfrm rot="0">
                            <a:off x="0" y="0"/>
                            <a:ext cx="35520" cy="245236"/>
                          </a:xfrm>
                          <a:prstGeom prst="rect">
                            <a:avLst/>
                          </a:prstGeom>
                        </pic:spPr>
                      </pic:pic>
                    </a:graphicData>
                  </a:graphic>
                </wp:inline>
              </w:drawing>
            </w:r>
          </w:p>
        </w:tc>
        <w:tc>
          <w:tcPr>
            <w:shd w:val="clear" w:fill="DBE5F1"/>
            <w:tcW w:w="894" w:type="dxa"/>
            <w:vAlign w:val="top"/>
            <w:tcBorders>
              <w:left w:val="nil"/>
              <w:right w:val="nil"/>
            </w:tcBorders>
          </w:tcPr>
          <w:p>
            <w:pPr>
              <w:ind w:left="406"/>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13.41</w:t>
            </w:r>
          </w:p>
        </w:tc>
        <w:tc>
          <w:tcPr>
            <w:shd w:val="clear" w:fill="DBE5F1"/>
            <w:tcW w:w="990" w:type="dxa"/>
            <w:vAlign w:val="top"/>
            <w:tcBorders>
              <w:left w:val="nil"/>
              <w:right w:val="nil"/>
            </w:tcBorders>
          </w:tcPr>
          <w:p>
            <w:pPr>
              <w:ind w:left="551"/>
              <w:spacing w:before="159"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8,403</w:t>
            </w:r>
          </w:p>
        </w:tc>
        <w:tc>
          <w:tcPr>
            <w:tcW w:w="990" w:type="dxa"/>
            <w:vAlign w:val="top"/>
            <w:tcBorders>
              <w:left w:val="nil"/>
              <w:right w:val="nil"/>
            </w:tcBorders>
          </w:tcPr>
          <w:p>
            <w:pPr>
              <w:ind w:firstLine="75"/>
              <w:spacing w:line="387" w:lineRule="exact"/>
              <w:rPr/>
            </w:pPr>
            <w:r>
              <w:pict>
                <v:shape id="_x0000_s500" style="position:absolute;margin-left:-51.35pt;margin-top:0.040009pt;mso-position-vertical-relative:top-margin-area;mso-position-horizontal-relative:right-margin-area;width:2.8pt;height:19.7pt;z-index:251921408;" fillcolor="#DBE5F1" filled="true" stroked="false" coordsize="55,394" coordorigin="0,0" path="m0,393l55,393l55,0l0,0l0,393xe"/>
              </w:pict>
            </w:r>
            <w:r>
              <w:rPr>
                <w:position w:val="-8"/>
              </w:rPr>
              <w:pict>
                <v:shape id="_x0000_s502" style="mso-position-vertical-relative:line;mso-position-horizontal-relative:char;width:45.05pt;height:19.7pt;" fillcolor="#DBE5F1" filled="true" stroked="false" type="#_x0000_t202">
                  <v:fill on="true"/>
                  <v:stroke on="false"/>
                  <v:path/>
                  <v:imagedata o:title=""/>
                  <o:lock v:ext="edit" aspectratio="false"/>
                  <v:textbox inset="0mm,0mm,0mm,0mm">
                    <w:txbxContent>
                      <w:p>
                        <w:pPr>
                          <w:spacing w:before="159"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2"/>
                          </w:rPr>
                          <w:t>0</w:t>
                        </w:r>
                        <w:r>
                          <w:rPr>
                            <w:rFonts w:ascii="Times New Roman" w:hAnsi="Times New Roman" w:eastAsia="Times New Roman" w:cs="Times New Roman"/>
                            <w:sz w:val="18"/>
                            <w:szCs w:val="18"/>
                            <w:b/>
                            <w:bCs/>
                            <w:spacing w:val="-11"/>
                          </w:rPr>
                          <w:t>.8</w:t>
                        </w:r>
                        <w:r>
                          <w:rPr>
                            <w:rFonts w:ascii="Times New Roman" w:hAnsi="Times New Roman" w:eastAsia="Times New Roman" w:cs="Times New Roman"/>
                            <w:sz w:val="18"/>
                            <w:szCs w:val="18"/>
                            <w:b/>
                            <w:bCs/>
                            <w:spacing w:val="-6"/>
                          </w:rPr>
                          <w:t>6</w:t>
                        </w:r>
                      </w:p>
                    </w:txbxContent>
                  </v:textbox>
                </v:shape>
              </w:pict>
            </w:r>
          </w:p>
        </w:tc>
        <w:tc>
          <w:tcPr>
            <w:tcW w:w="1376" w:type="dxa"/>
            <w:vAlign w:val="top"/>
            <w:tcBorders>
              <w:left w:val="nil"/>
              <w:right w:val="nil"/>
            </w:tcBorders>
          </w:tcPr>
          <w:p>
            <w:pPr>
              <w:ind w:left="664"/>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857,521</w:t>
            </w:r>
          </w:p>
        </w:tc>
        <w:tc>
          <w:tcPr>
            <w:tcW w:w="902" w:type="dxa"/>
            <w:vAlign w:val="top"/>
            <w:tcBorders>
              <w:left w:val="nil"/>
              <w:right w:val="nil"/>
            </w:tcBorders>
          </w:tcPr>
          <w:p>
            <w:pPr>
              <w:ind w:left="354"/>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13.07</w:t>
            </w:r>
          </w:p>
        </w:tc>
        <w:tc>
          <w:tcPr>
            <w:tcW w:w="957" w:type="dxa"/>
            <w:vAlign w:val="top"/>
            <w:tcBorders>
              <w:left w:val="nil"/>
              <w:right w:val="nil"/>
            </w:tcBorders>
          </w:tcPr>
          <w:p>
            <w:pPr>
              <w:ind w:left="484"/>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5,559</w:t>
            </w:r>
          </w:p>
        </w:tc>
        <w:tc>
          <w:tcPr>
            <w:tcW w:w="1030" w:type="dxa"/>
            <w:vAlign w:val="top"/>
            <w:tcBorders>
              <w:left w:val="nil"/>
              <w:right w:val="nil"/>
            </w:tcBorders>
          </w:tcPr>
          <w:p>
            <w:pPr>
              <w:ind w:left="665"/>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0.66</w:t>
            </w:r>
          </w:p>
        </w:tc>
      </w:tr>
      <w:tr>
        <w:trPr>
          <w:trHeight w:val="400" w:hRule="atLeast"/>
        </w:trPr>
        <w:tc>
          <w:tcPr>
            <w:tcW w:w="1392" w:type="dxa"/>
            <w:vAlign w:val="top"/>
            <w:tcBorders>
              <w:left w:val="nil"/>
              <w:right w:val="nil"/>
            </w:tcBorders>
          </w:tcPr>
          <w:p>
            <w:pPr>
              <w:pStyle w:val="TableText"/>
              <w:ind w:left="79"/>
              <w:spacing w:before="130" w:line="220" w:lineRule="auto"/>
              <w:rPr>
                <w:sz w:val="18"/>
                <w:szCs w:val="18"/>
              </w:rPr>
            </w:pPr>
            <w:r>
              <w:rPr>
                <w:sz w:val="18"/>
                <w:szCs w:val="18"/>
                <w:spacing w:val="-2"/>
              </w:rPr>
              <w:t>环渤海地区</w:t>
            </w:r>
          </w:p>
        </w:tc>
        <w:tc>
          <w:tcPr>
            <w:shd w:val="clear" w:fill="DBE5F1"/>
            <w:tcW w:w="243" w:type="dxa"/>
            <w:vAlign w:val="top"/>
            <w:tcBorders>
              <w:left w:val="nil"/>
              <w:right w:val="nil"/>
            </w:tcBorders>
          </w:tcPr>
          <w:p>
            <w:pPr>
              <w:spacing w:before="4" w:line="385" w:lineRule="exact"/>
              <w:rPr/>
            </w:pPr>
            <w:r>
              <w:rPr>
                <w:position w:val="-8"/>
              </w:rPr>
              <w:pict>
                <v:shape id="_x0000_s504" style="mso-position-vertical-relative:line;mso-position-horizontal-relative:char;width:2.9pt;height:19.7pt;" fillcolor="#DBE5F1" filled="true" stroked="false" coordsize="58,394" coordorigin="0,0" path="m0,393l57,393l57,0l0,0l0,393xe"/>
              </w:pict>
            </w:r>
          </w:p>
        </w:tc>
        <w:tc>
          <w:tcPr>
            <w:shd w:val="clear" w:fill="DBE5F1"/>
            <w:tcW w:w="995" w:type="dxa"/>
            <w:vAlign w:val="top"/>
            <w:tcBorders>
              <w:left w:val="nil"/>
              <w:right w:val="nil"/>
            </w:tcBorders>
          </w:tcPr>
          <w:p>
            <w:pPr>
              <w:spacing w:before="4"/>
              <w:jc w:val="right"/>
              <w:rPr>
                <w:sz w:val="18"/>
                <w:szCs w:val="18"/>
              </w:rPr>
            </w:pPr>
            <w:r>
              <w:rPr>
                <w:rFonts w:ascii="Times New Roman" w:hAnsi="Times New Roman" w:eastAsia="Times New Roman" w:cs="Times New Roman"/>
                <w:sz w:val="18"/>
                <w:szCs w:val="18"/>
                <w:b/>
                <w:bCs/>
                <w:spacing w:val="-4"/>
              </w:rPr>
              <w:t>1,137,282</w:t>
            </w:r>
            <w:r>
              <w:rPr>
                <w:rFonts w:ascii="Times New Roman" w:hAnsi="Times New Roman" w:eastAsia="Times New Roman" w:cs="Times New Roman"/>
                <w:sz w:val="18"/>
                <w:szCs w:val="18"/>
                <w:b/>
                <w:bCs/>
                <w:spacing w:val="14"/>
                <w:w w:val="101"/>
              </w:rPr>
              <w:t xml:space="preserve"> </w:t>
            </w:r>
            <w:r>
              <w:rPr>
                <w:sz w:val="18"/>
                <w:szCs w:val="18"/>
                <w:position w:val="-11"/>
              </w:rPr>
              <w:drawing>
                <wp:inline distT="0" distB="0" distL="0" distR="0">
                  <wp:extent cx="35684" cy="244856"/>
                  <wp:effectExtent l="0" t="0" r="0" b="0"/>
                  <wp:docPr id="174" name="IM 174"/>
                  <wp:cNvGraphicFramePr/>
                  <a:graphic>
                    <a:graphicData uri="http://schemas.openxmlformats.org/drawingml/2006/picture">
                      <pic:pic>
                        <pic:nvPicPr>
                          <pic:cNvPr id="174" name="IM 174"/>
                          <pic:cNvPicPr/>
                        </pic:nvPicPr>
                        <pic:blipFill>
                          <a:blip r:embed="rId89"/>
                          <a:stretch>
                            <a:fillRect/>
                          </a:stretch>
                        </pic:blipFill>
                        <pic:spPr>
                          <a:xfrm rot="0">
                            <a:off x="0" y="0"/>
                            <a:ext cx="35684" cy="244856"/>
                          </a:xfrm>
                          <a:prstGeom prst="rect">
                            <a:avLst/>
                          </a:prstGeom>
                        </pic:spPr>
                      </pic:pic>
                    </a:graphicData>
                  </a:graphic>
                </wp:inline>
              </w:drawing>
            </w:r>
          </w:p>
        </w:tc>
        <w:tc>
          <w:tcPr>
            <w:shd w:val="clear" w:fill="DBE5F1"/>
            <w:tcW w:w="894" w:type="dxa"/>
            <w:vAlign w:val="top"/>
            <w:tcBorders>
              <w:left w:val="nil"/>
              <w:right w:val="nil"/>
            </w:tcBorders>
          </w:tcPr>
          <w:p>
            <w:pPr>
              <w:ind w:left="406"/>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15.59</w:t>
            </w:r>
          </w:p>
        </w:tc>
        <w:tc>
          <w:tcPr>
            <w:shd w:val="clear" w:fill="DBE5F1"/>
            <w:tcW w:w="990" w:type="dxa"/>
            <w:vAlign w:val="top"/>
            <w:tcBorders>
              <w:left w:val="nil"/>
              <w:right w:val="nil"/>
            </w:tcBorders>
          </w:tcPr>
          <w:p>
            <w:pPr>
              <w:ind w:left="468"/>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10,707</w:t>
            </w:r>
          </w:p>
        </w:tc>
        <w:tc>
          <w:tcPr>
            <w:tcW w:w="990" w:type="dxa"/>
            <w:vAlign w:val="top"/>
            <w:tcBorders>
              <w:left w:val="nil"/>
              <w:right w:val="nil"/>
            </w:tcBorders>
          </w:tcPr>
          <w:p>
            <w:pPr>
              <w:ind w:firstLine="75"/>
              <w:spacing w:before="4" w:line="385" w:lineRule="exact"/>
              <w:rPr/>
            </w:pPr>
            <w:r>
              <w:pict>
                <v:shape id="_x0000_s506" style="position:absolute;margin-left:-51.35pt;margin-top:0.219971pt;mso-position-vertical-relative:top-margin-area;mso-position-horizontal-relative:right-margin-area;width:2.8pt;height:19.7pt;z-index:251918336;" fillcolor="#DBE5F1" filled="true" stroked="false" coordsize="55,394" coordorigin="0,0" path="m0,393l55,393l55,0l0,0l0,393xe"/>
              </w:pict>
            </w:r>
            <w:r>
              <w:rPr>
                <w:position w:val="-8"/>
              </w:rPr>
              <w:pict>
                <v:shape id="_x0000_s508" style="mso-position-vertical-relative:line;mso-position-horizontal-relative:char;width:45.05pt;height:19.7pt;" fillcolor="#DBE5F1" filled="true" stroked="false" type="#_x0000_t202">
                  <v:fill on="true"/>
                  <v:stroke on="false"/>
                  <v:path/>
                  <v:imagedata o:title=""/>
                  <o:lock v:ext="edit" aspectratio="false"/>
                  <v:textbox inset="0mm,0mm,0mm,0mm">
                    <w:txbxContent>
                      <w:p>
                        <w:pPr>
                          <w:spacing w:before="159"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1"/>
                          </w:rPr>
                          <w:t>0.</w:t>
                        </w:r>
                        <w:r>
                          <w:rPr>
                            <w:rFonts w:ascii="Times New Roman" w:hAnsi="Times New Roman" w:eastAsia="Times New Roman" w:cs="Times New Roman"/>
                            <w:sz w:val="18"/>
                            <w:szCs w:val="18"/>
                            <w:b/>
                            <w:bCs/>
                            <w:spacing w:val="-10"/>
                          </w:rPr>
                          <w:t>9</w:t>
                        </w:r>
                        <w:r>
                          <w:rPr>
                            <w:rFonts w:ascii="Times New Roman" w:hAnsi="Times New Roman" w:eastAsia="Times New Roman" w:cs="Times New Roman"/>
                            <w:sz w:val="18"/>
                            <w:szCs w:val="18"/>
                            <w:b/>
                            <w:bCs/>
                            <w:spacing w:val="-8"/>
                          </w:rPr>
                          <w:t>4</w:t>
                        </w:r>
                      </w:p>
                    </w:txbxContent>
                  </v:textbox>
                </v:shape>
              </w:pict>
            </w:r>
          </w:p>
        </w:tc>
        <w:tc>
          <w:tcPr>
            <w:tcW w:w="1376" w:type="dxa"/>
            <w:vAlign w:val="top"/>
            <w:tcBorders>
              <w:left w:val="nil"/>
              <w:right w:val="nil"/>
            </w:tcBorders>
          </w:tcPr>
          <w:p>
            <w:pPr>
              <w:ind w:left="660"/>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965,957</w:t>
            </w:r>
          </w:p>
        </w:tc>
        <w:tc>
          <w:tcPr>
            <w:tcW w:w="902" w:type="dxa"/>
            <w:vAlign w:val="top"/>
            <w:tcBorders>
              <w:left w:val="nil"/>
              <w:right w:val="nil"/>
            </w:tcBorders>
          </w:tcPr>
          <w:p>
            <w:pPr>
              <w:ind w:left="354"/>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14.72</w:t>
            </w:r>
          </w:p>
        </w:tc>
        <w:tc>
          <w:tcPr>
            <w:tcW w:w="957" w:type="dxa"/>
            <w:vAlign w:val="top"/>
            <w:tcBorders>
              <w:left w:val="nil"/>
              <w:right w:val="nil"/>
            </w:tcBorders>
          </w:tcPr>
          <w:p>
            <w:pPr>
              <w:ind w:left="408"/>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13,893</w:t>
            </w:r>
          </w:p>
        </w:tc>
        <w:tc>
          <w:tcPr>
            <w:tcW w:w="1030" w:type="dxa"/>
            <w:vAlign w:val="top"/>
            <w:tcBorders>
              <w:left w:val="nil"/>
              <w:right w:val="nil"/>
            </w:tcBorders>
          </w:tcPr>
          <w:p>
            <w:pPr>
              <w:ind w:left="680"/>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1.44</w:t>
            </w:r>
          </w:p>
        </w:tc>
      </w:tr>
      <w:tr>
        <w:trPr>
          <w:trHeight w:val="398" w:hRule="atLeast"/>
        </w:trPr>
        <w:tc>
          <w:tcPr>
            <w:tcW w:w="1392" w:type="dxa"/>
            <w:vAlign w:val="top"/>
            <w:tcBorders>
              <w:left w:val="nil"/>
              <w:right w:val="nil"/>
            </w:tcBorders>
          </w:tcPr>
          <w:p>
            <w:pPr>
              <w:pStyle w:val="TableText"/>
              <w:ind w:left="95"/>
              <w:spacing w:before="129" w:line="220" w:lineRule="auto"/>
              <w:rPr>
                <w:sz w:val="18"/>
                <w:szCs w:val="18"/>
              </w:rPr>
            </w:pPr>
            <w:r>
              <w:rPr>
                <w:sz w:val="18"/>
                <w:szCs w:val="18"/>
                <w:spacing w:val="-5"/>
              </w:rPr>
              <w:t>中部地区</w:t>
            </w:r>
          </w:p>
        </w:tc>
        <w:tc>
          <w:tcPr>
            <w:shd w:val="clear" w:fill="DBE5F1"/>
            <w:tcW w:w="243" w:type="dxa"/>
            <w:vAlign w:val="top"/>
            <w:tcBorders>
              <w:left w:val="nil"/>
              <w:right w:val="nil"/>
            </w:tcBorders>
          </w:tcPr>
          <w:p>
            <w:pPr>
              <w:spacing w:before="2" w:line="385" w:lineRule="exact"/>
              <w:rPr/>
            </w:pPr>
            <w:r>
              <w:rPr>
                <w:position w:val="-8"/>
              </w:rPr>
              <w:pict>
                <v:shape id="_x0000_s510" style="mso-position-vertical-relative:line;mso-position-horizontal-relative:char;width:2.9pt;height:19.7pt;" fillcolor="#DBE5F1" filled="true" stroked="false" coordsize="58,394" coordorigin="0,0" path="m0,393l57,393l57,0l0,0l0,393xe"/>
              </w:pict>
            </w:r>
          </w:p>
        </w:tc>
        <w:tc>
          <w:tcPr>
            <w:shd w:val="clear" w:fill="DBE5F1"/>
            <w:tcW w:w="995" w:type="dxa"/>
            <w:vAlign w:val="top"/>
            <w:tcBorders>
              <w:left w:val="nil"/>
              <w:right w:val="nil"/>
            </w:tcBorders>
          </w:tcPr>
          <w:p>
            <w:pPr>
              <w:spacing w:before="2"/>
              <w:jc w:val="right"/>
              <w:rPr>
                <w:sz w:val="18"/>
                <w:szCs w:val="18"/>
              </w:rPr>
            </w:pPr>
            <w:r>
              <w:rPr>
                <w:rFonts w:ascii="Times New Roman" w:hAnsi="Times New Roman" w:eastAsia="Times New Roman" w:cs="Times New Roman"/>
                <w:sz w:val="18"/>
                <w:szCs w:val="18"/>
                <w:b/>
                <w:bCs/>
                <w:spacing w:val="-4"/>
              </w:rPr>
              <w:t>1,196,075</w:t>
            </w:r>
            <w:r>
              <w:rPr>
                <w:rFonts w:ascii="Times New Roman" w:hAnsi="Times New Roman" w:eastAsia="Times New Roman" w:cs="Times New Roman"/>
                <w:sz w:val="18"/>
                <w:szCs w:val="18"/>
                <w:b/>
                <w:bCs/>
                <w:spacing w:val="14"/>
                <w:w w:val="101"/>
              </w:rPr>
              <w:t xml:space="preserve"> </w:t>
            </w:r>
            <w:r>
              <w:rPr>
                <w:sz w:val="18"/>
                <w:szCs w:val="18"/>
                <w:position w:val="-11"/>
              </w:rPr>
              <w:drawing>
                <wp:inline distT="0" distB="0" distL="0" distR="0">
                  <wp:extent cx="35684" cy="244729"/>
                  <wp:effectExtent l="0" t="0" r="0" b="0"/>
                  <wp:docPr id="176" name="IM 176"/>
                  <wp:cNvGraphicFramePr/>
                  <a:graphic>
                    <a:graphicData uri="http://schemas.openxmlformats.org/drawingml/2006/picture">
                      <pic:pic>
                        <pic:nvPicPr>
                          <pic:cNvPr id="176" name="IM 176"/>
                          <pic:cNvPicPr/>
                        </pic:nvPicPr>
                        <pic:blipFill>
                          <a:blip r:embed="rId90"/>
                          <a:stretch>
                            <a:fillRect/>
                          </a:stretch>
                        </pic:blipFill>
                        <pic:spPr>
                          <a:xfrm rot="0">
                            <a:off x="0" y="0"/>
                            <a:ext cx="35684" cy="244729"/>
                          </a:xfrm>
                          <a:prstGeom prst="rect">
                            <a:avLst/>
                          </a:prstGeom>
                        </pic:spPr>
                      </pic:pic>
                    </a:graphicData>
                  </a:graphic>
                </wp:inline>
              </w:drawing>
            </w:r>
          </w:p>
        </w:tc>
        <w:tc>
          <w:tcPr>
            <w:shd w:val="clear" w:fill="DBE5F1"/>
            <w:tcW w:w="894" w:type="dxa"/>
            <w:vAlign w:val="top"/>
            <w:tcBorders>
              <w:left w:val="nil"/>
              <w:right w:val="nil"/>
            </w:tcBorders>
          </w:tcPr>
          <w:p>
            <w:pPr>
              <w:ind w:left="406"/>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16.39</w:t>
            </w:r>
          </w:p>
        </w:tc>
        <w:tc>
          <w:tcPr>
            <w:shd w:val="clear" w:fill="DBE5F1"/>
            <w:tcW w:w="990" w:type="dxa"/>
            <w:vAlign w:val="top"/>
            <w:tcBorders>
              <w:left w:val="nil"/>
              <w:right w:val="nil"/>
            </w:tcBorders>
          </w:tcPr>
          <w:p>
            <w:pPr>
              <w:ind w:left="468"/>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14,520</w:t>
            </w:r>
          </w:p>
        </w:tc>
        <w:tc>
          <w:tcPr>
            <w:tcW w:w="990" w:type="dxa"/>
            <w:vAlign w:val="top"/>
            <w:tcBorders>
              <w:left w:val="nil"/>
              <w:right w:val="nil"/>
            </w:tcBorders>
          </w:tcPr>
          <w:p>
            <w:pPr>
              <w:ind w:firstLine="75"/>
              <w:spacing w:before="2" w:line="385" w:lineRule="exact"/>
              <w:rPr/>
            </w:pPr>
            <w:r>
              <w:pict>
                <v:shape id="_x0000_s512" style="position:absolute;margin-left:-51.35pt;margin-top:0.129974pt;mso-position-vertical-relative:top-margin-area;mso-position-horizontal-relative:right-margin-area;width:2.8pt;height:19.7pt;z-index:251919360;" fillcolor="#DBE5F1" filled="true" stroked="false" coordsize="55,394" coordorigin="0,0" path="m0,393l55,393l55,0l0,0l0,393xe"/>
              </w:pict>
            </w:r>
            <w:r>
              <w:rPr>
                <w:position w:val="-8"/>
              </w:rPr>
              <w:pict>
                <v:shape id="_x0000_s514" style="mso-position-vertical-relative:line;mso-position-horizontal-relative:char;width:45.05pt;height:19.7pt;" fillcolor="#DBE5F1" filled="true" stroked="false" type="#_x0000_t202">
                  <v:fill on="true"/>
                  <v:stroke on="false"/>
                  <v:path/>
                  <v:imagedata o:title=""/>
                  <o:lock v:ext="edit" aspectratio="false"/>
                  <v:textbox inset="0mm,0mm,0mm,0mm">
                    <w:txbxContent>
                      <w:p>
                        <w:pPr>
                          <w:spacing w:before="159"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1"/>
                          </w:rPr>
                          <w:t>1.21</w:t>
                        </w:r>
                      </w:p>
                    </w:txbxContent>
                  </v:textbox>
                </v:shape>
              </w:pict>
            </w:r>
          </w:p>
        </w:tc>
        <w:tc>
          <w:tcPr>
            <w:tcW w:w="1376" w:type="dxa"/>
            <w:vAlign w:val="top"/>
            <w:tcBorders>
              <w:left w:val="nil"/>
              <w:right w:val="nil"/>
            </w:tcBorders>
          </w:tcPr>
          <w:p>
            <w:pPr>
              <w:ind w:left="540"/>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1,092,985</w:t>
            </w:r>
          </w:p>
        </w:tc>
        <w:tc>
          <w:tcPr>
            <w:tcW w:w="902" w:type="dxa"/>
            <w:vAlign w:val="top"/>
            <w:tcBorders>
              <w:left w:val="nil"/>
              <w:right w:val="nil"/>
            </w:tcBorders>
          </w:tcPr>
          <w:p>
            <w:pPr>
              <w:ind w:left="354"/>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16.66</w:t>
            </w:r>
          </w:p>
        </w:tc>
        <w:tc>
          <w:tcPr>
            <w:tcW w:w="957" w:type="dxa"/>
            <w:vAlign w:val="top"/>
            <w:tcBorders>
              <w:left w:val="nil"/>
              <w:right w:val="nil"/>
            </w:tcBorders>
          </w:tcPr>
          <w:p>
            <w:pPr>
              <w:ind w:left="408"/>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19,224</w:t>
            </w:r>
          </w:p>
        </w:tc>
        <w:tc>
          <w:tcPr>
            <w:tcW w:w="1030" w:type="dxa"/>
            <w:vAlign w:val="top"/>
            <w:tcBorders>
              <w:left w:val="nil"/>
              <w:right w:val="nil"/>
            </w:tcBorders>
          </w:tcPr>
          <w:p>
            <w:pPr>
              <w:ind w:left="680"/>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1.76</w:t>
            </w:r>
          </w:p>
        </w:tc>
      </w:tr>
      <w:tr>
        <w:trPr>
          <w:trHeight w:val="398" w:hRule="atLeast"/>
        </w:trPr>
        <w:tc>
          <w:tcPr>
            <w:tcW w:w="1392" w:type="dxa"/>
            <w:vAlign w:val="top"/>
            <w:tcBorders>
              <w:left w:val="nil"/>
              <w:right w:val="nil"/>
            </w:tcBorders>
          </w:tcPr>
          <w:p>
            <w:pPr>
              <w:pStyle w:val="TableText"/>
              <w:ind w:left="83"/>
              <w:spacing w:before="129" w:line="220" w:lineRule="auto"/>
              <w:rPr>
                <w:sz w:val="18"/>
                <w:szCs w:val="18"/>
              </w:rPr>
            </w:pPr>
            <w:r>
              <w:rPr>
                <w:sz w:val="18"/>
                <w:szCs w:val="18"/>
                <w:spacing w:val="-3"/>
              </w:rPr>
              <w:t>西部地区</w:t>
            </w:r>
          </w:p>
        </w:tc>
        <w:tc>
          <w:tcPr>
            <w:shd w:val="clear" w:fill="DBE5F1"/>
            <w:tcW w:w="243" w:type="dxa"/>
            <w:vAlign w:val="top"/>
            <w:tcBorders>
              <w:left w:val="nil"/>
              <w:right w:val="nil"/>
            </w:tcBorders>
          </w:tcPr>
          <w:p>
            <w:pPr>
              <w:spacing w:before="2" w:line="386" w:lineRule="exact"/>
              <w:rPr/>
            </w:pPr>
            <w:r>
              <w:rPr>
                <w:position w:val="-8"/>
              </w:rPr>
              <w:pict>
                <v:shape id="_x0000_s516" style="mso-position-vertical-relative:line;mso-position-horizontal-relative:char;width:2.9pt;height:19.7pt;" fillcolor="#DBE5F1" filled="true" stroked="false" coordsize="58,394" coordorigin="0,0" path="m0,393l57,393l57,0l0,0l0,393xe"/>
              </w:pict>
            </w:r>
          </w:p>
        </w:tc>
        <w:tc>
          <w:tcPr>
            <w:shd w:val="clear" w:fill="DBE5F1"/>
            <w:tcW w:w="995" w:type="dxa"/>
            <w:vAlign w:val="top"/>
            <w:tcBorders>
              <w:left w:val="nil"/>
              <w:right w:val="nil"/>
            </w:tcBorders>
          </w:tcPr>
          <w:p>
            <w:pPr>
              <w:spacing w:before="2"/>
              <w:jc w:val="right"/>
              <w:rPr>
                <w:sz w:val="18"/>
                <w:szCs w:val="18"/>
              </w:rPr>
            </w:pPr>
            <w:r>
              <w:rPr>
                <w:rFonts w:ascii="Times New Roman" w:hAnsi="Times New Roman" w:eastAsia="Times New Roman" w:cs="Times New Roman"/>
                <w:sz w:val="18"/>
                <w:szCs w:val="18"/>
                <w:b/>
                <w:bCs/>
                <w:spacing w:val="-4"/>
              </w:rPr>
              <w:t>875,476</w:t>
            </w:r>
            <w:r>
              <w:rPr>
                <w:rFonts w:ascii="Times New Roman" w:hAnsi="Times New Roman" w:eastAsia="Times New Roman" w:cs="Times New Roman"/>
                <w:sz w:val="18"/>
                <w:szCs w:val="18"/>
                <w:b/>
                <w:bCs/>
                <w:spacing w:val="13"/>
              </w:rPr>
              <w:t xml:space="preserve"> </w:t>
            </w:r>
            <w:r>
              <w:rPr>
                <w:sz w:val="18"/>
                <w:szCs w:val="18"/>
                <w:position w:val="-10"/>
              </w:rPr>
              <w:drawing>
                <wp:inline distT="0" distB="0" distL="0" distR="0">
                  <wp:extent cx="35519" cy="244602"/>
                  <wp:effectExtent l="0" t="0" r="0" b="0"/>
                  <wp:docPr id="178" name="IM 178"/>
                  <wp:cNvGraphicFramePr/>
                  <a:graphic>
                    <a:graphicData uri="http://schemas.openxmlformats.org/drawingml/2006/picture">
                      <pic:pic>
                        <pic:nvPicPr>
                          <pic:cNvPr id="178" name="IM 178"/>
                          <pic:cNvPicPr/>
                        </pic:nvPicPr>
                        <pic:blipFill>
                          <a:blip r:embed="rId91"/>
                          <a:stretch>
                            <a:fillRect/>
                          </a:stretch>
                        </pic:blipFill>
                        <pic:spPr>
                          <a:xfrm rot="0">
                            <a:off x="0" y="0"/>
                            <a:ext cx="35519" cy="244602"/>
                          </a:xfrm>
                          <a:prstGeom prst="rect">
                            <a:avLst/>
                          </a:prstGeom>
                        </pic:spPr>
                      </pic:pic>
                    </a:graphicData>
                  </a:graphic>
                </wp:inline>
              </w:drawing>
            </w:r>
          </w:p>
        </w:tc>
        <w:tc>
          <w:tcPr>
            <w:shd w:val="clear" w:fill="DBE5F1"/>
            <w:tcW w:w="894" w:type="dxa"/>
            <w:vAlign w:val="top"/>
            <w:tcBorders>
              <w:left w:val="nil"/>
              <w:right w:val="nil"/>
            </w:tcBorders>
          </w:tcPr>
          <w:p>
            <w:pPr>
              <w:ind w:left="406"/>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12.00</w:t>
            </w:r>
          </w:p>
        </w:tc>
        <w:tc>
          <w:tcPr>
            <w:shd w:val="clear" w:fill="DBE5F1"/>
            <w:tcW w:w="990" w:type="dxa"/>
            <w:vAlign w:val="top"/>
            <w:tcBorders>
              <w:left w:val="nil"/>
              <w:right w:val="nil"/>
            </w:tcBorders>
          </w:tcPr>
          <w:p>
            <w:pPr>
              <w:ind w:left="550"/>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9,333</w:t>
            </w:r>
          </w:p>
        </w:tc>
        <w:tc>
          <w:tcPr>
            <w:tcW w:w="990" w:type="dxa"/>
            <w:vAlign w:val="top"/>
            <w:tcBorders>
              <w:left w:val="nil"/>
              <w:right w:val="nil"/>
            </w:tcBorders>
          </w:tcPr>
          <w:p>
            <w:pPr>
              <w:ind w:firstLine="75"/>
              <w:spacing w:before="2" w:line="386" w:lineRule="exact"/>
              <w:rPr/>
            </w:pPr>
            <w:r>
              <w:pict>
                <v:shape id="_x0000_s518" style="position:absolute;margin-left:-51.35pt;margin-top:0.139984pt;mso-position-vertical-relative:top-margin-area;mso-position-horizontal-relative:right-margin-area;width:2.8pt;height:19.7pt;z-index:251920384;" fillcolor="#DBE5F1" filled="true" stroked="false" coordsize="55,394" coordorigin="0,0" path="m0,393l55,393l55,0l0,0l0,393xe"/>
              </w:pict>
            </w:r>
            <w:r>
              <w:rPr>
                <w:position w:val="-8"/>
              </w:rPr>
              <w:pict>
                <v:shape id="_x0000_s520" style="mso-position-vertical-relative:line;mso-position-horizontal-relative:char;width:45.05pt;height:19.7pt;" fillcolor="#DBE5F1" filled="true" stroked="false" type="#_x0000_t202">
                  <v:fill on="true"/>
                  <v:stroke on="false"/>
                  <v:path/>
                  <v:imagedata o:title=""/>
                  <o:lock v:ext="edit" aspectratio="false"/>
                  <v:textbox inset="0mm,0mm,0mm,0mm">
                    <w:txbxContent>
                      <w:p>
                        <w:pPr>
                          <w:spacing w:before="159"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3"/>
                          </w:rPr>
                          <w:t>1.0</w:t>
                        </w:r>
                        <w:r>
                          <w:rPr>
                            <w:rFonts w:ascii="Times New Roman" w:hAnsi="Times New Roman" w:eastAsia="Times New Roman" w:cs="Times New Roman"/>
                            <w:sz w:val="18"/>
                            <w:szCs w:val="18"/>
                            <w:b/>
                            <w:bCs/>
                            <w:spacing w:val="-5"/>
                          </w:rPr>
                          <w:t>7</w:t>
                        </w:r>
                      </w:p>
                    </w:txbxContent>
                  </v:textbox>
                </v:shape>
              </w:pict>
            </w:r>
          </w:p>
        </w:tc>
        <w:tc>
          <w:tcPr>
            <w:tcW w:w="1376" w:type="dxa"/>
            <w:vAlign w:val="top"/>
            <w:tcBorders>
              <w:left w:val="nil"/>
              <w:right w:val="nil"/>
            </w:tcBorders>
          </w:tcPr>
          <w:p>
            <w:pPr>
              <w:ind w:left="660"/>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774,445</w:t>
            </w:r>
          </w:p>
        </w:tc>
        <w:tc>
          <w:tcPr>
            <w:tcW w:w="902" w:type="dxa"/>
            <w:vAlign w:val="top"/>
            <w:tcBorders>
              <w:left w:val="nil"/>
              <w:right w:val="nil"/>
            </w:tcBorders>
          </w:tcPr>
          <w:p>
            <w:pPr>
              <w:ind w:left="361"/>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11.80</w:t>
            </w:r>
          </w:p>
        </w:tc>
        <w:tc>
          <w:tcPr>
            <w:tcW w:w="957" w:type="dxa"/>
            <w:vAlign w:val="top"/>
            <w:tcBorders>
              <w:left w:val="nil"/>
              <w:right w:val="nil"/>
            </w:tcBorders>
          </w:tcPr>
          <w:p>
            <w:pPr>
              <w:ind w:left="483"/>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9,661</w:t>
            </w:r>
          </w:p>
        </w:tc>
        <w:tc>
          <w:tcPr>
            <w:tcW w:w="1030" w:type="dxa"/>
            <w:vAlign w:val="top"/>
            <w:tcBorders>
              <w:left w:val="nil"/>
              <w:right w:val="nil"/>
            </w:tcBorders>
          </w:tcPr>
          <w:p>
            <w:pPr>
              <w:ind w:left="680"/>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1.25</w:t>
            </w:r>
          </w:p>
        </w:tc>
      </w:tr>
      <w:tr>
        <w:trPr>
          <w:trHeight w:val="400" w:hRule="atLeast"/>
        </w:trPr>
        <w:tc>
          <w:tcPr>
            <w:tcW w:w="1392" w:type="dxa"/>
            <w:vAlign w:val="top"/>
            <w:tcBorders>
              <w:left w:val="nil"/>
              <w:right w:val="nil"/>
            </w:tcBorders>
          </w:tcPr>
          <w:p>
            <w:pPr>
              <w:pStyle w:val="TableText"/>
              <w:ind w:left="85"/>
              <w:spacing w:before="132" w:line="220" w:lineRule="auto"/>
              <w:rPr>
                <w:sz w:val="18"/>
                <w:szCs w:val="18"/>
              </w:rPr>
            </w:pPr>
            <w:r>
              <w:rPr>
                <w:sz w:val="18"/>
                <w:szCs w:val="18"/>
                <w:spacing w:val="-3"/>
              </w:rPr>
              <w:t>东北地区</w:t>
            </w:r>
          </w:p>
        </w:tc>
        <w:tc>
          <w:tcPr>
            <w:shd w:val="clear" w:fill="DBE5F1"/>
            <w:tcW w:w="243" w:type="dxa"/>
            <w:vAlign w:val="top"/>
            <w:tcBorders>
              <w:left w:val="nil"/>
              <w:right w:val="nil"/>
            </w:tcBorders>
          </w:tcPr>
          <w:p>
            <w:pPr>
              <w:spacing w:before="5" w:line="385" w:lineRule="exact"/>
              <w:rPr/>
            </w:pPr>
            <w:r>
              <w:rPr>
                <w:position w:val="-8"/>
              </w:rPr>
              <w:pict>
                <v:shape id="_x0000_s522" style="mso-position-vertical-relative:line;mso-position-horizontal-relative:char;width:2.9pt;height:19.75pt;" fillcolor="#DBE5F1" filled="true" stroked="false" coordsize="58,395" coordorigin="0,0" path="m0,394l57,394l57,0l0,0l0,394xe"/>
              </w:pict>
            </w:r>
          </w:p>
        </w:tc>
        <w:tc>
          <w:tcPr>
            <w:shd w:val="clear" w:fill="DBE5F1"/>
            <w:tcW w:w="995" w:type="dxa"/>
            <w:vAlign w:val="top"/>
            <w:tcBorders>
              <w:left w:val="nil"/>
              <w:right w:val="nil"/>
            </w:tcBorders>
          </w:tcPr>
          <w:p>
            <w:pPr>
              <w:spacing w:before="5"/>
              <w:jc w:val="right"/>
              <w:rPr>
                <w:sz w:val="18"/>
                <w:szCs w:val="18"/>
              </w:rPr>
            </w:pPr>
            <w:r>
              <w:rPr>
                <w:rFonts w:ascii="Times New Roman" w:hAnsi="Times New Roman" w:eastAsia="Times New Roman" w:cs="Times New Roman"/>
                <w:sz w:val="18"/>
                <w:szCs w:val="18"/>
                <w:b/>
                <w:bCs/>
                <w:spacing w:val="-3"/>
              </w:rPr>
              <w:t>250,190</w:t>
            </w:r>
            <w:r>
              <w:rPr>
                <w:rFonts w:ascii="Times New Roman" w:hAnsi="Times New Roman" w:eastAsia="Times New Roman" w:cs="Times New Roman"/>
                <w:sz w:val="18"/>
                <w:szCs w:val="18"/>
                <w:b/>
                <w:bCs/>
                <w:spacing w:val="8"/>
              </w:rPr>
              <w:t xml:space="preserve"> </w:t>
            </w:r>
            <w:r>
              <w:rPr>
                <w:sz w:val="18"/>
                <w:szCs w:val="18"/>
                <w:position w:val="-10"/>
              </w:rPr>
              <w:drawing>
                <wp:inline distT="0" distB="0" distL="0" distR="0">
                  <wp:extent cx="35522" cy="244271"/>
                  <wp:effectExtent l="0" t="0" r="0" b="0"/>
                  <wp:docPr id="180" name="IM 180"/>
                  <wp:cNvGraphicFramePr/>
                  <a:graphic>
                    <a:graphicData uri="http://schemas.openxmlformats.org/drawingml/2006/picture">
                      <pic:pic>
                        <pic:nvPicPr>
                          <pic:cNvPr id="180" name="IM 180"/>
                          <pic:cNvPicPr/>
                        </pic:nvPicPr>
                        <pic:blipFill>
                          <a:blip r:embed="rId92"/>
                          <a:stretch>
                            <a:fillRect/>
                          </a:stretch>
                        </pic:blipFill>
                        <pic:spPr>
                          <a:xfrm rot="0">
                            <a:off x="0" y="0"/>
                            <a:ext cx="35522" cy="244271"/>
                          </a:xfrm>
                          <a:prstGeom prst="rect">
                            <a:avLst/>
                          </a:prstGeom>
                        </pic:spPr>
                      </pic:pic>
                    </a:graphicData>
                  </a:graphic>
                </wp:inline>
              </w:drawing>
            </w:r>
          </w:p>
        </w:tc>
        <w:tc>
          <w:tcPr>
            <w:shd w:val="clear" w:fill="DBE5F1"/>
            <w:tcW w:w="894" w:type="dxa"/>
            <w:vAlign w:val="top"/>
            <w:tcBorders>
              <w:left w:val="nil"/>
              <w:right w:val="nil"/>
            </w:tcBorders>
          </w:tcPr>
          <w:p>
            <w:pPr>
              <w:ind w:left="486"/>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3.43</w:t>
            </w:r>
          </w:p>
        </w:tc>
        <w:tc>
          <w:tcPr>
            <w:shd w:val="clear" w:fill="DBE5F1"/>
            <w:tcW w:w="990" w:type="dxa"/>
            <w:vAlign w:val="top"/>
            <w:tcBorders>
              <w:left w:val="nil"/>
              <w:right w:val="nil"/>
            </w:tcBorders>
          </w:tcPr>
          <w:p>
            <w:pPr>
              <w:ind w:left="468"/>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13,595</w:t>
            </w:r>
          </w:p>
        </w:tc>
        <w:tc>
          <w:tcPr>
            <w:tcW w:w="990" w:type="dxa"/>
            <w:vAlign w:val="top"/>
            <w:tcBorders>
              <w:left w:val="nil"/>
              <w:right w:val="nil"/>
            </w:tcBorders>
          </w:tcPr>
          <w:p>
            <w:pPr>
              <w:ind w:firstLine="75"/>
              <w:spacing w:before="5" w:line="385" w:lineRule="exact"/>
              <w:rPr/>
            </w:pPr>
            <w:r>
              <w:pict>
                <v:shape id="_x0000_s524" style="position:absolute;margin-left:-51.35pt;margin-top:0.265991pt;mso-position-vertical-relative:top-margin-area;mso-position-horizontal-relative:right-margin-area;width:2.8pt;height:19.75pt;z-index:251917312;" fillcolor="#DBE5F1" filled="true" stroked="false" coordsize="55,395" coordorigin="0,0" path="m0,394l55,394l55,0l0,0l0,394xe"/>
              </w:pict>
            </w:r>
            <w:r>
              <w:rPr>
                <w:position w:val="-8"/>
              </w:rPr>
              <w:pict>
                <v:shape id="_x0000_s526" style="mso-position-vertical-relative:line;mso-position-horizontal-relative:char;width:45.05pt;height:19.75pt;" fillcolor="#DBE5F1" filled="true" stroked="false" type="#_x0000_t202">
                  <v:fill on="true"/>
                  <v:stroke on="false"/>
                  <v:path/>
                  <v:imagedata o:title=""/>
                  <o:lock v:ext="edit" aspectratio="false"/>
                  <v:textbox inset="0mm,0mm,0mm,0mm">
                    <w:txbxContent>
                      <w:p>
                        <w:pPr>
                          <w:spacing w:before="159"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0"/>
                          </w:rPr>
                          <w:t>5.43</w:t>
                        </w:r>
                      </w:p>
                    </w:txbxContent>
                  </v:textbox>
                </v:shape>
              </w:pict>
            </w:r>
          </w:p>
        </w:tc>
        <w:tc>
          <w:tcPr>
            <w:tcW w:w="1376" w:type="dxa"/>
            <w:vAlign w:val="top"/>
            <w:tcBorders>
              <w:left w:val="nil"/>
              <w:right w:val="nil"/>
            </w:tcBorders>
          </w:tcPr>
          <w:p>
            <w:pPr>
              <w:ind w:left="657"/>
              <w:spacing w:before="16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247,023</w:t>
            </w:r>
          </w:p>
        </w:tc>
        <w:tc>
          <w:tcPr>
            <w:tcW w:w="902" w:type="dxa"/>
            <w:vAlign w:val="top"/>
            <w:tcBorders>
              <w:left w:val="nil"/>
              <w:right w:val="nil"/>
            </w:tcBorders>
          </w:tcPr>
          <w:p>
            <w:pPr>
              <w:ind w:left="431"/>
              <w:spacing w:before="16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3.77</w:t>
            </w:r>
          </w:p>
        </w:tc>
        <w:tc>
          <w:tcPr>
            <w:tcW w:w="957" w:type="dxa"/>
            <w:vAlign w:val="top"/>
            <w:tcBorders>
              <w:left w:val="nil"/>
              <w:right w:val="nil"/>
            </w:tcBorders>
          </w:tcPr>
          <w:p>
            <w:pPr>
              <w:ind w:left="408"/>
              <w:spacing w:before="16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12,090</w:t>
            </w:r>
          </w:p>
        </w:tc>
        <w:tc>
          <w:tcPr>
            <w:tcW w:w="1030" w:type="dxa"/>
            <w:vAlign w:val="top"/>
            <w:tcBorders>
              <w:left w:val="nil"/>
              <w:right w:val="nil"/>
            </w:tcBorders>
          </w:tcPr>
          <w:p>
            <w:pPr>
              <w:ind w:left="661"/>
              <w:spacing w:before="16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4.89</w:t>
            </w:r>
          </w:p>
        </w:tc>
      </w:tr>
      <w:tr>
        <w:trPr>
          <w:trHeight w:val="402" w:hRule="atLeast"/>
        </w:trPr>
        <w:tc>
          <w:tcPr>
            <w:tcW w:w="1392" w:type="dxa"/>
            <w:vAlign w:val="top"/>
            <w:tcBorders>
              <w:left w:val="nil"/>
              <w:right w:val="nil"/>
            </w:tcBorders>
          </w:tcPr>
          <w:p>
            <w:pPr>
              <w:pStyle w:val="TableText"/>
              <w:ind w:left="79"/>
              <w:spacing w:before="130" w:line="221" w:lineRule="auto"/>
              <w:rPr>
                <w:sz w:val="18"/>
                <w:szCs w:val="18"/>
              </w:rPr>
            </w:pPr>
            <w:r>
              <w:rPr>
                <w:sz w:val="18"/>
                <w:szCs w:val="18"/>
                <w:spacing w:val="-2"/>
              </w:rPr>
              <w:t>境外</w:t>
            </w:r>
          </w:p>
        </w:tc>
        <w:tc>
          <w:tcPr>
            <w:shd w:val="clear" w:fill="DBE5F1"/>
            <w:tcW w:w="243" w:type="dxa"/>
            <w:vAlign w:val="top"/>
            <w:tcBorders>
              <w:left w:val="nil"/>
              <w:right w:val="nil"/>
            </w:tcBorders>
          </w:tcPr>
          <w:p>
            <w:pPr>
              <w:spacing w:before="3" w:line="388" w:lineRule="exact"/>
              <w:rPr/>
            </w:pPr>
            <w:r>
              <w:rPr>
                <w:position w:val="-8"/>
              </w:rPr>
              <w:pict>
                <v:shape id="_x0000_s528" style="mso-position-vertical-relative:line;mso-position-horizontal-relative:char;width:2.9pt;height:19.7pt;" fillcolor="#DBE5F1" filled="true" stroked="false" coordsize="58,394" coordorigin="0,0" path="m0,393l57,393l57,0l0,0l0,393xe"/>
              </w:pict>
            </w:r>
          </w:p>
        </w:tc>
        <w:tc>
          <w:tcPr>
            <w:shd w:val="clear" w:fill="DBE5F1"/>
            <w:tcW w:w="995" w:type="dxa"/>
            <w:vAlign w:val="top"/>
            <w:tcBorders>
              <w:left w:val="nil"/>
              <w:right w:val="nil"/>
            </w:tcBorders>
          </w:tcPr>
          <w:p>
            <w:pPr>
              <w:spacing w:before="3"/>
              <w:jc w:val="right"/>
              <w:rPr>
                <w:sz w:val="18"/>
                <w:szCs w:val="18"/>
              </w:rPr>
            </w:pPr>
            <w:r>
              <w:rPr>
                <w:rFonts w:ascii="Times New Roman" w:hAnsi="Times New Roman" w:eastAsia="Times New Roman" w:cs="Times New Roman"/>
                <w:sz w:val="18"/>
                <w:szCs w:val="18"/>
                <w:b/>
                <w:bCs/>
                <w:spacing w:val="-3"/>
              </w:rPr>
              <w:t>376,277</w:t>
            </w:r>
            <w:r>
              <w:rPr>
                <w:rFonts w:ascii="Times New Roman" w:hAnsi="Times New Roman" w:eastAsia="Times New Roman" w:cs="Times New Roman"/>
                <w:sz w:val="18"/>
                <w:szCs w:val="18"/>
                <w:b/>
                <w:bCs/>
                <w:spacing w:val="9"/>
              </w:rPr>
              <w:t xml:space="preserve"> </w:t>
            </w:r>
            <w:r>
              <w:rPr>
                <w:sz w:val="18"/>
                <w:szCs w:val="18"/>
                <w:position w:val="-10"/>
              </w:rPr>
              <w:drawing>
                <wp:inline distT="0" distB="0" distL="0" distR="0">
                  <wp:extent cx="35524" cy="246380"/>
                  <wp:effectExtent l="0" t="0" r="0" b="0"/>
                  <wp:docPr id="182" name="IM 182"/>
                  <wp:cNvGraphicFramePr/>
                  <a:graphic>
                    <a:graphicData uri="http://schemas.openxmlformats.org/drawingml/2006/picture">
                      <pic:pic>
                        <pic:nvPicPr>
                          <pic:cNvPr id="182" name="IM 182"/>
                          <pic:cNvPicPr/>
                        </pic:nvPicPr>
                        <pic:blipFill>
                          <a:blip r:embed="rId93"/>
                          <a:stretch>
                            <a:fillRect/>
                          </a:stretch>
                        </pic:blipFill>
                        <pic:spPr>
                          <a:xfrm rot="0">
                            <a:off x="0" y="0"/>
                            <a:ext cx="35524" cy="246380"/>
                          </a:xfrm>
                          <a:prstGeom prst="rect">
                            <a:avLst/>
                          </a:prstGeom>
                        </pic:spPr>
                      </pic:pic>
                    </a:graphicData>
                  </a:graphic>
                </wp:inline>
              </w:drawing>
            </w:r>
          </w:p>
        </w:tc>
        <w:tc>
          <w:tcPr>
            <w:shd w:val="clear" w:fill="DBE5F1"/>
            <w:tcW w:w="894" w:type="dxa"/>
            <w:vAlign w:val="top"/>
            <w:tcBorders>
              <w:left w:val="nil"/>
              <w:right w:val="nil"/>
            </w:tcBorders>
          </w:tcPr>
          <w:p>
            <w:pPr>
              <w:ind w:left="489"/>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5.16</w:t>
            </w:r>
          </w:p>
        </w:tc>
        <w:tc>
          <w:tcPr>
            <w:shd w:val="clear" w:fill="DBE5F1"/>
            <w:tcW w:w="990" w:type="dxa"/>
            <w:vAlign w:val="top"/>
            <w:tcBorders>
              <w:left w:val="nil"/>
              <w:right w:val="nil"/>
            </w:tcBorders>
          </w:tcPr>
          <w:p>
            <w:pPr>
              <w:spacing w:before="3"/>
              <w:jc w:val="right"/>
              <w:rPr>
                <w:sz w:val="18"/>
                <w:szCs w:val="18"/>
              </w:rPr>
            </w:pPr>
            <w:r>
              <w:rPr>
                <w:rFonts w:ascii="Times New Roman" w:hAnsi="Times New Roman" w:eastAsia="Times New Roman" w:cs="Times New Roman"/>
                <w:sz w:val="18"/>
                <w:szCs w:val="18"/>
                <w:b/>
                <w:bCs/>
                <w:spacing w:val="-7"/>
              </w:rPr>
              <w:t>11,551</w:t>
            </w:r>
            <w:r>
              <w:rPr>
                <w:sz w:val="18"/>
                <w:szCs w:val="18"/>
                <w:position w:val="-10"/>
              </w:rPr>
              <w:drawing>
                <wp:inline distT="0" distB="0" distL="0" distR="0">
                  <wp:extent cx="34806" cy="246380"/>
                  <wp:effectExtent l="0" t="0" r="0" b="0"/>
                  <wp:docPr id="184" name="IM 184"/>
                  <wp:cNvGraphicFramePr/>
                  <a:graphic>
                    <a:graphicData uri="http://schemas.openxmlformats.org/drawingml/2006/picture">
                      <pic:pic>
                        <pic:nvPicPr>
                          <pic:cNvPr id="184" name="IM 184"/>
                          <pic:cNvPicPr/>
                        </pic:nvPicPr>
                        <pic:blipFill>
                          <a:blip r:embed="rId94"/>
                          <a:stretch>
                            <a:fillRect/>
                          </a:stretch>
                        </pic:blipFill>
                        <pic:spPr>
                          <a:xfrm rot="0">
                            <a:off x="0" y="0"/>
                            <a:ext cx="34806" cy="246380"/>
                          </a:xfrm>
                          <a:prstGeom prst="rect">
                            <a:avLst/>
                          </a:prstGeom>
                        </pic:spPr>
                      </pic:pic>
                    </a:graphicData>
                  </a:graphic>
                </wp:inline>
              </w:drawing>
            </w:r>
          </w:p>
        </w:tc>
        <w:tc>
          <w:tcPr>
            <w:shd w:val="clear" w:fill="DBE5F1"/>
            <w:tcW w:w="990" w:type="dxa"/>
            <w:vAlign w:val="top"/>
            <w:tcBorders>
              <w:left w:val="nil"/>
              <w:right w:val="nil"/>
            </w:tcBorders>
          </w:tcPr>
          <w:p>
            <w:pPr>
              <w:spacing w:before="163"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7"/>
              </w:rPr>
              <w:t>3</w:t>
            </w:r>
            <w:r>
              <w:rPr>
                <w:rFonts w:ascii="Times New Roman" w:hAnsi="Times New Roman" w:eastAsia="Times New Roman" w:cs="Times New Roman"/>
                <w:sz w:val="18"/>
                <w:szCs w:val="18"/>
                <w:b/>
                <w:bCs/>
                <w:spacing w:val="-6"/>
              </w:rPr>
              <w:t>.0</w:t>
            </w:r>
            <w:r>
              <w:rPr>
                <w:rFonts w:ascii="Times New Roman" w:hAnsi="Times New Roman" w:eastAsia="Times New Roman" w:cs="Times New Roman"/>
                <w:sz w:val="18"/>
                <w:szCs w:val="18"/>
                <w:b/>
                <w:bCs/>
                <w:spacing w:val="-5"/>
              </w:rPr>
              <w:t>7</w:t>
            </w:r>
          </w:p>
        </w:tc>
        <w:tc>
          <w:tcPr>
            <w:tcW w:w="1376" w:type="dxa"/>
            <w:vAlign w:val="top"/>
            <w:tcBorders>
              <w:left w:val="nil"/>
              <w:right w:val="nil"/>
            </w:tcBorders>
          </w:tcPr>
          <w:p>
            <w:pPr>
              <w:ind w:left="660"/>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348,948</w:t>
            </w:r>
          </w:p>
        </w:tc>
        <w:tc>
          <w:tcPr>
            <w:tcW w:w="902" w:type="dxa"/>
            <w:vAlign w:val="top"/>
            <w:tcBorders>
              <w:left w:val="nil"/>
              <w:right w:val="nil"/>
            </w:tcBorders>
          </w:tcPr>
          <w:p>
            <w:pPr>
              <w:ind w:left="433"/>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5.32</w:t>
            </w:r>
          </w:p>
        </w:tc>
        <w:tc>
          <w:tcPr>
            <w:tcW w:w="957" w:type="dxa"/>
            <w:vAlign w:val="top"/>
            <w:tcBorders>
              <w:left w:val="nil"/>
              <w:right w:val="nil"/>
            </w:tcBorders>
          </w:tcPr>
          <w:p>
            <w:pPr>
              <w:ind w:left="483"/>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3,139</w:t>
            </w:r>
          </w:p>
        </w:tc>
        <w:tc>
          <w:tcPr>
            <w:tcW w:w="1030" w:type="dxa"/>
            <w:vAlign w:val="top"/>
            <w:tcBorders>
              <w:left w:val="nil"/>
              <w:right w:val="nil"/>
            </w:tcBorders>
          </w:tcPr>
          <w:p>
            <w:pPr>
              <w:ind w:left="665"/>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0.90</w:t>
            </w:r>
          </w:p>
        </w:tc>
      </w:tr>
    </w:tbl>
    <w:p>
      <w:pPr>
        <w:pStyle w:val="BodyText"/>
        <w:spacing w:line="214" w:lineRule="exact"/>
        <w:rPr>
          <w:sz w:val="18"/>
        </w:rPr>
      </w:pPr>
      <w:r/>
    </w:p>
    <w:p>
      <w:pPr>
        <w:spacing w:line="214" w:lineRule="exact"/>
        <w:sectPr>
          <w:footerReference w:type="default" r:id="rId74"/>
          <w:pgSz w:w="11907" w:h="16839"/>
          <w:pgMar w:top="1132" w:right="1047" w:bottom="1374" w:left="1060" w:header="0" w:footer="1211" w:gutter="0"/>
        </w:sectPr>
        <w:rPr>
          <w:sz w:val="18"/>
          <w:szCs w:val="18"/>
        </w:rPr>
      </w:pPr>
    </w:p>
    <w:tbl>
      <w:tblPr>
        <w:tblStyle w:val="TableNormal"/>
        <w:tblW w:w="9769" w:type="dxa"/>
        <w:tblInd w:w="5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38"/>
        <w:gridCol w:w="1157"/>
        <w:gridCol w:w="848"/>
        <w:gridCol w:w="1057"/>
        <w:gridCol w:w="1003"/>
        <w:gridCol w:w="1405"/>
        <w:gridCol w:w="964"/>
        <w:gridCol w:w="1148"/>
        <w:gridCol w:w="749"/>
      </w:tblGrid>
      <w:tr>
        <w:trPr>
          <w:trHeight w:val="402" w:hRule="atLeast"/>
        </w:trPr>
        <w:tc>
          <w:tcPr>
            <w:tcW w:w="1438" w:type="dxa"/>
            <w:vAlign w:val="top"/>
            <w:tcBorders>
              <w:left w:val="nil"/>
              <w:right w:val="single" w:color="FFFFFF" w:sz="2" w:space="0"/>
            </w:tcBorders>
          </w:tcPr>
          <w:p>
            <w:pPr>
              <w:pStyle w:val="TableText"/>
              <w:ind w:left="81"/>
              <w:spacing w:before="133" w:line="221" w:lineRule="auto"/>
              <w:rPr>
                <w:sz w:val="18"/>
                <w:szCs w:val="18"/>
              </w:rPr>
            </w:pPr>
            <w:r>
              <w:rPr>
                <w:sz w:val="18"/>
                <w:szCs w:val="18"/>
                <w:spacing w:val="-3"/>
              </w:rPr>
              <w:t>总行</w:t>
            </w:r>
          </w:p>
        </w:tc>
        <w:tc>
          <w:tcPr>
            <w:shd w:val="clear" w:fill="DBE5F1"/>
            <w:tcW w:w="1157" w:type="dxa"/>
            <w:vAlign w:val="top"/>
            <w:tcBorders>
              <w:left w:val="single" w:color="DBE5F1" w:sz="2" w:space="0"/>
              <w:right w:val="single" w:color="DBE5F1" w:sz="2" w:space="0"/>
            </w:tcBorders>
          </w:tcPr>
          <w:p>
            <w:pPr>
              <w:ind w:left="515"/>
              <w:spacing w:before="16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481,741</w:t>
            </w:r>
          </w:p>
        </w:tc>
        <w:tc>
          <w:tcPr>
            <w:shd w:val="clear" w:fill="DBE5F1"/>
            <w:tcW w:w="848" w:type="dxa"/>
            <w:vAlign w:val="top"/>
            <w:tcBorders>
              <w:left w:val="single" w:color="DBE5F1" w:sz="2" w:space="0"/>
              <w:right w:val="single" w:color="DBE5F1" w:sz="2" w:space="0"/>
            </w:tcBorders>
          </w:tcPr>
          <w:p>
            <w:pPr>
              <w:ind w:right="10"/>
              <w:spacing w:before="166"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6.60</w:t>
            </w:r>
          </w:p>
        </w:tc>
        <w:tc>
          <w:tcPr>
            <w:shd w:val="clear" w:fill="DBE5F1"/>
            <w:tcW w:w="1057" w:type="dxa"/>
            <w:vAlign w:val="top"/>
            <w:tcBorders>
              <w:left w:val="single" w:color="DBE5F1" w:sz="2" w:space="0"/>
              <w:right w:val="single" w:color="DBE5F1" w:sz="2" w:space="0"/>
            </w:tcBorders>
          </w:tcPr>
          <w:p>
            <w:pPr>
              <w:spacing w:before="6"/>
              <w:jc w:val="right"/>
              <w:rPr>
                <w:sz w:val="18"/>
                <w:szCs w:val="18"/>
              </w:rPr>
            </w:pPr>
            <w:r>
              <w:rPr>
                <w:rFonts w:ascii="Times New Roman" w:hAnsi="Times New Roman" w:eastAsia="Times New Roman" w:cs="Times New Roman"/>
                <w:sz w:val="18"/>
                <w:szCs w:val="18"/>
                <w:b/>
                <w:bCs/>
                <w:spacing w:val="-7"/>
              </w:rPr>
              <w:t>9,310</w:t>
            </w:r>
            <w:r>
              <w:rPr>
                <w:sz w:val="18"/>
                <w:szCs w:val="18"/>
                <w:position w:val="-10"/>
              </w:rPr>
              <w:drawing>
                <wp:inline distT="0" distB="0" distL="0" distR="0">
                  <wp:extent cx="33415" cy="244475"/>
                  <wp:effectExtent l="0" t="0" r="0" b="0"/>
                  <wp:docPr id="186" name="IM 186"/>
                  <wp:cNvGraphicFramePr/>
                  <a:graphic>
                    <a:graphicData uri="http://schemas.openxmlformats.org/drawingml/2006/picture">
                      <pic:pic>
                        <pic:nvPicPr>
                          <pic:cNvPr id="186" name="IM 186"/>
                          <pic:cNvPicPr/>
                        </pic:nvPicPr>
                        <pic:blipFill>
                          <a:blip r:embed="rId96"/>
                          <a:stretch>
                            <a:fillRect/>
                          </a:stretch>
                        </pic:blipFill>
                        <pic:spPr>
                          <a:xfrm rot="0">
                            <a:off x="0" y="0"/>
                            <a:ext cx="33415" cy="244475"/>
                          </a:xfrm>
                          <a:prstGeom prst="rect">
                            <a:avLst/>
                          </a:prstGeom>
                        </pic:spPr>
                      </pic:pic>
                    </a:graphicData>
                  </a:graphic>
                </wp:inline>
              </w:drawing>
            </w:r>
          </w:p>
        </w:tc>
        <w:tc>
          <w:tcPr>
            <w:shd w:val="clear" w:fill="DBE5F1"/>
            <w:tcW w:w="1003" w:type="dxa"/>
            <w:vAlign w:val="top"/>
            <w:tcBorders>
              <w:left w:val="single" w:color="DBE5F1" w:sz="2" w:space="0"/>
              <w:right w:val="single" w:color="DBE5F1" w:sz="2" w:space="0"/>
            </w:tcBorders>
          </w:tcPr>
          <w:p>
            <w:pPr>
              <w:spacing w:before="166"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9"/>
              </w:rPr>
              <w:t>1.93</w:t>
            </w:r>
          </w:p>
        </w:tc>
        <w:tc>
          <w:tcPr>
            <w:tcW w:w="1405" w:type="dxa"/>
            <w:vAlign w:val="top"/>
            <w:tcBorders>
              <w:right w:val="nil"/>
              <w:left w:val="single" w:color="FFFFFF" w:sz="2" w:space="0"/>
            </w:tcBorders>
          </w:tcPr>
          <w:p>
            <w:pPr>
              <w:ind w:left="654"/>
              <w:spacing w:before="16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492,884</w:t>
            </w:r>
          </w:p>
        </w:tc>
        <w:tc>
          <w:tcPr>
            <w:tcW w:w="964" w:type="dxa"/>
            <w:vAlign w:val="top"/>
            <w:tcBorders>
              <w:left w:val="nil"/>
              <w:right w:val="nil"/>
            </w:tcBorders>
          </w:tcPr>
          <w:p>
            <w:pPr>
              <w:ind w:left="403"/>
              <w:spacing w:before="16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7.52</w:t>
            </w:r>
          </w:p>
        </w:tc>
        <w:tc>
          <w:tcPr>
            <w:tcW w:w="1148" w:type="dxa"/>
            <w:vAlign w:val="top"/>
            <w:tcBorders>
              <w:left w:val="nil"/>
              <w:right w:val="nil"/>
            </w:tcBorders>
          </w:tcPr>
          <w:p>
            <w:pPr>
              <w:ind w:left="318"/>
              <w:spacing w:before="16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10,831</w:t>
            </w:r>
          </w:p>
        </w:tc>
        <w:tc>
          <w:tcPr>
            <w:tcW w:w="749" w:type="dxa"/>
            <w:vAlign w:val="top"/>
            <w:tcBorders>
              <w:left w:val="nil"/>
              <w:right w:val="nil"/>
            </w:tcBorders>
          </w:tcPr>
          <w:p>
            <w:pPr>
              <w:ind w:left="381"/>
              <w:spacing w:before="166"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2.20</w:t>
            </w:r>
          </w:p>
        </w:tc>
      </w:tr>
      <w:tr>
        <w:trPr>
          <w:trHeight w:val="401" w:hRule="atLeast"/>
        </w:trPr>
        <w:tc>
          <w:tcPr>
            <w:tcW w:w="1438" w:type="dxa"/>
            <w:vAlign w:val="top"/>
            <w:tcBorders>
              <w:left w:val="nil"/>
              <w:right w:val="single" w:color="FFFFFF" w:sz="2" w:space="0"/>
            </w:tcBorders>
          </w:tcPr>
          <w:p>
            <w:pPr>
              <w:pStyle w:val="TableText"/>
              <w:ind w:left="79"/>
              <w:spacing w:before="129" w:line="222" w:lineRule="auto"/>
              <w:rPr>
                <w:sz w:val="18"/>
                <w:szCs w:val="18"/>
              </w:rPr>
            </w:pPr>
            <w:r>
              <w:rPr>
                <w:sz w:val="18"/>
                <w:szCs w:val="18"/>
                <w:spacing w:val="-2"/>
              </w:rPr>
              <w:t>合计</w:t>
            </w:r>
          </w:p>
        </w:tc>
        <w:tc>
          <w:tcPr>
            <w:shd w:val="clear" w:fill="DBE5F1"/>
            <w:tcW w:w="1157" w:type="dxa"/>
            <w:vAlign w:val="top"/>
            <w:tcBorders>
              <w:left w:val="single" w:color="DBE5F1" w:sz="2" w:space="0"/>
              <w:right w:val="single" w:color="DBE5F1" w:sz="2" w:space="0"/>
            </w:tcBorders>
          </w:tcPr>
          <w:p>
            <w:pPr>
              <w:ind w:left="382"/>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7,296,155</w:t>
            </w:r>
          </w:p>
        </w:tc>
        <w:tc>
          <w:tcPr>
            <w:shd w:val="clear" w:fill="DBE5F1"/>
            <w:tcW w:w="848" w:type="dxa"/>
            <w:vAlign w:val="top"/>
            <w:tcBorders>
              <w:left w:val="single" w:color="DBE5F1" w:sz="2" w:space="0"/>
              <w:right w:val="single" w:color="DBE5F1" w:sz="2" w:space="0"/>
            </w:tcBorders>
          </w:tcPr>
          <w:p>
            <w:pPr>
              <w:ind w:right="11"/>
              <w:spacing w:before="162"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100.00</w:t>
            </w:r>
          </w:p>
        </w:tc>
        <w:tc>
          <w:tcPr>
            <w:shd w:val="clear" w:fill="DBE5F1"/>
            <w:tcW w:w="1057" w:type="dxa"/>
            <w:vAlign w:val="top"/>
            <w:tcBorders>
              <w:left w:val="single" w:color="DBE5F1" w:sz="2" w:space="0"/>
              <w:right w:val="single" w:color="DBE5F1" w:sz="2" w:space="0"/>
            </w:tcBorders>
          </w:tcPr>
          <w:p>
            <w:pPr>
              <w:spacing w:before="3"/>
              <w:jc w:val="right"/>
              <w:rPr>
                <w:sz w:val="18"/>
                <w:szCs w:val="18"/>
              </w:rPr>
            </w:pPr>
            <w:r>
              <w:rPr>
                <w:rFonts w:ascii="Times New Roman" w:hAnsi="Times New Roman" w:eastAsia="Times New Roman" w:cs="Times New Roman"/>
                <w:sz w:val="18"/>
                <w:szCs w:val="18"/>
                <w:b/>
                <w:bCs/>
                <w:spacing w:val="-7"/>
              </w:rPr>
              <w:t>98,526</w:t>
            </w:r>
            <w:r>
              <w:rPr>
                <w:sz w:val="18"/>
                <w:szCs w:val="18"/>
                <w:position w:val="-10"/>
              </w:rPr>
              <w:drawing>
                <wp:inline distT="0" distB="0" distL="0" distR="0">
                  <wp:extent cx="33789" cy="246303"/>
                  <wp:effectExtent l="0" t="0" r="0" b="0"/>
                  <wp:docPr id="188" name="IM 188"/>
                  <wp:cNvGraphicFramePr/>
                  <a:graphic>
                    <a:graphicData uri="http://schemas.openxmlformats.org/drawingml/2006/picture">
                      <pic:pic>
                        <pic:nvPicPr>
                          <pic:cNvPr id="188" name="IM 188"/>
                          <pic:cNvPicPr/>
                        </pic:nvPicPr>
                        <pic:blipFill>
                          <a:blip r:embed="rId97"/>
                          <a:stretch>
                            <a:fillRect/>
                          </a:stretch>
                        </pic:blipFill>
                        <pic:spPr>
                          <a:xfrm rot="0">
                            <a:off x="0" y="0"/>
                            <a:ext cx="33789" cy="246303"/>
                          </a:xfrm>
                          <a:prstGeom prst="rect">
                            <a:avLst/>
                          </a:prstGeom>
                        </pic:spPr>
                      </pic:pic>
                    </a:graphicData>
                  </a:graphic>
                </wp:inline>
              </w:drawing>
            </w:r>
          </w:p>
        </w:tc>
        <w:tc>
          <w:tcPr>
            <w:shd w:val="clear" w:fill="DBE5F1"/>
            <w:tcW w:w="1003" w:type="dxa"/>
            <w:vAlign w:val="top"/>
            <w:tcBorders>
              <w:left w:val="single" w:color="DBE5F1" w:sz="2" w:space="0"/>
              <w:right w:val="single" w:color="DBE5F1" w:sz="22" w:space="0"/>
            </w:tcBorders>
          </w:tcPr>
          <w:p>
            <w:pPr>
              <w:spacing w:before="162" w:line="186"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7"/>
                <w:w w:val="99"/>
              </w:rPr>
              <w:t>1</w:t>
            </w:r>
            <w:r>
              <w:rPr>
                <w:rFonts w:ascii="Times New Roman" w:hAnsi="Times New Roman" w:eastAsia="Times New Roman" w:cs="Times New Roman"/>
                <w:sz w:val="18"/>
                <w:szCs w:val="18"/>
                <w:b/>
                <w:bCs/>
                <w:spacing w:val="-16"/>
                <w:w w:val="99"/>
              </w:rPr>
              <w:t>.3</w:t>
            </w:r>
            <w:r>
              <w:rPr>
                <w:rFonts w:ascii="Times New Roman" w:hAnsi="Times New Roman" w:eastAsia="Times New Roman" w:cs="Times New Roman"/>
                <w:sz w:val="18"/>
                <w:szCs w:val="18"/>
                <w:b/>
                <w:bCs/>
                <w:spacing w:val="-7"/>
                <w:w w:val="99"/>
              </w:rPr>
              <w:t>5</w:t>
            </w:r>
          </w:p>
        </w:tc>
        <w:tc>
          <w:tcPr>
            <w:tcW w:w="1405" w:type="dxa"/>
            <w:vAlign w:val="top"/>
            <w:tcBorders>
              <w:right w:val="nil"/>
              <w:left w:val="single" w:color="000000" w:sz="22" w:space="0"/>
            </w:tcBorders>
          </w:tcPr>
          <w:p>
            <w:pPr>
              <w:ind w:left="500"/>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6,560,400</w:t>
            </w:r>
          </w:p>
        </w:tc>
        <w:tc>
          <w:tcPr>
            <w:tcW w:w="964" w:type="dxa"/>
            <w:vAlign w:val="top"/>
            <w:tcBorders>
              <w:left w:val="nil"/>
              <w:right w:val="nil"/>
            </w:tcBorders>
          </w:tcPr>
          <w:p>
            <w:pPr>
              <w:ind w:left="237"/>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100.00</w:t>
            </w:r>
          </w:p>
        </w:tc>
        <w:tc>
          <w:tcPr>
            <w:tcW w:w="1148" w:type="dxa"/>
            <w:vAlign w:val="top"/>
            <w:tcBorders>
              <w:left w:val="nil"/>
              <w:right w:val="nil"/>
            </w:tcBorders>
          </w:tcPr>
          <w:p>
            <w:pPr>
              <w:ind w:left="304"/>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96,796</w:t>
            </w:r>
          </w:p>
        </w:tc>
        <w:tc>
          <w:tcPr>
            <w:tcW w:w="749" w:type="dxa"/>
            <w:vAlign w:val="top"/>
            <w:tcBorders>
              <w:left w:val="nil"/>
              <w:right w:val="nil"/>
            </w:tcBorders>
          </w:tcPr>
          <w:p>
            <w:pPr>
              <w:ind w:left="399"/>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1.48</w:t>
            </w:r>
          </w:p>
        </w:tc>
      </w:tr>
    </w:tbl>
    <w:p>
      <w:pPr>
        <w:ind w:left="129"/>
        <w:spacing w:before="37" w:line="220" w:lineRule="auto"/>
        <w:rPr>
          <w:rFonts w:ascii="SimSun" w:hAnsi="SimSun" w:eastAsia="SimSun" w:cs="SimSun"/>
          <w:sz w:val="18"/>
          <w:szCs w:val="18"/>
        </w:rPr>
      </w:pPr>
      <w:r>
        <w:rPr>
          <w:rFonts w:ascii="SimSun" w:hAnsi="SimSun" w:eastAsia="SimSun" w:cs="SimSun"/>
          <w:sz w:val="18"/>
          <w:szCs w:val="18"/>
          <w:spacing w:val="-5"/>
        </w:rPr>
        <w:t>注:</w:t>
      </w:r>
      <w:r>
        <w:rPr>
          <w:rFonts w:ascii="SimSun" w:hAnsi="SimSun" w:eastAsia="SimSun" w:cs="SimSun"/>
          <w:sz w:val="18"/>
          <w:szCs w:val="18"/>
          <w:spacing w:val="39"/>
        </w:rPr>
        <w:t xml:space="preserve"> </w:t>
      </w:r>
      <w:r>
        <w:rPr>
          <w:rFonts w:ascii="SimSun" w:hAnsi="SimSun" w:eastAsia="SimSun" w:cs="SimSun"/>
          <w:sz w:val="18"/>
          <w:szCs w:val="18"/>
          <w:spacing w:val="-5"/>
        </w:rPr>
        <w:t>总行含太平洋信用卡中心。</w:t>
      </w:r>
    </w:p>
    <w:p>
      <w:pPr>
        <w:ind w:left="551"/>
        <w:spacing w:before="250" w:line="218" w:lineRule="auto"/>
        <w:rPr>
          <w:rFonts w:ascii="SimSun" w:hAnsi="SimSun" w:eastAsia="SimSun" w:cs="SimSun"/>
          <w:sz w:val="21"/>
          <w:szCs w:val="21"/>
        </w:rPr>
      </w:pPr>
      <w:r>
        <w:rPr>
          <w:rFonts w:ascii="SimSun" w:hAnsi="SimSun" w:eastAsia="SimSun" w:cs="SimSun"/>
          <w:sz w:val="21"/>
          <w:szCs w:val="21"/>
          <w:spacing w:val="2"/>
        </w:rPr>
        <w:t>本集团针对各区域经济特点,实行一行一策差异化管理,</w:t>
      </w:r>
      <w:r>
        <w:rPr>
          <w:rFonts w:ascii="SimSun" w:hAnsi="SimSun" w:eastAsia="SimSun" w:cs="SimSun"/>
          <w:sz w:val="21"/>
          <w:szCs w:val="21"/>
          <w:spacing w:val="33"/>
        </w:rPr>
        <w:t xml:space="preserve"> </w:t>
      </w:r>
      <w:r>
        <w:rPr>
          <w:rFonts w:ascii="SimSun" w:hAnsi="SimSun" w:eastAsia="SimSun" w:cs="SimSun"/>
          <w:sz w:val="21"/>
          <w:szCs w:val="21"/>
          <w:spacing w:val="2"/>
        </w:rPr>
        <w:t>动态调整业务授权。</w:t>
      </w:r>
    </w:p>
    <w:p>
      <w:pPr>
        <w:pStyle w:val="BodyText"/>
        <w:spacing w:line="243" w:lineRule="auto"/>
        <w:rPr/>
      </w:pPr>
      <w:r/>
    </w:p>
    <w:p>
      <w:pPr>
        <w:ind w:left="551"/>
        <w:spacing w:before="68" w:line="221" w:lineRule="auto"/>
        <w:rPr>
          <w:rFonts w:ascii="SimSun" w:hAnsi="SimSun" w:eastAsia="SimSun" w:cs="SimSun"/>
          <w:sz w:val="21"/>
          <w:szCs w:val="21"/>
        </w:rPr>
      </w:pPr>
      <w:r>
        <w:rPr>
          <w:rFonts w:ascii="SimSun" w:hAnsi="SimSun" w:eastAsia="SimSun" w:cs="SimSun"/>
          <w:sz w:val="21"/>
          <w:szCs w:val="21"/>
          <w:b/>
          <w:bCs/>
          <w:spacing w:val="-2"/>
        </w:rPr>
        <w:t>逾期贷款和垫款</w:t>
      </w:r>
    </w:p>
    <w:p>
      <w:pPr>
        <w:pStyle w:val="BodyText"/>
        <w:spacing w:line="274" w:lineRule="auto"/>
        <w:rPr/>
      </w:pPr>
      <w:r/>
    </w:p>
    <w:p>
      <w:pPr>
        <w:ind w:left="7164"/>
        <w:spacing w:before="59" w:line="217" w:lineRule="auto"/>
        <w:rPr>
          <w:rFonts w:ascii="SimSun" w:hAnsi="SimSun" w:eastAsia="SimSun" w:cs="SimSun"/>
          <w:sz w:val="18"/>
          <w:szCs w:val="18"/>
        </w:rPr>
      </w:pPr>
      <w:r>
        <w:rPr>
          <w:rFonts w:ascii="SimSun" w:hAnsi="SimSun" w:eastAsia="SimSun" w:cs="SimSun"/>
          <w:sz w:val="18"/>
          <w:szCs w:val="18"/>
          <w:spacing w:val="6"/>
        </w:rPr>
        <w:t>(除另有标明外,人民币百万元)</w:t>
      </w:r>
    </w:p>
    <w:p>
      <w:pPr>
        <w:spacing w:line="15" w:lineRule="exact"/>
        <w:rPr/>
      </w:pPr>
      <w:r/>
    </w:p>
    <w:tbl>
      <w:tblPr>
        <w:tblStyle w:val="TableNormal"/>
        <w:tblW w:w="9769" w:type="dxa"/>
        <w:tblInd w:w="5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889"/>
        <w:gridCol w:w="644"/>
        <w:gridCol w:w="1466"/>
        <w:gridCol w:w="1188"/>
        <w:gridCol w:w="641"/>
        <w:gridCol w:w="2707"/>
        <w:gridCol w:w="1234"/>
      </w:tblGrid>
      <w:tr>
        <w:trPr>
          <w:trHeight w:val="402" w:hRule="atLeast"/>
        </w:trPr>
        <w:tc>
          <w:tcPr>
            <w:tcW w:w="1889" w:type="dxa"/>
            <w:vAlign w:val="top"/>
            <w:vMerge w:val="restart"/>
            <w:tcBorders>
              <w:bottom w:val="nil"/>
              <w:top w:val="single" w:color="000000" w:sz="2" w:space="0"/>
            </w:tcBorders>
          </w:tcPr>
          <w:p>
            <w:pPr>
              <w:spacing w:line="272" w:lineRule="auto"/>
              <w:rPr>
                <w:rFonts w:ascii="Arial"/>
                <w:sz w:val="21"/>
              </w:rPr>
            </w:pPr>
            <w:r/>
          </w:p>
          <w:p>
            <w:pPr>
              <w:pStyle w:val="TableText"/>
              <w:ind w:left="77"/>
              <w:spacing w:before="58" w:line="221" w:lineRule="auto"/>
              <w:rPr>
                <w:sz w:val="18"/>
                <w:szCs w:val="18"/>
              </w:rPr>
            </w:pPr>
            <w:r>
              <w:rPr>
                <w:sz w:val="18"/>
                <w:szCs w:val="18"/>
                <w:spacing w:val="-2"/>
              </w:rPr>
              <w:t>逾期期限</w:t>
            </w:r>
          </w:p>
        </w:tc>
        <w:tc>
          <w:tcPr>
            <w:shd w:val="clear" w:fill="DBE5F1"/>
            <w:tcW w:w="644" w:type="dxa"/>
            <w:vAlign w:val="top"/>
            <w:tcBorders>
              <w:bottom w:val="single" w:color="000000" w:sz="2" w:space="0"/>
              <w:top w:val="single" w:color="000000" w:sz="2" w:space="0"/>
            </w:tcBorders>
          </w:tcPr>
          <w:p>
            <w:pPr>
              <w:spacing w:before="4" w:line="387" w:lineRule="exact"/>
              <w:rPr/>
            </w:pPr>
            <w:r>
              <w:rPr>
                <w:position w:val="-8"/>
              </w:rPr>
              <w:pict>
                <v:shape id="_x0000_s530" style="mso-position-vertical-relative:line;mso-position-horizontal-relative:char;width:2.9pt;height:19.7pt;" fillcolor="#DBE5F1" filled="true" stroked="false" coordsize="58,394" coordorigin="0,0" path="m0,393l57,393l57,0l0,0l0,393xe"/>
              </w:pict>
            </w:r>
          </w:p>
        </w:tc>
        <w:tc>
          <w:tcPr>
            <w:shd w:val="clear" w:fill="DBE5F1"/>
            <w:tcW w:w="2654" w:type="dxa"/>
            <w:vAlign w:val="top"/>
            <w:gridSpan w:val="2"/>
            <w:tcBorders>
              <w:bottom w:val="single" w:color="000000" w:sz="2" w:space="0"/>
              <w:top w:val="single" w:color="000000" w:sz="2" w:space="0"/>
            </w:tcBorders>
          </w:tcPr>
          <w:p>
            <w:pPr>
              <w:pStyle w:val="TableText"/>
              <w:ind w:left="587"/>
              <w:spacing w:before="131" w:line="220" w:lineRule="auto"/>
              <w:rPr>
                <w:sz w:val="18"/>
                <w:szCs w:val="18"/>
              </w:rPr>
            </w:pPr>
            <w:r>
              <w:rPr>
                <w:rFonts w:ascii="Times New Roman" w:hAnsi="Times New Roman" w:eastAsia="Times New Roman" w:cs="Times New Roman"/>
                <w:sz w:val="18"/>
                <w:szCs w:val="18"/>
                <w:b/>
                <w:bCs/>
                <w:spacing w:val="-3"/>
              </w:rPr>
              <w:t>2022 </w:t>
            </w:r>
            <w:r>
              <w:rPr>
                <w:sz w:val="18"/>
                <w:szCs w:val="18"/>
                <w:b/>
                <w:bCs/>
                <w:spacing w:val="-3"/>
              </w:rPr>
              <w:t>年</w:t>
            </w:r>
            <w:r>
              <w:rPr>
                <w:sz w:val="18"/>
                <w:szCs w:val="18"/>
                <w:spacing w:val="-33"/>
              </w:rPr>
              <w:t xml:space="preserve"> </w:t>
            </w:r>
            <w:r>
              <w:rPr>
                <w:rFonts w:ascii="Times New Roman" w:hAnsi="Times New Roman" w:eastAsia="Times New Roman" w:cs="Times New Roman"/>
                <w:sz w:val="18"/>
                <w:szCs w:val="18"/>
                <w:b/>
                <w:bCs/>
                <w:spacing w:val="-3"/>
              </w:rPr>
              <w:t>12</w:t>
            </w:r>
            <w:r>
              <w:rPr>
                <w:rFonts w:ascii="Times New Roman" w:hAnsi="Times New Roman" w:eastAsia="Times New Roman" w:cs="Times New Roman"/>
                <w:sz w:val="18"/>
                <w:szCs w:val="18"/>
                <w:b/>
                <w:bCs/>
                <w:spacing w:val="11"/>
                <w:w w:val="101"/>
              </w:rPr>
              <w:t xml:space="preserve"> </w:t>
            </w:r>
            <w:r>
              <w:rPr>
                <w:sz w:val="18"/>
                <w:szCs w:val="18"/>
                <w:b/>
                <w:bCs/>
                <w:spacing w:val="-3"/>
              </w:rPr>
              <w:t>月</w:t>
            </w:r>
            <w:r>
              <w:rPr>
                <w:sz w:val="18"/>
                <w:szCs w:val="18"/>
                <w:spacing w:val="-42"/>
              </w:rPr>
              <w:t xml:space="preserve"> </w:t>
            </w:r>
            <w:r>
              <w:rPr>
                <w:rFonts w:ascii="Times New Roman" w:hAnsi="Times New Roman" w:eastAsia="Times New Roman" w:cs="Times New Roman"/>
                <w:sz w:val="18"/>
                <w:szCs w:val="18"/>
                <w:b/>
                <w:bCs/>
                <w:spacing w:val="-3"/>
              </w:rPr>
              <w:t>31  </w:t>
            </w:r>
            <w:r>
              <w:rPr>
                <w:sz w:val="18"/>
                <w:szCs w:val="18"/>
                <w:b/>
                <w:bCs/>
                <w:spacing w:val="-3"/>
              </w:rPr>
              <w:t>日</w:t>
            </w:r>
          </w:p>
        </w:tc>
        <w:tc>
          <w:tcPr>
            <w:shd w:val="clear" w:fill="DBE5F1"/>
            <w:tcW w:w="641" w:type="dxa"/>
            <w:vAlign w:val="top"/>
            <w:tcBorders>
              <w:bottom w:val="single" w:color="000000" w:sz="2" w:space="0"/>
              <w:top w:val="single" w:color="000000" w:sz="2" w:space="0"/>
            </w:tcBorders>
          </w:tcPr>
          <w:p>
            <w:pPr>
              <w:ind w:firstLine="584"/>
              <w:spacing w:before="4" w:line="387" w:lineRule="exact"/>
              <w:rPr/>
            </w:pPr>
            <w:r>
              <w:rPr>
                <w:position w:val="-8"/>
              </w:rPr>
              <w:pict>
                <v:shape id="_x0000_s532" style="mso-position-vertical-relative:line;mso-position-horizontal-relative:char;width:2.9pt;height:19.7pt;" fillcolor="#DBE5F1" filled="true" stroked="false" coordsize="58,394" coordorigin="0,0" path="m0,393l57,393l57,0l0,0l0,393xe"/>
              </w:pict>
            </w:r>
          </w:p>
        </w:tc>
        <w:tc>
          <w:tcPr>
            <w:tcW w:w="3941" w:type="dxa"/>
            <w:vAlign w:val="top"/>
            <w:gridSpan w:val="2"/>
            <w:tcBorders>
              <w:bottom w:val="single" w:color="000000" w:sz="2" w:space="0"/>
              <w:top w:val="single" w:color="000000" w:sz="2" w:space="0"/>
            </w:tcBorders>
          </w:tcPr>
          <w:p>
            <w:pPr>
              <w:pStyle w:val="TableText"/>
              <w:ind w:left="1233"/>
              <w:spacing w:before="131" w:line="220" w:lineRule="auto"/>
              <w:rPr>
                <w:sz w:val="18"/>
                <w:szCs w:val="18"/>
              </w:rPr>
            </w:pPr>
            <w:r>
              <w:rPr>
                <w:rFonts w:ascii="Times New Roman" w:hAnsi="Times New Roman" w:eastAsia="Times New Roman" w:cs="Times New Roman"/>
                <w:sz w:val="18"/>
                <w:szCs w:val="18"/>
                <w:spacing w:val="-5"/>
              </w:rPr>
              <w:t>2021</w:t>
            </w:r>
            <w:r>
              <w:rPr>
                <w:rFonts w:ascii="Times New Roman" w:hAnsi="Times New Roman" w:eastAsia="Times New Roman" w:cs="Times New Roman"/>
                <w:sz w:val="18"/>
                <w:szCs w:val="18"/>
                <w:spacing w:val="11"/>
              </w:rPr>
              <w:t xml:space="preserve"> </w:t>
            </w:r>
            <w:r>
              <w:rPr>
                <w:sz w:val="18"/>
                <w:szCs w:val="18"/>
                <w:spacing w:val="-5"/>
              </w:rPr>
              <w:t>年</w:t>
            </w:r>
            <w:r>
              <w:rPr>
                <w:sz w:val="18"/>
                <w:szCs w:val="18"/>
                <w:spacing w:val="-26"/>
              </w:rPr>
              <w:t xml:space="preserve"> </w:t>
            </w:r>
            <w:r>
              <w:rPr>
                <w:rFonts w:ascii="Times New Roman" w:hAnsi="Times New Roman" w:eastAsia="Times New Roman" w:cs="Times New Roman"/>
                <w:sz w:val="18"/>
                <w:szCs w:val="18"/>
                <w:spacing w:val="-5"/>
              </w:rPr>
              <w:t>12</w:t>
            </w:r>
            <w:r>
              <w:rPr>
                <w:rFonts w:ascii="Times New Roman" w:hAnsi="Times New Roman" w:eastAsia="Times New Roman" w:cs="Times New Roman"/>
                <w:sz w:val="18"/>
                <w:szCs w:val="18"/>
                <w:spacing w:val="14"/>
              </w:rPr>
              <w:t xml:space="preserve"> </w:t>
            </w:r>
            <w:r>
              <w:rPr>
                <w:sz w:val="18"/>
                <w:szCs w:val="18"/>
                <w:spacing w:val="-5"/>
              </w:rPr>
              <w:t>月</w:t>
            </w:r>
            <w:r>
              <w:rPr>
                <w:sz w:val="18"/>
                <w:szCs w:val="18"/>
                <w:spacing w:val="-37"/>
              </w:rPr>
              <w:t xml:space="preserve"> </w:t>
            </w:r>
            <w:r>
              <w:rPr>
                <w:rFonts w:ascii="Times New Roman" w:hAnsi="Times New Roman" w:eastAsia="Times New Roman" w:cs="Times New Roman"/>
                <w:sz w:val="18"/>
                <w:szCs w:val="18"/>
                <w:spacing w:val="-5"/>
              </w:rPr>
              <w:t>31</w:t>
            </w:r>
            <w:r>
              <w:rPr>
                <w:rFonts w:ascii="Times New Roman" w:hAnsi="Times New Roman" w:eastAsia="Times New Roman" w:cs="Times New Roman"/>
                <w:sz w:val="18"/>
                <w:szCs w:val="18"/>
                <w:spacing w:val="39"/>
                <w:w w:val="101"/>
              </w:rPr>
              <w:t xml:space="preserve"> </w:t>
            </w:r>
            <w:r>
              <w:rPr>
                <w:sz w:val="18"/>
                <w:szCs w:val="18"/>
                <w:spacing w:val="-5"/>
              </w:rPr>
              <w:t>日</w:t>
            </w:r>
          </w:p>
        </w:tc>
      </w:tr>
      <w:tr>
        <w:trPr>
          <w:trHeight w:val="400" w:hRule="atLeast"/>
        </w:trPr>
        <w:tc>
          <w:tcPr>
            <w:tcW w:w="1889" w:type="dxa"/>
            <w:vAlign w:val="top"/>
            <w:vMerge w:val="continue"/>
            <w:tcBorders>
              <w:bottom w:val="single" w:color="000000" w:sz="2" w:space="0"/>
              <w:top w:val="nil"/>
            </w:tcBorders>
          </w:tcPr>
          <w:p>
            <w:pPr>
              <w:rPr>
                <w:rFonts w:ascii="Arial"/>
                <w:sz w:val="21"/>
              </w:rPr>
            </w:pPr>
            <w:r/>
          </w:p>
        </w:tc>
        <w:tc>
          <w:tcPr>
            <w:shd w:val="clear" w:fill="DBE5F1"/>
            <w:tcW w:w="644" w:type="dxa"/>
            <w:vAlign w:val="top"/>
            <w:tcBorders>
              <w:bottom w:val="single" w:color="000000" w:sz="2" w:space="0"/>
              <w:top w:val="single" w:color="000000" w:sz="2" w:space="0"/>
            </w:tcBorders>
          </w:tcPr>
          <w:p>
            <w:pPr>
              <w:spacing w:before="3" w:line="387" w:lineRule="exact"/>
              <w:rPr/>
            </w:pPr>
            <w:r>
              <w:rPr>
                <w:position w:val="-8"/>
              </w:rPr>
              <w:pict>
                <v:shape id="_x0000_s534" style="mso-position-vertical-relative:line;mso-position-horizontal-relative:char;width:2.9pt;height:19.7pt;" fillcolor="#DBE5F1" filled="true" stroked="false" coordsize="58,394" coordorigin="0,0" path="m0,393l57,393l57,0l0,0l0,393xe"/>
              </w:pict>
            </w:r>
          </w:p>
        </w:tc>
        <w:tc>
          <w:tcPr>
            <w:shd w:val="clear" w:fill="DBE5F1"/>
            <w:tcW w:w="1466" w:type="dxa"/>
            <w:vAlign w:val="top"/>
            <w:tcBorders>
              <w:bottom w:val="single" w:color="000000" w:sz="2" w:space="0"/>
              <w:top w:val="single" w:color="000000" w:sz="2" w:space="0"/>
            </w:tcBorders>
          </w:tcPr>
          <w:p>
            <w:pPr>
              <w:pStyle w:val="TableText"/>
              <w:ind w:left="997"/>
              <w:spacing w:before="129" w:line="220" w:lineRule="auto"/>
              <w:rPr>
                <w:sz w:val="18"/>
                <w:szCs w:val="18"/>
              </w:rPr>
            </w:pPr>
            <w:r>
              <w:rPr>
                <w:sz w:val="18"/>
                <w:szCs w:val="18"/>
                <w:b/>
                <w:bCs/>
                <w:spacing w:val="-4"/>
              </w:rPr>
              <w:t>金额</w:t>
            </w:r>
          </w:p>
        </w:tc>
        <w:tc>
          <w:tcPr>
            <w:shd w:val="clear" w:fill="DBE5F1"/>
            <w:tcW w:w="1829" w:type="dxa"/>
            <w:vAlign w:val="top"/>
            <w:gridSpan w:val="2"/>
            <w:tcBorders>
              <w:bottom w:val="single" w:color="000000" w:sz="2" w:space="0"/>
              <w:top w:val="single" w:color="000000" w:sz="2" w:space="0"/>
            </w:tcBorders>
          </w:tcPr>
          <w:p>
            <w:pPr>
              <w:pStyle w:val="TableText"/>
              <w:spacing w:before="3"/>
              <w:jc w:val="right"/>
              <w:rPr>
                <w:sz w:val="18"/>
                <w:szCs w:val="18"/>
              </w:rPr>
            </w:pPr>
            <w:r>
              <w:rPr>
                <w:sz w:val="18"/>
                <w:szCs w:val="18"/>
                <w:b/>
                <w:bCs/>
                <w:spacing w:val="-9"/>
              </w:rPr>
              <w:t>占比</w:t>
            </w:r>
            <w:r>
              <w:rPr>
                <w:rFonts w:ascii="Times New Roman" w:hAnsi="Times New Roman" w:eastAsia="Times New Roman" w:cs="Times New Roman"/>
                <w:sz w:val="18"/>
                <w:szCs w:val="18"/>
                <w:b/>
                <w:bCs/>
                <w:spacing w:val="-9"/>
              </w:rPr>
              <w:t>(%)</w:t>
            </w:r>
            <w:r>
              <w:rPr>
                <w:sz w:val="18"/>
                <w:szCs w:val="18"/>
                <w:position w:val="-11"/>
              </w:rPr>
              <w:drawing>
                <wp:inline distT="0" distB="0" distL="0" distR="0">
                  <wp:extent cx="36543" cy="245617"/>
                  <wp:effectExtent l="0" t="0" r="0" b="0"/>
                  <wp:docPr id="190" name="IM 190"/>
                  <wp:cNvGraphicFramePr/>
                  <a:graphic>
                    <a:graphicData uri="http://schemas.openxmlformats.org/drawingml/2006/picture">
                      <pic:pic>
                        <pic:nvPicPr>
                          <pic:cNvPr id="190" name="IM 190"/>
                          <pic:cNvPicPr/>
                        </pic:nvPicPr>
                        <pic:blipFill>
                          <a:blip r:embed="rId98"/>
                          <a:stretch>
                            <a:fillRect/>
                          </a:stretch>
                        </pic:blipFill>
                        <pic:spPr>
                          <a:xfrm rot="0">
                            <a:off x="0" y="0"/>
                            <a:ext cx="36543" cy="245617"/>
                          </a:xfrm>
                          <a:prstGeom prst="rect">
                            <a:avLst/>
                          </a:prstGeom>
                        </pic:spPr>
                      </pic:pic>
                    </a:graphicData>
                  </a:graphic>
                </wp:inline>
              </w:drawing>
            </w:r>
          </w:p>
        </w:tc>
        <w:tc>
          <w:tcPr>
            <w:tcW w:w="3941" w:type="dxa"/>
            <w:vAlign w:val="top"/>
            <w:gridSpan w:val="2"/>
            <w:tcBorders>
              <w:bottom w:val="single" w:color="000000" w:sz="2" w:space="0"/>
              <w:top w:val="single" w:color="000000" w:sz="2" w:space="0"/>
            </w:tcBorders>
          </w:tcPr>
          <w:p>
            <w:pPr>
              <w:pStyle w:val="TableText"/>
              <w:ind w:left="1489"/>
              <w:spacing w:before="102" w:line="251" w:lineRule="exact"/>
              <w:rPr>
                <w:rFonts w:ascii="Times New Roman" w:hAnsi="Times New Roman" w:eastAsia="Times New Roman" w:cs="Times New Roman"/>
                <w:sz w:val="18"/>
                <w:szCs w:val="18"/>
              </w:rPr>
            </w:pPr>
            <w:r>
              <w:rPr>
                <w:sz w:val="18"/>
                <w:szCs w:val="18"/>
                <w:spacing w:val="-7"/>
                <w:position w:val="2"/>
              </w:rPr>
              <w:t>金额</w:t>
            </w:r>
            <w:r>
              <w:rPr>
                <w:sz w:val="18"/>
                <w:szCs w:val="18"/>
                <w:spacing w:val="1"/>
                <w:position w:val="2"/>
              </w:rPr>
              <w:t xml:space="preserve">                </w:t>
            </w:r>
            <w:r>
              <w:rPr>
                <w:sz w:val="18"/>
                <w:szCs w:val="18"/>
                <w:spacing w:val="-7"/>
                <w:position w:val="2"/>
              </w:rPr>
              <w:t>占比</w:t>
            </w:r>
            <w:r>
              <w:rPr>
                <w:rFonts w:ascii="Times New Roman" w:hAnsi="Times New Roman" w:eastAsia="Times New Roman" w:cs="Times New Roman"/>
                <w:sz w:val="18"/>
                <w:szCs w:val="18"/>
                <w:spacing w:val="-7"/>
                <w:position w:val="2"/>
              </w:rPr>
              <w:t>(%)</w:t>
            </w:r>
          </w:p>
        </w:tc>
      </w:tr>
      <w:tr>
        <w:trPr>
          <w:trHeight w:val="398" w:hRule="atLeast"/>
        </w:trPr>
        <w:tc>
          <w:tcPr>
            <w:tcW w:w="1889" w:type="dxa"/>
            <w:vAlign w:val="top"/>
            <w:tcBorders>
              <w:bottom w:val="single" w:color="000000" w:sz="2" w:space="0"/>
              <w:top w:val="single" w:color="000000" w:sz="2" w:space="0"/>
            </w:tcBorders>
          </w:tcPr>
          <w:p>
            <w:pPr>
              <w:pStyle w:val="TableText"/>
              <w:ind w:left="79"/>
              <w:spacing w:before="128" w:line="220" w:lineRule="auto"/>
              <w:rPr>
                <w:sz w:val="18"/>
                <w:szCs w:val="18"/>
              </w:rPr>
            </w:pPr>
            <w:r>
              <w:rPr>
                <w:rFonts w:ascii="Times New Roman" w:hAnsi="Times New Roman" w:eastAsia="Times New Roman" w:cs="Times New Roman"/>
                <w:sz w:val="18"/>
                <w:szCs w:val="18"/>
                <w:spacing w:val="-3"/>
              </w:rPr>
              <w:t>3</w:t>
            </w:r>
            <w:r>
              <w:rPr>
                <w:rFonts w:ascii="Times New Roman" w:hAnsi="Times New Roman" w:eastAsia="Times New Roman" w:cs="Times New Roman"/>
                <w:sz w:val="18"/>
                <w:szCs w:val="18"/>
                <w:spacing w:val="10"/>
              </w:rPr>
              <w:t xml:space="preserve"> </w:t>
            </w:r>
            <w:r>
              <w:rPr>
                <w:sz w:val="18"/>
                <w:szCs w:val="18"/>
                <w:spacing w:val="-3"/>
              </w:rPr>
              <w:t>个月以内</w:t>
            </w:r>
          </w:p>
        </w:tc>
        <w:tc>
          <w:tcPr>
            <w:shd w:val="clear" w:fill="DBE5F1"/>
            <w:tcW w:w="644" w:type="dxa"/>
            <w:vAlign w:val="top"/>
            <w:tcBorders>
              <w:bottom w:val="single" w:color="000000" w:sz="2" w:space="0"/>
              <w:top w:val="single" w:color="000000" w:sz="2" w:space="0"/>
            </w:tcBorders>
          </w:tcPr>
          <w:p>
            <w:pPr>
              <w:spacing w:before="1" w:line="387" w:lineRule="exact"/>
              <w:rPr/>
            </w:pPr>
            <w:r>
              <w:rPr>
                <w:position w:val="-8"/>
              </w:rPr>
              <w:pict>
                <v:shape id="_x0000_s536" style="mso-position-vertical-relative:line;mso-position-horizontal-relative:char;width:2.9pt;height:19.75pt;" fillcolor="#DBE5F1" filled="true" stroked="false" coordsize="58,395" coordorigin="0,0" path="m0,394l57,394l57,0l0,0l0,394xe"/>
              </w:pict>
            </w:r>
          </w:p>
        </w:tc>
        <w:tc>
          <w:tcPr>
            <w:shd w:val="clear" w:fill="DBE5F1"/>
            <w:tcW w:w="1466" w:type="dxa"/>
            <w:vAlign w:val="top"/>
            <w:tcBorders>
              <w:bottom w:val="single" w:color="000000" w:sz="2" w:space="0"/>
              <w:top w:val="single" w:color="000000" w:sz="2" w:space="0"/>
            </w:tcBorders>
          </w:tcPr>
          <w:p>
            <w:pPr>
              <w:spacing w:before="1"/>
              <w:jc w:val="right"/>
              <w:rPr>
                <w:sz w:val="18"/>
                <w:szCs w:val="18"/>
              </w:rPr>
            </w:pPr>
            <w:r>
              <w:rPr>
                <w:rFonts w:ascii="Times New Roman" w:hAnsi="Times New Roman" w:eastAsia="Times New Roman" w:cs="Times New Roman"/>
                <w:sz w:val="18"/>
                <w:szCs w:val="18"/>
                <w:b/>
                <w:bCs/>
                <w:spacing w:val="-1"/>
              </w:rPr>
              <w:t>27,737</w:t>
            </w:r>
            <w:r>
              <w:rPr>
                <w:rFonts w:ascii="Times New Roman" w:hAnsi="Times New Roman" w:eastAsia="Times New Roman" w:cs="Times New Roman"/>
                <w:sz w:val="18"/>
                <w:szCs w:val="18"/>
                <w:b/>
                <w:bCs/>
                <w:spacing w:val="12"/>
              </w:rPr>
              <w:t xml:space="preserve"> </w:t>
            </w:r>
            <w:r>
              <w:rPr>
                <w:sz w:val="18"/>
                <w:szCs w:val="18"/>
                <w:position w:val="-11"/>
              </w:rPr>
              <w:drawing>
                <wp:inline distT="0" distB="0" distL="0" distR="0">
                  <wp:extent cx="36551" cy="245414"/>
                  <wp:effectExtent l="0" t="0" r="0" b="0"/>
                  <wp:docPr id="192" name="IM 192"/>
                  <wp:cNvGraphicFramePr/>
                  <a:graphic>
                    <a:graphicData uri="http://schemas.openxmlformats.org/drawingml/2006/picture">
                      <pic:pic>
                        <pic:nvPicPr>
                          <pic:cNvPr id="192" name="IM 192"/>
                          <pic:cNvPicPr/>
                        </pic:nvPicPr>
                        <pic:blipFill>
                          <a:blip r:embed="rId99"/>
                          <a:stretch>
                            <a:fillRect/>
                          </a:stretch>
                        </pic:blipFill>
                        <pic:spPr>
                          <a:xfrm rot="0">
                            <a:off x="0" y="0"/>
                            <a:ext cx="36551" cy="245414"/>
                          </a:xfrm>
                          <a:prstGeom prst="rect">
                            <a:avLst/>
                          </a:prstGeom>
                        </pic:spPr>
                      </pic:pic>
                    </a:graphicData>
                  </a:graphic>
                </wp:inline>
              </w:drawing>
            </w:r>
          </w:p>
        </w:tc>
        <w:tc>
          <w:tcPr>
            <w:shd w:val="clear" w:fill="DBE5F1"/>
            <w:tcW w:w="1829" w:type="dxa"/>
            <w:vAlign w:val="top"/>
            <w:gridSpan w:val="2"/>
            <w:tcBorders>
              <w:bottom w:val="single" w:color="000000" w:sz="2" w:space="0"/>
              <w:top w:val="single" w:color="000000" w:sz="2" w:space="0"/>
            </w:tcBorders>
          </w:tcPr>
          <w:p>
            <w:pPr>
              <w:ind w:left="1464"/>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0.38</w:t>
            </w:r>
          </w:p>
        </w:tc>
        <w:tc>
          <w:tcPr>
            <w:tcW w:w="2707" w:type="dxa"/>
            <w:vAlign w:val="top"/>
            <w:tcBorders>
              <w:bottom w:val="single" w:color="000000" w:sz="2" w:space="0"/>
              <w:top w:val="single" w:color="000000" w:sz="2" w:space="0"/>
            </w:tcBorders>
          </w:tcPr>
          <w:p>
            <w:pPr>
              <w:ind w:left="1350"/>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23,164</w:t>
            </w:r>
          </w:p>
        </w:tc>
        <w:tc>
          <w:tcPr>
            <w:tcW w:w="1234" w:type="dxa"/>
            <w:vAlign w:val="top"/>
            <w:tcBorders>
              <w:bottom w:val="single" w:color="000000" w:sz="2" w:space="0"/>
              <w:top w:val="single" w:color="000000" w:sz="2" w:space="0"/>
            </w:tcBorders>
          </w:tcPr>
          <w:p>
            <w:pPr>
              <w:ind w:left="871"/>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0.35</w:t>
            </w:r>
          </w:p>
        </w:tc>
      </w:tr>
      <w:tr>
        <w:trPr>
          <w:trHeight w:val="397" w:hRule="atLeast"/>
        </w:trPr>
        <w:tc>
          <w:tcPr>
            <w:tcW w:w="1889" w:type="dxa"/>
            <w:vAlign w:val="top"/>
            <w:tcBorders>
              <w:bottom w:val="single" w:color="000000" w:sz="2" w:space="0"/>
              <w:top w:val="single" w:color="000000" w:sz="2" w:space="0"/>
            </w:tcBorders>
          </w:tcPr>
          <w:p>
            <w:pPr>
              <w:pStyle w:val="TableText"/>
              <w:ind w:left="79"/>
              <w:spacing w:before="128" w:line="220" w:lineRule="auto"/>
              <w:rPr>
                <w:sz w:val="18"/>
                <w:szCs w:val="18"/>
              </w:rPr>
            </w:pPr>
            <w:r>
              <w:rPr>
                <w:rFonts w:ascii="Times New Roman" w:hAnsi="Times New Roman" w:eastAsia="Times New Roman" w:cs="Times New Roman"/>
                <w:sz w:val="18"/>
                <w:szCs w:val="18"/>
                <w:spacing w:val="-6"/>
              </w:rPr>
              <w:t>3</w:t>
            </w:r>
            <w:r>
              <w:rPr>
                <w:rFonts w:ascii="Times New Roman" w:hAnsi="Times New Roman" w:eastAsia="Times New Roman" w:cs="Times New Roman"/>
                <w:sz w:val="18"/>
                <w:szCs w:val="18"/>
                <w:spacing w:val="9"/>
              </w:rPr>
              <w:t xml:space="preserve"> </w:t>
            </w:r>
            <w:r>
              <w:rPr>
                <w:sz w:val="18"/>
                <w:szCs w:val="18"/>
                <w:spacing w:val="-6"/>
              </w:rPr>
              <w:t>个月至</w:t>
            </w:r>
            <w:r>
              <w:rPr>
                <w:sz w:val="18"/>
                <w:szCs w:val="18"/>
                <w:spacing w:val="-26"/>
              </w:rPr>
              <w:t xml:space="preserve"> </w:t>
            </w:r>
            <w:r>
              <w:rPr>
                <w:rFonts w:ascii="Times New Roman" w:hAnsi="Times New Roman" w:eastAsia="Times New Roman" w:cs="Times New Roman"/>
                <w:sz w:val="18"/>
                <w:szCs w:val="18"/>
                <w:spacing w:val="-6"/>
              </w:rPr>
              <w:t>1</w:t>
            </w:r>
            <w:r>
              <w:rPr>
                <w:rFonts w:ascii="Times New Roman" w:hAnsi="Times New Roman" w:eastAsia="Times New Roman" w:cs="Times New Roman"/>
                <w:sz w:val="18"/>
                <w:szCs w:val="18"/>
                <w:spacing w:val="9"/>
              </w:rPr>
              <w:t xml:space="preserve"> </w:t>
            </w:r>
            <w:r>
              <w:rPr>
                <w:sz w:val="18"/>
                <w:szCs w:val="18"/>
                <w:spacing w:val="-6"/>
              </w:rPr>
              <w:t>年</w:t>
            </w:r>
          </w:p>
        </w:tc>
        <w:tc>
          <w:tcPr>
            <w:shd w:val="clear" w:fill="DBE5F1"/>
            <w:tcW w:w="644" w:type="dxa"/>
            <w:vAlign w:val="top"/>
            <w:tcBorders>
              <w:bottom w:val="single" w:color="000000" w:sz="2" w:space="0"/>
              <w:top w:val="single" w:color="000000" w:sz="2" w:space="0"/>
            </w:tcBorders>
          </w:tcPr>
          <w:p>
            <w:pPr>
              <w:spacing w:before="2" w:line="384" w:lineRule="exact"/>
              <w:rPr/>
            </w:pPr>
            <w:r>
              <w:rPr>
                <w:position w:val="-8"/>
              </w:rPr>
              <w:pict>
                <v:shape id="_x0000_s538" style="mso-position-vertical-relative:line;mso-position-horizontal-relative:char;width:2.9pt;height:19.7pt;" fillcolor="#DBE5F1" filled="true" stroked="false" coordsize="58,394" coordorigin="0,0" path="m0,393l57,393l57,0l0,0l0,393xe"/>
              </w:pict>
            </w:r>
          </w:p>
        </w:tc>
        <w:tc>
          <w:tcPr>
            <w:shd w:val="clear" w:fill="DBE5F1"/>
            <w:tcW w:w="1466" w:type="dxa"/>
            <w:vAlign w:val="top"/>
            <w:tcBorders>
              <w:bottom w:val="single" w:color="000000" w:sz="2" w:space="0"/>
              <w:top w:val="single" w:color="000000" w:sz="2" w:space="0"/>
            </w:tcBorders>
          </w:tcPr>
          <w:p>
            <w:pPr>
              <w:spacing w:before="2"/>
              <w:jc w:val="right"/>
              <w:rPr>
                <w:sz w:val="18"/>
                <w:szCs w:val="18"/>
              </w:rPr>
            </w:pPr>
            <w:r>
              <w:rPr>
                <w:rFonts w:ascii="Times New Roman" w:hAnsi="Times New Roman" w:eastAsia="Times New Roman" w:cs="Times New Roman"/>
                <w:sz w:val="18"/>
                <w:szCs w:val="18"/>
                <w:b/>
                <w:bCs/>
                <w:spacing w:val="-1"/>
              </w:rPr>
              <w:t>33,480</w:t>
            </w:r>
            <w:r>
              <w:rPr>
                <w:rFonts w:ascii="Times New Roman" w:hAnsi="Times New Roman" w:eastAsia="Times New Roman" w:cs="Times New Roman"/>
                <w:sz w:val="18"/>
                <w:szCs w:val="18"/>
                <w:b/>
                <w:bCs/>
                <w:spacing w:val="13"/>
                <w:w w:val="101"/>
              </w:rPr>
              <w:t xml:space="preserve"> </w:t>
            </w:r>
            <w:r>
              <w:rPr>
                <w:sz w:val="18"/>
                <w:szCs w:val="18"/>
                <w:position w:val="-11"/>
              </w:rPr>
              <w:drawing>
                <wp:inline distT="0" distB="0" distL="0" distR="0">
                  <wp:extent cx="36552" cy="244347"/>
                  <wp:effectExtent l="0" t="0" r="0" b="0"/>
                  <wp:docPr id="194" name="IM 194"/>
                  <wp:cNvGraphicFramePr/>
                  <a:graphic>
                    <a:graphicData uri="http://schemas.openxmlformats.org/drawingml/2006/picture">
                      <pic:pic>
                        <pic:nvPicPr>
                          <pic:cNvPr id="194" name="IM 194"/>
                          <pic:cNvPicPr/>
                        </pic:nvPicPr>
                        <pic:blipFill>
                          <a:blip r:embed="rId100"/>
                          <a:stretch>
                            <a:fillRect/>
                          </a:stretch>
                        </pic:blipFill>
                        <pic:spPr>
                          <a:xfrm rot="0">
                            <a:off x="0" y="0"/>
                            <a:ext cx="36552" cy="244347"/>
                          </a:xfrm>
                          <a:prstGeom prst="rect">
                            <a:avLst/>
                          </a:prstGeom>
                        </pic:spPr>
                      </pic:pic>
                    </a:graphicData>
                  </a:graphic>
                </wp:inline>
              </w:drawing>
            </w:r>
          </w:p>
        </w:tc>
        <w:tc>
          <w:tcPr>
            <w:shd w:val="clear" w:fill="DBE5F1"/>
            <w:tcW w:w="1829" w:type="dxa"/>
            <w:vAlign w:val="top"/>
            <w:gridSpan w:val="2"/>
            <w:tcBorders>
              <w:bottom w:val="single" w:color="000000" w:sz="2" w:space="0"/>
              <w:top w:val="single" w:color="000000" w:sz="2" w:space="0"/>
            </w:tcBorders>
          </w:tcPr>
          <w:p>
            <w:pPr>
              <w:ind w:left="1464"/>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0.46</w:t>
            </w:r>
          </w:p>
        </w:tc>
        <w:tc>
          <w:tcPr>
            <w:tcW w:w="2707" w:type="dxa"/>
            <w:vAlign w:val="top"/>
            <w:tcBorders>
              <w:bottom w:val="single" w:color="000000" w:sz="2" w:space="0"/>
              <w:top w:val="single" w:color="000000" w:sz="2" w:space="0"/>
            </w:tcBorders>
          </w:tcPr>
          <w:p>
            <w:pPr>
              <w:ind w:left="1350"/>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29,433</w:t>
            </w:r>
          </w:p>
        </w:tc>
        <w:tc>
          <w:tcPr>
            <w:tcW w:w="1234" w:type="dxa"/>
            <w:vAlign w:val="top"/>
            <w:tcBorders>
              <w:bottom w:val="single" w:color="000000" w:sz="2" w:space="0"/>
              <w:top w:val="single" w:color="000000" w:sz="2" w:space="0"/>
            </w:tcBorders>
          </w:tcPr>
          <w:p>
            <w:pPr>
              <w:ind w:left="871"/>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0.45</w:t>
            </w:r>
          </w:p>
        </w:tc>
      </w:tr>
      <w:tr>
        <w:trPr>
          <w:trHeight w:val="400" w:hRule="atLeast"/>
        </w:trPr>
        <w:tc>
          <w:tcPr>
            <w:tcW w:w="1889" w:type="dxa"/>
            <w:vAlign w:val="top"/>
            <w:tcBorders>
              <w:bottom w:val="single" w:color="000000" w:sz="2" w:space="0"/>
              <w:top w:val="single" w:color="000000" w:sz="2" w:space="0"/>
            </w:tcBorders>
          </w:tcPr>
          <w:p>
            <w:pPr>
              <w:pStyle w:val="TableText"/>
              <w:ind w:left="93"/>
              <w:spacing w:before="132" w:line="220" w:lineRule="auto"/>
              <w:rPr>
                <w:sz w:val="18"/>
                <w:szCs w:val="18"/>
              </w:rPr>
            </w:pPr>
            <w:r>
              <w:rPr>
                <w:rFonts w:ascii="Times New Roman" w:hAnsi="Times New Roman" w:eastAsia="Times New Roman" w:cs="Times New Roman"/>
                <w:sz w:val="18"/>
                <w:szCs w:val="18"/>
                <w:spacing w:val="-8"/>
              </w:rPr>
              <w:t>1</w:t>
            </w:r>
            <w:r>
              <w:rPr>
                <w:rFonts w:ascii="Times New Roman" w:hAnsi="Times New Roman" w:eastAsia="Times New Roman" w:cs="Times New Roman"/>
                <w:sz w:val="18"/>
                <w:szCs w:val="18"/>
                <w:spacing w:val="12"/>
                <w:w w:val="101"/>
              </w:rPr>
              <w:t xml:space="preserve"> </w:t>
            </w:r>
            <w:r>
              <w:rPr>
                <w:sz w:val="18"/>
                <w:szCs w:val="18"/>
                <w:spacing w:val="-8"/>
              </w:rPr>
              <w:t>年至</w:t>
            </w:r>
            <w:r>
              <w:rPr>
                <w:sz w:val="18"/>
                <w:szCs w:val="18"/>
                <w:spacing w:val="-40"/>
              </w:rPr>
              <w:t xml:space="preserve"> </w:t>
            </w:r>
            <w:r>
              <w:rPr>
                <w:rFonts w:ascii="Times New Roman" w:hAnsi="Times New Roman" w:eastAsia="Times New Roman" w:cs="Times New Roman"/>
                <w:sz w:val="18"/>
                <w:szCs w:val="18"/>
                <w:spacing w:val="-8"/>
              </w:rPr>
              <w:t>3</w:t>
            </w:r>
            <w:r>
              <w:rPr>
                <w:rFonts w:ascii="Times New Roman" w:hAnsi="Times New Roman" w:eastAsia="Times New Roman" w:cs="Times New Roman"/>
                <w:sz w:val="18"/>
                <w:szCs w:val="18"/>
                <w:spacing w:val="10"/>
              </w:rPr>
              <w:t xml:space="preserve"> </w:t>
            </w:r>
            <w:r>
              <w:rPr>
                <w:sz w:val="18"/>
                <w:szCs w:val="18"/>
                <w:spacing w:val="-8"/>
              </w:rPr>
              <w:t>年</w:t>
            </w:r>
          </w:p>
        </w:tc>
        <w:tc>
          <w:tcPr>
            <w:shd w:val="clear" w:fill="DBE5F1"/>
            <w:tcW w:w="644" w:type="dxa"/>
            <w:vAlign w:val="top"/>
            <w:tcBorders>
              <w:bottom w:val="single" w:color="000000" w:sz="2" w:space="0"/>
              <w:top w:val="single" w:color="000000" w:sz="2" w:space="0"/>
            </w:tcBorders>
          </w:tcPr>
          <w:p>
            <w:pPr>
              <w:spacing w:before="5" w:line="385" w:lineRule="exact"/>
              <w:rPr/>
            </w:pPr>
            <w:r>
              <w:rPr>
                <w:position w:val="-8"/>
              </w:rPr>
              <w:pict>
                <v:shape id="_x0000_s540" style="mso-position-vertical-relative:line;mso-position-horizontal-relative:char;width:2.9pt;height:19.7pt;" fillcolor="#DBE5F1" filled="true" stroked="false" coordsize="58,394" coordorigin="0,0" path="m0,393l57,393l57,0l0,0l0,393xe"/>
              </w:pict>
            </w:r>
          </w:p>
        </w:tc>
        <w:tc>
          <w:tcPr>
            <w:shd w:val="clear" w:fill="DBE5F1"/>
            <w:tcW w:w="1466" w:type="dxa"/>
            <w:vAlign w:val="top"/>
            <w:tcBorders>
              <w:bottom w:val="single" w:color="000000" w:sz="2" w:space="0"/>
              <w:top w:val="single" w:color="000000" w:sz="2" w:space="0"/>
            </w:tcBorders>
          </w:tcPr>
          <w:p>
            <w:pPr>
              <w:spacing w:before="5"/>
              <w:jc w:val="right"/>
              <w:rPr>
                <w:sz w:val="18"/>
                <w:szCs w:val="18"/>
              </w:rPr>
            </w:pPr>
            <w:r>
              <w:rPr>
                <w:rFonts w:ascii="Times New Roman" w:hAnsi="Times New Roman" w:eastAsia="Times New Roman" w:cs="Times New Roman"/>
                <w:sz w:val="18"/>
                <w:szCs w:val="18"/>
                <w:b/>
                <w:bCs/>
                <w:spacing w:val="-3"/>
              </w:rPr>
              <w:t>19,083</w:t>
            </w:r>
            <w:r>
              <w:rPr>
                <w:rFonts w:ascii="Times New Roman" w:hAnsi="Times New Roman" w:eastAsia="Times New Roman" w:cs="Times New Roman"/>
                <w:sz w:val="18"/>
                <w:szCs w:val="18"/>
                <w:b/>
                <w:bCs/>
                <w:spacing w:val="16"/>
                <w:w w:val="101"/>
              </w:rPr>
              <w:t xml:space="preserve"> </w:t>
            </w:r>
            <w:r>
              <w:rPr>
                <w:sz w:val="18"/>
                <w:szCs w:val="18"/>
                <w:position w:val="-11"/>
              </w:rPr>
              <w:drawing>
                <wp:inline distT="0" distB="0" distL="0" distR="0">
                  <wp:extent cx="36551" cy="243967"/>
                  <wp:effectExtent l="0" t="0" r="0" b="0"/>
                  <wp:docPr id="196" name="IM 196"/>
                  <wp:cNvGraphicFramePr/>
                  <a:graphic>
                    <a:graphicData uri="http://schemas.openxmlformats.org/drawingml/2006/picture">
                      <pic:pic>
                        <pic:nvPicPr>
                          <pic:cNvPr id="196" name="IM 196"/>
                          <pic:cNvPicPr/>
                        </pic:nvPicPr>
                        <pic:blipFill>
                          <a:blip r:embed="rId101"/>
                          <a:stretch>
                            <a:fillRect/>
                          </a:stretch>
                        </pic:blipFill>
                        <pic:spPr>
                          <a:xfrm rot="0">
                            <a:off x="0" y="0"/>
                            <a:ext cx="36551" cy="243967"/>
                          </a:xfrm>
                          <a:prstGeom prst="rect">
                            <a:avLst/>
                          </a:prstGeom>
                        </pic:spPr>
                      </pic:pic>
                    </a:graphicData>
                  </a:graphic>
                </wp:inline>
              </w:drawing>
            </w:r>
          </w:p>
        </w:tc>
        <w:tc>
          <w:tcPr>
            <w:shd w:val="clear" w:fill="DBE5F1"/>
            <w:tcW w:w="1829" w:type="dxa"/>
            <w:vAlign w:val="top"/>
            <w:gridSpan w:val="2"/>
            <w:tcBorders>
              <w:bottom w:val="single" w:color="000000" w:sz="2" w:space="0"/>
              <w:top w:val="single" w:color="000000" w:sz="2" w:space="0"/>
            </w:tcBorders>
          </w:tcPr>
          <w:p>
            <w:pPr>
              <w:ind w:left="1464"/>
              <w:spacing w:before="16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0.26</w:t>
            </w:r>
          </w:p>
        </w:tc>
        <w:tc>
          <w:tcPr>
            <w:tcW w:w="2707" w:type="dxa"/>
            <w:vAlign w:val="top"/>
            <w:tcBorders>
              <w:bottom w:val="single" w:color="000000" w:sz="2" w:space="0"/>
              <w:top w:val="single" w:color="000000" w:sz="2" w:space="0"/>
            </w:tcBorders>
          </w:tcPr>
          <w:p>
            <w:pPr>
              <w:ind w:left="1350"/>
              <w:spacing w:before="16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27,164</w:t>
            </w:r>
          </w:p>
        </w:tc>
        <w:tc>
          <w:tcPr>
            <w:tcW w:w="1234" w:type="dxa"/>
            <w:vAlign w:val="top"/>
            <w:tcBorders>
              <w:bottom w:val="single" w:color="000000" w:sz="2" w:space="0"/>
              <w:top w:val="single" w:color="000000" w:sz="2" w:space="0"/>
            </w:tcBorders>
          </w:tcPr>
          <w:p>
            <w:pPr>
              <w:ind w:left="871"/>
              <w:spacing w:before="165"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0.42</w:t>
            </w:r>
          </w:p>
        </w:tc>
      </w:tr>
      <w:tr>
        <w:trPr>
          <w:trHeight w:val="397" w:hRule="atLeast"/>
        </w:trPr>
        <w:tc>
          <w:tcPr>
            <w:tcW w:w="1889" w:type="dxa"/>
            <w:vAlign w:val="top"/>
            <w:tcBorders>
              <w:bottom w:val="single" w:color="000000" w:sz="2" w:space="0"/>
              <w:top w:val="single" w:color="000000" w:sz="2" w:space="0"/>
            </w:tcBorders>
          </w:tcPr>
          <w:p>
            <w:pPr>
              <w:pStyle w:val="TableText"/>
              <w:ind w:left="79"/>
              <w:spacing w:before="130" w:line="220" w:lineRule="auto"/>
              <w:rPr>
                <w:sz w:val="18"/>
                <w:szCs w:val="18"/>
              </w:rPr>
            </w:pPr>
            <w:r>
              <w:rPr>
                <w:rFonts w:ascii="Times New Roman" w:hAnsi="Times New Roman" w:eastAsia="Times New Roman" w:cs="Times New Roman"/>
                <w:sz w:val="18"/>
                <w:szCs w:val="18"/>
                <w:spacing w:val="-4"/>
              </w:rPr>
              <w:t>3</w:t>
            </w:r>
            <w:r>
              <w:rPr>
                <w:rFonts w:ascii="Times New Roman" w:hAnsi="Times New Roman" w:eastAsia="Times New Roman" w:cs="Times New Roman"/>
                <w:sz w:val="18"/>
                <w:szCs w:val="18"/>
                <w:spacing w:val="12"/>
                <w:w w:val="101"/>
              </w:rPr>
              <w:t xml:space="preserve"> </w:t>
            </w:r>
            <w:r>
              <w:rPr>
                <w:sz w:val="18"/>
                <w:szCs w:val="18"/>
                <w:spacing w:val="-4"/>
              </w:rPr>
              <w:t>年以上</w:t>
            </w:r>
          </w:p>
        </w:tc>
        <w:tc>
          <w:tcPr>
            <w:shd w:val="clear" w:fill="DBE5F1"/>
            <w:tcW w:w="644" w:type="dxa"/>
            <w:vAlign w:val="top"/>
            <w:tcBorders>
              <w:bottom w:val="single" w:color="000000" w:sz="2" w:space="0"/>
              <w:top w:val="single" w:color="000000" w:sz="2" w:space="0"/>
            </w:tcBorders>
          </w:tcPr>
          <w:p>
            <w:pPr>
              <w:spacing w:before="4" w:line="382" w:lineRule="exact"/>
              <w:rPr/>
            </w:pPr>
            <w:r>
              <w:rPr>
                <w:position w:val="-8"/>
              </w:rPr>
              <w:pict>
                <v:shape id="_x0000_s542" style="mso-position-vertical-relative:line;mso-position-horizontal-relative:char;width:2.9pt;height:19.7pt;" fillcolor="#DBE5F1" filled="true" stroked="false" coordsize="58,394" coordorigin="0,0" path="m0,393l57,393l57,0l0,0l0,393xe"/>
              </w:pict>
            </w:r>
          </w:p>
        </w:tc>
        <w:tc>
          <w:tcPr>
            <w:shd w:val="clear" w:fill="DBE5F1"/>
            <w:tcW w:w="1466" w:type="dxa"/>
            <w:vAlign w:val="top"/>
            <w:tcBorders>
              <w:bottom w:val="single" w:color="000000" w:sz="2" w:space="0"/>
              <w:top w:val="single" w:color="000000" w:sz="2" w:space="0"/>
            </w:tcBorders>
          </w:tcPr>
          <w:p>
            <w:pPr>
              <w:spacing w:before="4"/>
              <w:jc w:val="right"/>
              <w:rPr>
                <w:sz w:val="18"/>
                <w:szCs w:val="18"/>
              </w:rPr>
            </w:pPr>
            <w:r>
              <w:rPr>
                <w:rFonts w:ascii="Times New Roman" w:hAnsi="Times New Roman" w:eastAsia="Times New Roman" w:cs="Times New Roman"/>
                <w:sz w:val="18"/>
                <w:szCs w:val="18"/>
                <w:b/>
                <w:bCs/>
                <w:spacing w:val="-1"/>
              </w:rPr>
              <w:t>4,528</w:t>
            </w:r>
            <w:r>
              <w:rPr>
                <w:rFonts w:ascii="Times New Roman" w:hAnsi="Times New Roman" w:eastAsia="Times New Roman" w:cs="Times New Roman"/>
                <w:sz w:val="18"/>
                <w:szCs w:val="18"/>
                <w:b/>
                <w:bCs/>
                <w:spacing w:val="12"/>
              </w:rPr>
              <w:t xml:space="preserve"> </w:t>
            </w:r>
            <w:r>
              <w:rPr>
                <w:sz w:val="18"/>
                <w:szCs w:val="18"/>
                <w:position w:val="-10"/>
              </w:rPr>
              <w:drawing>
                <wp:inline distT="0" distB="0" distL="0" distR="0">
                  <wp:extent cx="36547" cy="243204"/>
                  <wp:effectExtent l="0" t="0" r="0" b="0"/>
                  <wp:docPr id="198" name="IM 198"/>
                  <wp:cNvGraphicFramePr/>
                  <a:graphic>
                    <a:graphicData uri="http://schemas.openxmlformats.org/drawingml/2006/picture">
                      <pic:pic>
                        <pic:nvPicPr>
                          <pic:cNvPr id="198" name="IM 198"/>
                          <pic:cNvPicPr/>
                        </pic:nvPicPr>
                        <pic:blipFill>
                          <a:blip r:embed="rId102"/>
                          <a:stretch>
                            <a:fillRect/>
                          </a:stretch>
                        </pic:blipFill>
                        <pic:spPr>
                          <a:xfrm rot="0">
                            <a:off x="0" y="0"/>
                            <a:ext cx="36547" cy="243204"/>
                          </a:xfrm>
                          <a:prstGeom prst="rect">
                            <a:avLst/>
                          </a:prstGeom>
                        </pic:spPr>
                      </pic:pic>
                    </a:graphicData>
                  </a:graphic>
                </wp:inline>
              </w:drawing>
            </w:r>
          </w:p>
        </w:tc>
        <w:tc>
          <w:tcPr>
            <w:shd w:val="clear" w:fill="DBE5F1"/>
            <w:tcW w:w="1829" w:type="dxa"/>
            <w:vAlign w:val="top"/>
            <w:gridSpan w:val="2"/>
            <w:tcBorders>
              <w:bottom w:val="single" w:color="000000" w:sz="2" w:space="0"/>
              <w:top w:val="single" w:color="000000" w:sz="2" w:space="0"/>
            </w:tcBorders>
          </w:tcPr>
          <w:p>
            <w:pPr>
              <w:ind w:left="1464"/>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0.06</w:t>
            </w:r>
          </w:p>
        </w:tc>
        <w:tc>
          <w:tcPr>
            <w:tcW w:w="2707" w:type="dxa"/>
            <w:vAlign w:val="top"/>
            <w:tcBorders>
              <w:bottom w:val="single" w:color="000000" w:sz="2" w:space="0"/>
              <w:top w:val="single" w:color="000000" w:sz="2" w:space="0"/>
            </w:tcBorders>
          </w:tcPr>
          <w:p>
            <w:pPr>
              <w:ind w:left="1442"/>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7,401</w:t>
            </w:r>
          </w:p>
        </w:tc>
        <w:tc>
          <w:tcPr>
            <w:tcW w:w="1234" w:type="dxa"/>
            <w:vAlign w:val="top"/>
            <w:tcBorders>
              <w:bottom w:val="single" w:color="000000" w:sz="2" w:space="0"/>
              <w:top w:val="single" w:color="000000" w:sz="2" w:space="0"/>
            </w:tcBorders>
          </w:tcPr>
          <w:p>
            <w:pPr>
              <w:ind w:left="879"/>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0.11</w:t>
            </w:r>
          </w:p>
        </w:tc>
      </w:tr>
      <w:tr>
        <w:trPr>
          <w:trHeight w:val="405" w:hRule="atLeast"/>
        </w:trPr>
        <w:tc>
          <w:tcPr>
            <w:tcW w:w="1889" w:type="dxa"/>
            <w:vAlign w:val="top"/>
            <w:tcBorders>
              <w:bottom w:val="single" w:color="000000" w:sz="2" w:space="0"/>
              <w:top w:val="single" w:color="000000" w:sz="2" w:space="0"/>
            </w:tcBorders>
          </w:tcPr>
          <w:p>
            <w:pPr>
              <w:pStyle w:val="TableText"/>
              <w:ind w:left="79"/>
              <w:spacing w:before="131" w:line="222" w:lineRule="auto"/>
              <w:rPr>
                <w:sz w:val="18"/>
                <w:szCs w:val="18"/>
              </w:rPr>
            </w:pPr>
            <w:r>
              <w:rPr>
                <w:sz w:val="18"/>
                <w:szCs w:val="18"/>
                <w:b/>
                <w:bCs/>
                <w:spacing w:val="-4"/>
              </w:rPr>
              <w:t>合计</w:t>
            </w:r>
          </w:p>
        </w:tc>
        <w:tc>
          <w:tcPr>
            <w:shd w:val="clear" w:fill="DBE5F1"/>
            <w:tcW w:w="644" w:type="dxa"/>
            <w:vAlign w:val="top"/>
            <w:tcBorders>
              <w:bottom w:val="single" w:color="000000" w:sz="2" w:space="0"/>
              <w:top w:val="single" w:color="000000" w:sz="2" w:space="0"/>
            </w:tcBorders>
          </w:tcPr>
          <w:p>
            <w:pPr>
              <w:spacing w:before="5" w:line="390" w:lineRule="exact"/>
              <w:rPr/>
            </w:pPr>
            <w:r>
              <w:rPr>
                <w:position w:val="-8"/>
              </w:rPr>
              <w:pict>
                <v:shape id="_x0000_s544" style="mso-position-vertical-relative:line;mso-position-horizontal-relative:char;width:2.9pt;height:19.7pt;" fillcolor="#DBE5F1" filled="true" stroked="false" coordsize="58,394" coordorigin="0,0" path="m0,393l57,393l57,0l0,0l0,393xe"/>
              </w:pict>
            </w:r>
          </w:p>
        </w:tc>
        <w:tc>
          <w:tcPr>
            <w:shd w:val="clear" w:fill="DBE5F1"/>
            <w:tcW w:w="1466" w:type="dxa"/>
            <w:vAlign w:val="top"/>
            <w:tcBorders>
              <w:bottom w:val="single" w:color="000000" w:sz="2" w:space="0"/>
              <w:top w:val="single" w:color="000000" w:sz="2" w:space="0"/>
            </w:tcBorders>
          </w:tcPr>
          <w:p>
            <w:pPr>
              <w:spacing w:before="5"/>
              <w:jc w:val="right"/>
              <w:rPr>
                <w:sz w:val="18"/>
                <w:szCs w:val="18"/>
              </w:rPr>
            </w:pPr>
            <w:r>
              <w:rPr>
                <w:rFonts w:ascii="Times New Roman" w:hAnsi="Times New Roman" w:eastAsia="Times New Roman" w:cs="Times New Roman"/>
                <w:sz w:val="18"/>
                <w:szCs w:val="18"/>
                <w:b/>
                <w:bCs/>
                <w:spacing w:val="-2"/>
              </w:rPr>
              <w:t>84,828</w:t>
            </w:r>
            <w:r>
              <w:rPr>
                <w:rFonts w:ascii="Times New Roman" w:hAnsi="Times New Roman" w:eastAsia="Times New Roman" w:cs="Times New Roman"/>
                <w:sz w:val="18"/>
                <w:szCs w:val="18"/>
                <w:b/>
                <w:bCs/>
                <w:spacing w:val="16"/>
              </w:rPr>
              <w:t xml:space="preserve"> </w:t>
            </w:r>
            <w:r>
              <w:rPr>
                <w:sz w:val="18"/>
                <w:szCs w:val="18"/>
                <w:position w:val="-11"/>
              </w:rPr>
              <w:drawing>
                <wp:inline distT="0" distB="0" distL="0" distR="0">
                  <wp:extent cx="36551" cy="247522"/>
                  <wp:effectExtent l="0" t="0" r="0" b="0"/>
                  <wp:docPr id="200" name="IM 200"/>
                  <wp:cNvGraphicFramePr/>
                  <a:graphic>
                    <a:graphicData uri="http://schemas.openxmlformats.org/drawingml/2006/picture">
                      <pic:pic>
                        <pic:nvPicPr>
                          <pic:cNvPr id="200" name="IM 200"/>
                          <pic:cNvPicPr/>
                        </pic:nvPicPr>
                        <pic:blipFill>
                          <a:blip r:embed="rId103"/>
                          <a:stretch>
                            <a:fillRect/>
                          </a:stretch>
                        </pic:blipFill>
                        <pic:spPr>
                          <a:xfrm rot="0">
                            <a:off x="0" y="0"/>
                            <a:ext cx="36551" cy="247522"/>
                          </a:xfrm>
                          <a:prstGeom prst="rect">
                            <a:avLst/>
                          </a:prstGeom>
                        </pic:spPr>
                      </pic:pic>
                    </a:graphicData>
                  </a:graphic>
                </wp:inline>
              </w:drawing>
            </w:r>
          </w:p>
        </w:tc>
        <w:tc>
          <w:tcPr>
            <w:shd w:val="clear" w:fill="DBE5F1"/>
            <w:tcW w:w="1829" w:type="dxa"/>
            <w:vAlign w:val="top"/>
            <w:gridSpan w:val="2"/>
            <w:tcBorders>
              <w:bottom w:val="single" w:color="000000" w:sz="2" w:space="0"/>
              <w:top w:val="single" w:color="000000" w:sz="2" w:space="0"/>
            </w:tcBorders>
          </w:tcPr>
          <w:p>
            <w:pPr>
              <w:ind w:left="1469"/>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3"/>
              </w:rPr>
              <w:t>1.16</w:t>
            </w:r>
          </w:p>
        </w:tc>
        <w:tc>
          <w:tcPr>
            <w:tcW w:w="2707" w:type="dxa"/>
            <w:vAlign w:val="top"/>
            <w:tcBorders>
              <w:bottom w:val="single" w:color="000000" w:sz="2" w:space="0"/>
              <w:top w:val="single" w:color="000000" w:sz="2" w:space="0"/>
            </w:tcBorders>
          </w:tcPr>
          <w:p>
            <w:pPr>
              <w:ind w:left="1357"/>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87,162</w:t>
            </w:r>
          </w:p>
        </w:tc>
        <w:tc>
          <w:tcPr>
            <w:tcW w:w="1234" w:type="dxa"/>
            <w:vAlign w:val="top"/>
            <w:tcBorders>
              <w:bottom w:val="single" w:color="000000" w:sz="2" w:space="0"/>
              <w:top w:val="single" w:color="000000" w:sz="2" w:space="0"/>
            </w:tcBorders>
          </w:tcPr>
          <w:p>
            <w:pPr>
              <w:ind w:left="886"/>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1.33</w:t>
            </w:r>
          </w:p>
        </w:tc>
      </w:tr>
    </w:tbl>
    <w:p>
      <w:pPr>
        <w:ind w:left="130" w:right="57" w:firstLine="418"/>
        <w:spacing w:before="263" w:line="267" w:lineRule="auto"/>
        <w:rPr>
          <w:rFonts w:ascii="SimSun" w:hAnsi="SimSun" w:eastAsia="SimSun" w:cs="SimSun"/>
          <w:sz w:val="21"/>
          <w:szCs w:val="21"/>
        </w:rPr>
      </w:pPr>
      <w:r>
        <w:rPr>
          <w:rFonts w:ascii="SimSun" w:hAnsi="SimSun" w:eastAsia="SimSun" w:cs="SimSun"/>
          <w:sz w:val="21"/>
          <w:szCs w:val="21"/>
          <w:spacing w:val="2"/>
        </w:rPr>
        <w:t>报告期末, 逾期贷款余额</w:t>
      </w:r>
      <w:r>
        <w:rPr>
          <w:rFonts w:ascii="SimSun" w:hAnsi="SimSun" w:eastAsia="SimSun" w:cs="SimSun"/>
          <w:sz w:val="21"/>
          <w:szCs w:val="21"/>
          <w:spacing w:val="-21"/>
        </w:rPr>
        <w:t xml:space="preserve"> </w:t>
      </w:r>
      <w:r>
        <w:rPr>
          <w:rFonts w:ascii="Times New Roman" w:hAnsi="Times New Roman" w:eastAsia="Times New Roman" w:cs="Times New Roman"/>
          <w:sz w:val="21"/>
          <w:szCs w:val="21"/>
          <w:spacing w:val="2"/>
        </w:rPr>
        <w:t>848.28 </w:t>
      </w:r>
      <w:r>
        <w:rPr>
          <w:rFonts w:ascii="SimSun" w:hAnsi="SimSun" w:eastAsia="SimSun" w:cs="SimSun"/>
          <w:sz w:val="21"/>
          <w:szCs w:val="21"/>
          <w:spacing w:val="2"/>
        </w:rPr>
        <w:t>亿元,</w:t>
      </w:r>
      <w:r>
        <w:rPr>
          <w:rFonts w:ascii="SimSun" w:hAnsi="SimSun" w:eastAsia="SimSun" w:cs="SimSun"/>
          <w:sz w:val="21"/>
          <w:szCs w:val="21"/>
          <w:spacing w:val="29"/>
        </w:rPr>
        <w:t xml:space="preserve"> </w:t>
      </w:r>
      <w:r>
        <w:rPr>
          <w:rFonts w:ascii="SimSun" w:hAnsi="SimSun" w:eastAsia="SimSun" w:cs="SimSun"/>
          <w:sz w:val="21"/>
          <w:szCs w:val="21"/>
          <w:spacing w:val="2"/>
        </w:rPr>
        <w:t>较上年末减少</w:t>
      </w:r>
      <w:r>
        <w:rPr>
          <w:rFonts w:ascii="SimSun" w:hAnsi="SimSun" w:eastAsia="SimSun" w:cs="SimSun"/>
          <w:sz w:val="21"/>
          <w:szCs w:val="21"/>
          <w:spacing w:val="-45"/>
        </w:rPr>
        <w:t xml:space="preserve"> </w:t>
      </w:r>
      <w:r>
        <w:rPr>
          <w:rFonts w:ascii="Times New Roman" w:hAnsi="Times New Roman" w:eastAsia="Times New Roman" w:cs="Times New Roman"/>
          <w:sz w:val="21"/>
          <w:szCs w:val="21"/>
          <w:spacing w:val="2"/>
        </w:rPr>
        <w:t>23.34 </w:t>
      </w:r>
      <w:r>
        <w:rPr>
          <w:rFonts w:ascii="SimSun" w:hAnsi="SimSun" w:eastAsia="SimSun" w:cs="SimSun"/>
          <w:sz w:val="21"/>
          <w:szCs w:val="21"/>
          <w:spacing w:val="2"/>
        </w:rPr>
        <w:t>亿元,逾期率</w:t>
      </w:r>
      <w:r>
        <w:rPr>
          <w:rFonts w:ascii="SimSun" w:hAnsi="SimSun" w:eastAsia="SimSun" w:cs="SimSun"/>
          <w:sz w:val="21"/>
          <w:szCs w:val="21"/>
          <w:spacing w:val="-26"/>
        </w:rPr>
        <w:t xml:space="preserve"> </w:t>
      </w:r>
      <w:r>
        <w:rPr>
          <w:rFonts w:ascii="Times New Roman" w:hAnsi="Times New Roman" w:eastAsia="Times New Roman" w:cs="Times New Roman"/>
          <w:sz w:val="21"/>
          <w:szCs w:val="21"/>
          <w:spacing w:val="2"/>
        </w:rPr>
        <w:t>1.16%</w:t>
      </w:r>
      <w:r>
        <w:rPr>
          <w:rFonts w:ascii="SimSun" w:hAnsi="SimSun" w:eastAsia="SimSun" w:cs="SimSun"/>
          <w:sz w:val="21"/>
          <w:szCs w:val="21"/>
          <w:spacing w:val="2"/>
        </w:rPr>
        <w:t>,较上年末下降</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2"/>
        </w:rPr>
        <w:t>0.17</w:t>
      </w:r>
      <w:r>
        <w:rPr>
          <w:rFonts w:ascii="Times New Roman" w:hAnsi="Times New Roman" w:eastAsia="Times New Roman" w:cs="Times New Roman"/>
          <w:sz w:val="21"/>
          <w:szCs w:val="21"/>
        </w:rPr>
        <w:t xml:space="preserve"> </w:t>
      </w:r>
      <w:r>
        <w:rPr>
          <w:rFonts w:ascii="SimSun" w:hAnsi="SimSun" w:eastAsia="SimSun" w:cs="SimSun"/>
          <w:sz w:val="21"/>
          <w:szCs w:val="21"/>
          <w:spacing w:val="-2"/>
        </w:rPr>
        <w:t>个百分点。其中逾期</w:t>
      </w:r>
      <w:r>
        <w:rPr>
          <w:rFonts w:ascii="SimSun" w:hAnsi="SimSun" w:eastAsia="SimSun" w:cs="SimSun"/>
          <w:sz w:val="21"/>
          <w:szCs w:val="21"/>
          <w:spacing w:val="-38"/>
        </w:rPr>
        <w:t xml:space="preserve"> </w:t>
      </w:r>
      <w:r>
        <w:rPr>
          <w:rFonts w:ascii="Times New Roman" w:hAnsi="Times New Roman" w:eastAsia="Times New Roman" w:cs="Times New Roman"/>
          <w:sz w:val="21"/>
          <w:szCs w:val="21"/>
          <w:spacing w:val="-2"/>
        </w:rPr>
        <w:t>90 </w:t>
      </w:r>
      <w:r>
        <w:rPr>
          <w:rFonts w:ascii="SimSun" w:hAnsi="SimSun" w:eastAsia="SimSun" w:cs="SimSun"/>
          <w:sz w:val="21"/>
          <w:szCs w:val="21"/>
          <w:spacing w:val="-2"/>
        </w:rPr>
        <w:t>天以上贷款余额</w:t>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2"/>
        </w:rPr>
        <w:t>570.91 </w:t>
      </w:r>
      <w:r>
        <w:rPr>
          <w:rFonts w:ascii="SimSun" w:hAnsi="SimSun" w:eastAsia="SimSun" w:cs="SimSun"/>
          <w:sz w:val="21"/>
          <w:szCs w:val="21"/>
          <w:spacing w:val="-2"/>
        </w:rPr>
        <w:t>亿元,</w:t>
      </w:r>
      <w:r>
        <w:rPr>
          <w:rFonts w:ascii="SimSun" w:hAnsi="SimSun" w:eastAsia="SimSun" w:cs="SimSun"/>
          <w:sz w:val="21"/>
          <w:szCs w:val="21"/>
          <w:spacing w:val="31"/>
        </w:rPr>
        <w:t xml:space="preserve"> </w:t>
      </w:r>
      <w:r>
        <w:rPr>
          <w:rFonts w:ascii="SimSun" w:hAnsi="SimSun" w:eastAsia="SimSun" w:cs="SimSun"/>
          <w:sz w:val="21"/>
          <w:szCs w:val="21"/>
          <w:spacing w:val="-2"/>
        </w:rPr>
        <w:t>较上年末减少</w:t>
      </w:r>
      <w:r>
        <w:rPr>
          <w:rFonts w:ascii="SimSun" w:hAnsi="SimSun" w:eastAsia="SimSun" w:cs="SimSun"/>
          <w:sz w:val="21"/>
          <w:szCs w:val="21"/>
          <w:spacing w:val="-43"/>
        </w:rPr>
        <w:t xml:space="preserve"> </w:t>
      </w:r>
      <w:r>
        <w:rPr>
          <w:rFonts w:ascii="Times New Roman" w:hAnsi="Times New Roman" w:eastAsia="Times New Roman" w:cs="Times New Roman"/>
          <w:sz w:val="21"/>
          <w:szCs w:val="21"/>
          <w:spacing w:val="-2"/>
        </w:rPr>
        <w:t>69.07 </w:t>
      </w:r>
      <w:r>
        <w:rPr>
          <w:rFonts w:ascii="SimSun" w:hAnsi="SimSun" w:eastAsia="SimSun" w:cs="SimSun"/>
          <w:sz w:val="21"/>
          <w:szCs w:val="21"/>
          <w:spacing w:val="-2"/>
        </w:rPr>
        <w:t>亿元。</w:t>
      </w:r>
    </w:p>
    <w:p>
      <w:pPr>
        <w:pStyle w:val="BodyText"/>
        <w:spacing w:line="241" w:lineRule="auto"/>
        <w:rPr/>
      </w:pPr>
      <w:r/>
    </w:p>
    <w:p>
      <w:pPr>
        <w:ind w:left="554"/>
        <w:spacing w:before="69" w:line="221" w:lineRule="auto"/>
        <w:rPr>
          <w:rFonts w:ascii="SimSun" w:hAnsi="SimSun" w:eastAsia="SimSun" w:cs="SimSun"/>
          <w:sz w:val="21"/>
          <w:szCs w:val="21"/>
        </w:rPr>
      </w:pPr>
      <w:r>
        <w:rPr>
          <w:rFonts w:ascii="SimSun" w:hAnsi="SimSun" w:eastAsia="SimSun" w:cs="SimSun"/>
          <w:sz w:val="21"/>
          <w:szCs w:val="21"/>
          <w:b/>
          <w:bCs/>
          <w:spacing w:val="-4"/>
        </w:rPr>
        <w:t>重组贷款</w:t>
      </w:r>
    </w:p>
    <w:p>
      <w:pPr>
        <w:pStyle w:val="BodyText"/>
        <w:spacing w:line="274" w:lineRule="auto"/>
        <w:rPr/>
      </w:pPr>
      <w:r/>
    </w:p>
    <w:p>
      <w:pPr>
        <w:ind w:left="7164"/>
        <w:spacing w:before="59" w:line="217" w:lineRule="auto"/>
        <w:rPr>
          <w:rFonts w:ascii="SimSun" w:hAnsi="SimSun" w:eastAsia="SimSun" w:cs="SimSun"/>
          <w:sz w:val="18"/>
          <w:szCs w:val="18"/>
        </w:rPr>
      </w:pPr>
      <w:r>
        <w:rPr>
          <w:rFonts w:ascii="SimSun" w:hAnsi="SimSun" w:eastAsia="SimSun" w:cs="SimSun"/>
          <w:sz w:val="18"/>
          <w:szCs w:val="18"/>
          <w:spacing w:val="6"/>
        </w:rPr>
        <w:t>(除另有标明外,人民币百万元)</w:t>
      </w:r>
    </w:p>
    <w:p>
      <w:pPr>
        <w:spacing w:line="15" w:lineRule="exact"/>
        <w:rPr/>
      </w:pPr>
      <w:r/>
    </w:p>
    <w:tbl>
      <w:tblPr>
        <w:tblStyle w:val="TableNormal"/>
        <w:tblW w:w="9820"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503"/>
        <w:gridCol w:w="503"/>
        <w:gridCol w:w="987"/>
        <w:gridCol w:w="1874"/>
        <w:gridCol w:w="1018"/>
        <w:gridCol w:w="1109"/>
        <w:gridCol w:w="1309"/>
        <w:gridCol w:w="1517"/>
      </w:tblGrid>
      <w:tr>
        <w:trPr>
          <w:trHeight w:val="331" w:hRule="atLeast"/>
        </w:trPr>
        <w:tc>
          <w:tcPr>
            <w:tcW w:w="2993" w:type="dxa"/>
            <w:vAlign w:val="top"/>
            <w:gridSpan w:val="3"/>
            <w:vMerge w:val="restart"/>
            <w:tcBorders>
              <w:bottom w:val="nil"/>
              <w:top w:val="single" w:color="000000" w:sz="2" w:space="0"/>
            </w:tcBorders>
          </w:tcPr>
          <w:p>
            <w:pPr>
              <w:rPr>
                <w:rFonts w:ascii="Arial"/>
                <w:sz w:val="21"/>
              </w:rPr>
            </w:pPr>
            <w:r/>
          </w:p>
        </w:tc>
        <w:tc>
          <w:tcPr>
            <w:tcW w:w="4001" w:type="dxa"/>
            <w:vAlign w:val="top"/>
            <w:gridSpan w:val="3"/>
            <w:tcBorders>
              <w:top w:val="single" w:color="DBE5F1" w:sz="12" w:space="0"/>
            </w:tcBorders>
          </w:tcPr>
          <w:p>
            <w:pPr>
              <w:pStyle w:val="TableText"/>
              <w:spacing w:before="10" w:line="281" w:lineRule="exact"/>
              <w:rPr/>
            </w:pPr>
            <w:r>
              <w:rPr>
                <w:position w:val="-5"/>
              </w:rPr>
              <w:pict>
                <v:shape id="_x0000_s546" style="mso-position-vertical-relative:line;mso-position-horizontal-relative:char;width:169.25pt;height:14.05pt;" fillcolor="#DBE5F1" filled="true" stroked="false" type="#_x0000_t202">
                  <v:fill on="true"/>
                  <v:stroke on="false"/>
                  <v:path/>
                  <v:imagedata o:title=""/>
                  <o:lock v:ext="edit" aspectratio="false"/>
                  <v:textbox inset="0mm,0mm,0mm,0mm">
                    <w:txbxContent>
                      <w:p>
                        <w:pPr>
                          <w:ind w:left="952"/>
                          <w:spacing w:before="68" w:line="220" w:lineRule="auto"/>
                          <w:rPr>
                            <w:rFonts w:ascii="SimSun" w:hAnsi="SimSun" w:eastAsia="SimSun" w:cs="SimSun"/>
                            <w:sz w:val="18"/>
                            <w:szCs w:val="18"/>
                          </w:rPr>
                        </w:pPr>
                        <w:r>
                          <w:rPr>
                            <w:rFonts w:ascii="Times New Roman" w:hAnsi="Times New Roman" w:eastAsia="Times New Roman" w:cs="Times New Roman"/>
                            <w:sz w:val="18"/>
                            <w:szCs w:val="18"/>
                            <w:b/>
                            <w:bCs/>
                            <w:spacing w:val="-3"/>
                          </w:rPr>
                          <w:t>2022 </w:t>
                        </w:r>
                        <w:r>
                          <w:rPr>
                            <w:rFonts w:ascii="SimSun" w:hAnsi="SimSun" w:eastAsia="SimSun" w:cs="SimSun"/>
                            <w:sz w:val="18"/>
                            <w:szCs w:val="18"/>
                            <w:b/>
                            <w:bCs/>
                            <w:spacing w:val="-3"/>
                          </w:rPr>
                          <w:t>年</w:t>
                        </w:r>
                        <w:r>
                          <w:rPr>
                            <w:rFonts w:ascii="SimSun" w:hAnsi="SimSun" w:eastAsia="SimSun" w:cs="SimSun"/>
                            <w:sz w:val="18"/>
                            <w:szCs w:val="18"/>
                            <w:spacing w:val="-33"/>
                          </w:rPr>
                          <w:t xml:space="preserve"> </w:t>
                        </w:r>
                        <w:r>
                          <w:rPr>
                            <w:rFonts w:ascii="Times New Roman" w:hAnsi="Times New Roman" w:eastAsia="Times New Roman" w:cs="Times New Roman"/>
                            <w:sz w:val="18"/>
                            <w:szCs w:val="18"/>
                            <w:b/>
                            <w:bCs/>
                            <w:spacing w:val="-3"/>
                          </w:rPr>
                          <w:t>12</w:t>
                        </w:r>
                        <w:r>
                          <w:rPr>
                            <w:rFonts w:ascii="Times New Roman" w:hAnsi="Times New Roman" w:eastAsia="Times New Roman" w:cs="Times New Roman"/>
                            <w:sz w:val="18"/>
                            <w:szCs w:val="18"/>
                            <w:b/>
                            <w:bCs/>
                            <w:spacing w:val="11"/>
                            <w:w w:val="101"/>
                          </w:rPr>
                          <w:t xml:space="preserve"> </w:t>
                        </w:r>
                        <w:r>
                          <w:rPr>
                            <w:rFonts w:ascii="SimSun" w:hAnsi="SimSun" w:eastAsia="SimSun" w:cs="SimSun"/>
                            <w:sz w:val="18"/>
                            <w:szCs w:val="18"/>
                            <w:b/>
                            <w:bCs/>
                            <w:spacing w:val="-3"/>
                          </w:rPr>
                          <w:t>月</w:t>
                        </w:r>
                        <w:r>
                          <w:rPr>
                            <w:rFonts w:ascii="SimSun" w:hAnsi="SimSun" w:eastAsia="SimSun" w:cs="SimSun"/>
                            <w:sz w:val="18"/>
                            <w:szCs w:val="18"/>
                            <w:spacing w:val="-42"/>
                          </w:rPr>
                          <w:t xml:space="preserve"> </w:t>
                        </w:r>
                        <w:r>
                          <w:rPr>
                            <w:rFonts w:ascii="Times New Roman" w:hAnsi="Times New Roman" w:eastAsia="Times New Roman" w:cs="Times New Roman"/>
                            <w:sz w:val="18"/>
                            <w:szCs w:val="18"/>
                            <w:b/>
                            <w:bCs/>
                            <w:spacing w:val="-3"/>
                          </w:rPr>
                          <w:t>31  </w:t>
                        </w:r>
                        <w:r>
                          <w:rPr>
                            <w:rFonts w:ascii="SimSun" w:hAnsi="SimSun" w:eastAsia="SimSun" w:cs="SimSun"/>
                            <w:sz w:val="18"/>
                            <w:szCs w:val="18"/>
                            <w:b/>
                            <w:bCs/>
                            <w:spacing w:val="-3"/>
                          </w:rPr>
                          <w:t>日</w:t>
                        </w:r>
                      </w:p>
                    </w:txbxContent>
                  </v:textbox>
                </v:shape>
              </w:pict>
            </w:r>
          </w:p>
        </w:tc>
        <w:tc>
          <w:tcPr>
            <w:tcW w:w="2826" w:type="dxa"/>
            <w:vAlign w:val="top"/>
            <w:gridSpan w:val="2"/>
            <w:tcBorders>
              <w:top w:val="single" w:color="DBE5F1" w:sz="12" w:space="0"/>
            </w:tcBorders>
          </w:tcPr>
          <w:p>
            <w:pPr>
              <w:pStyle w:val="TableText"/>
              <w:ind w:left="335"/>
              <w:spacing w:before="79" w:line="220" w:lineRule="auto"/>
              <w:rPr>
                <w:sz w:val="18"/>
                <w:szCs w:val="18"/>
              </w:rPr>
            </w:pPr>
            <w:r>
              <w:rPr>
                <w:rFonts w:ascii="Times New Roman" w:hAnsi="Times New Roman" w:eastAsia="Times New Roman" w:cs="Times New Roman"/>
                <w:sz w:val="18"/>
                <w:szCs w:val="18"/>
                <w:spacing w:val="-5"/>
              </w:rPr>
              <w:t>2021</w:t>
            </w:r>
            <w:r>
              <w:rPr>
                <w:rFonts w:ascii="Times New Roman" w:hAnsi="Times New Roman" w:eastAsia="Times New Roman" w:cs="Times New Roman"/>
                <w:sz w:val="18"/>
                <w:szCs w:val="18"/>
                <w:spacing w:val="11"/>
              </w:rPr>
              <w:t xml:space="preserve"> </w:t>
            </w:r>
            <w:r>
              <w:rPr>
                <w:sz w:val="18"/>
                <w:szCs w:val="18"/>
                <w:spacing w:val="-5"/>
              </w:rPr>
              <w:t>年</w:t>
            </w:r>
            <w:r>
              <w:rPr>
                <w:sz w:val="18"/>
                <w:szCs w:val="18"/>
                <w:spacing w:val="-26"/>
              </w:rPr>
              <w:t xml:space="preserve"> </w:t>
            </w:r>
            <w:r>
              <w:rPr>
                <w:rFonts w:ascii="Times New Roman" w:hAnsi="Times New Roman" w:eastAsia="Times New Roman" w:cs="Times New Roman"/>
                <w:sz w:val="18"/>
                <w:szCs w:val="18"/>
                <w:spacing w:val="-5"/>
              </w:rPr>
              <w:t>12</w:t>
            </w:r>
            <w:r>
              <w:rPr>
                <w:rFonts w:ascii="Times New Roman" w:hAnsi="Times New Roman" w:eastAsia="Times New Roman" w:cs="Times New Roman"/>
                <w:sz w:val="18"/>
                <w:szCs w:val="18"/>
                <w:spacing w:val="14"/>
              </w:rPr>
              <w:t xml:space="preserve"> </w:t>
            </w:r>
            <w:r>
              <w:rPr>
                <w:sz w:val="18"/>
                <w:szCs w:val="18"/>
                <w:spacing w:val="-5"/>
              </w:rPr>
              <w:t>月</w:t>
            </w:r>
            <w:r>
              <w:rPr>
                <w:sz w:val="18"/>
                <w:szCs w:val="18"/>
                <w:spacing w:val="-37"/>
              </w:rPr>
              <w:t xml:space="preserve"> </w:t>
            </w:r>
            <w:r>
              <w:rPr>
                <w:rFonts w:ascii="Times New Roman" w:hAnsi="Times New Roman" w:eastAsia="Times New Roman" w:cs="Times New Roman"/>
                <w:sz w:val="18"/>
                <w:szCs w:val="18"/>
                <w:spacing w:val="-5"/>
              </w:rPr>
              <w:t>31</w:t>
            </w:r>
            <w:r>
              <w:rPr>
                <w:rFonts w:ascii="Times New Roman" w:hAnsi="Times New Roman" w:eastAsia="Times New Roman" w:cs="Times New Roman"/>
                <w:sz w:val="18"/>
                <w:szCs w:val="18"/>
                <w:spacing w:val="39"/>
                <w:w w:val="101"/>
              </w:rPr>
              <w:t xml:space="preserve"> </w:t>
            </w:r>
            <w:r>
              <w:rPr>
                <w:sz w:val="18"/>
                <w:szCs w:val="18"/>
                <w:spacing w:val="-5"/>
              </w:rPr>
              <w:t>日</w:t>
            </w:r>
          </w:p>
        </w:tc>
      </w:tr>
      <w:tr>
        <w:trPr>
          <w:trHeight w:val="333" w:hRule="atLeast"/>
        </w:trPr>
        <w:tc>
          <w:tcPr>
            <w:tcW w:w="2993" w:type="dxa"/>
            <w:vAlign w:val="top"/>
            <w:gridSpan w:val="3"/>
            <w:vMerge w:val="continue"/>
            <w:tcBorders>
              <w:bottom w:val="single" w:color="000000" w:sz="2" w:space="0"/>
              <w:top w:val="nil"/>
            </w:tcBorders>
          </w:tcPr>
          <w:p>
            <w:pPr>
              <w:rPr>
                <w:rFonts w:ascii="Arial"/>
                <w:sz w:val="21"/>
              </w:rPr>
            </w:pPr>
            <w:r/>
          </w:p>
        </w:tc>
        <w:tc>
          <w:tcPr>
            <w:tcW w:w="4001" w:type="dxa"/>
            <w:vAlign w:val="top"/>
            <w:gridSpan w:val="3"/>
            <w:tcBorders>
              <w:bottom w:val="single" w:color="000000" w:sz="2" w:space="0"/>
            </w:tcBorders>
          </w:tcPr>
          <w:p>
            <w:pPr>
              <w:pStyle w:val="TableText"/>
              <w:spacing w:before="30" w:line="278" w:lineRule="exact"/>
              <w:rPr/>
            </w:pPr>
            <w:r>
              <w:rPr>
                <w:position w:val="-5"/>
              </w:rPr>
              <w:pict>
                <v:shape id="_x0000_s548" style="mso-position-vertical-relative:line;mso-position-horizontal-relative:char;width:169.25pt;height:13.95pt;" fillcolor="#DBE5F1" filled="true" stroked="false" type="#_x0000_t202">
                  <v:fill on="true"/>
                  <v:stroke on="false"/>
                  <v:path/>
                  <v:imagedata o:title=""/>
                  <o:lock v:ext="edit" aspectratio="false"/>
                  <v:textbox inset="0mm,0mm,0mm,0mm">
                    <w:txbxContent>
                      <w:p>
                        <w:pPr>
                          <w:ind w:left="1230"/>
                          <w:spacing w:before="68" w:line="220" w:lineRule="auto"/>
                          <w:rPr>
                            <w:rFonts w:ascii="SimSun" w:hAnsi="SimSun" w:eastAsia="SimSun" w:cs="SimSun"/>
                            <w:sz w:val="18"/>
                            <w:szCs w:val="18"/>
                          </w:rPr>
                        </w:pPr>
                        <w:r>
                          <w:rPr>
                            <w:rFonts w:ascii="SimSun" w:hAnsi="SimSun" w:eastAsia="SimSun" w:cs="SimSun"/>
                            <w:sz w:val="18"/>
                            <w:szCs w:val="18"/>
                            <w:b/>
                            <w:bCs/>
                            <w:spacing w:val="7"/>
                          </w:rPr>
                          <w:t>金额</w:t>
                        </w:r>
                        <w:r>
                          <w:rPr>
                            <w:rFonts w:ascii="SimSun" w:hAnsi="SimSun" w:eastAsia="SimSun" w:cs="SimSun"/>
                            <w:sz w:val="18"/>
                            <w:szCs w:val="18"/>
                            <w:spacing w:val="1"/>
                          </w:rPr>
                          <w:t xml:space="preserve">         </w:t>
                        </w:r>
                        <w:r>
                          <w:rPr>
                            <w:rFonts w:ascii="SimSun" w:hAnsi="SimSun" w:eastAsia="SimSun" w:cs="SimSun"/>
                            <w:sz w:val="18"/>
                            <w:szCs w:val="18"/>
                            <w:b/>
                            <w:bCs/>
                            <w:spacing w:val="7"/>
                          </w:rPr>
                          <w:t>占比(</w:t>
                        </w:r>
                        <w:r>
                          <w:rPr>
                            <w:rFonts w:ascii="Times New Roman" w:hAnsi="Times New Roman" w:eastAsia="Times New Roman" w:cs="Times New Roman"/>
                            <w:sz w:val="18"/>
                            <w:szCs w:val="18"/>
                            <w:b/>
                            <w:bCs/>
                            <w:spacing w:val="7"/>
                          </w:rPr>
                          <w:t>%</w:t>
                        </w:r>
                        <w:r>
                          <w:rPr>
                            <w:rFonts w:ascii="SimSun" w:hAnsi="SimSun" w:eastAsia="SimSun" w:cs="SimSun"/>
                            <w:sz w:val="18"/>
                            <w:szCs w:val="18"/>
                            <w:b/>
                            <w:bCs/>
                            <w:spacing w:val="7"/>
                          </w:rPr>
                          <w:t>)</w:t>
                        </w:r>
                      </w:p>
                    </w:txbxContent>
                  </v:textbox>
                </v:shape>
              </w:pict>
            </w:r>
          </w:p>
        </w:tc>
        <w:tc>
          <w:tcPr>
            <w:tcW w:w="2826" w:type="dxa"/>
            <w:vAlign w:val="top"/>
            <w:gridSpan w:val="2"/>
            <w:tcBorders>
              <w:bottom w:val="single" w:color="000000" w:sz="2" w:space="0"/>
            </w:tcBorders>
          </w:tcPr>
          <w:p>
            <w:pPr>
              <w:pStyle w:val="TableText"/>
              <w:ind w:left="616"/>
              <w:spacing w:before="99" w:line="220" w:lineRule="auto"/>
              <w:rPr>
                <w:sz w:val="18"/>
                <w:szCs w:val="18"/>
              </w:rPr>
            </w:pPr>
            <w:r>
              <w:rPr>
                <w:sz w:val="18"/>
                <w:szCs w:val="18"/>
                <w:spacing w:val="6"/>
              </w:rPr>
              <w:t>金额         占比(</w:t>
            </w:r>
            <w:r>
              <w:rPr>
                <w:rFonts w:ascii="Times New Roman" w:hAnsi="Times New Roman" w:eastAsia="Times New Roman" w:cs="Times New Roman"/>
                <w:sz w:val="18"/>
                <w:szCs w:val="18"/>
                <w:spacing w:val="6"/>
              </w:rPr>
              <w:t>%</w:t>
            </w:r>
            <w:r>
              <w:rPr>
                <w:sz w:val="18"/>
                <w:szCs w:val="18"/>
                <w:spacing w:val="6"/>
              </w:rPr>
              <w:t>)</w:t>
            </w:r>
          </w:p>
        </w:tc>
      </w:tr>
      <w:tr>
        <w:trPr>
          <w:trHeight w:val="338" w:hRule="atLeast"/>
        </w:trPr>
        <w:tc>
          <w:tcPr>
            <w:tcW w:w="2993" w:type="dxa"/>
            <w:vAlign w:val="top"/>
            <w:gridSpan w:val="3"/>
            <w:tcBorders>
              <w:bottom w:val="single" w:color="000000" w:sz="2" w:space="0"/>
              <w:top w:val="single" w:color="000000" w:sz="2" w:space="0"/>
            </w:tcBorders>
          </w:tcPr>
          <w:p>
            <w:pPr>
              <w:pStyle w:val="TableText"/>
              <w:ind w:left="130"/>
              <w:spacing w:before="75" w:line="220" w:lineRule="auto"/>
              <w:rPr>
                <w:sz w:val="18"/>
                <w:szCs w:val="18"/>
              </w:rPr>
            </w:pPr>
            <w:r>
              <w:rPr>
                <w:sz w:val="18"/>
                <w:szCs w:val="18"/>
                <w:spacing w:val="-2"/>
              </w:rPr>
              <w:t>重组贷款</w:t>
            </w:r>
          </w:p>
        </w:tc>
        <w:tc>
          <w:tcPr>
            <w:tcW w:w="4001" w:type="dxa"/>
            <w:vAlign w:val="top"/>
            <w:gridSpan w:val="3"/>
            <w:tcBorders>
              <w:bottom w:val="single" w:color="000000" w:sz="2" w:space="0"/>
              <w:top w:val="single" w:color="DBE5F1" w:sz="2" w:space="0"/>
            </w:tcBorders>
          </w:tcPr>
          <w:p>
            <w:pPr>
              <w:spacing w:before="25" w:line="302" w:lineRule="exact"/>
              <w:rPr/>
            </w:pPr>
            <w:r>
              <w:rPr>
                <w:position w:val="-7"/>
              </w:rPr>
              <w:pict>
                <v:shape id="_x0000_s550" style="mso-position-vertical-relative:line;mso-position-horizontal-relative:char;width:169.25pt;height:15.65pt;" fillcolor="#DBE5F1" filled="true" stroked="false" type="#_x0000_t202">
                  <v:fill on="true"/>
                  <v:stroke on="false"/>
                  <v:path/>
                  <v:imagedata o:title=""/>
                  <o:lock v:ext="edit" aspectratio="false"/>
                  <v:textbox inset="0mm,0mm,0mm,0mm">
                    <w:txbxContent>
                      <w:p>
                        <w:pPr>
                          <w:ind w:left="1101"/>
                          <w:spacing w:before="10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13,660                               0.19</w:t>
                        </w:r>
                      </w:p>
                    </w:txbxContent>
                  </v:textbox>
                </v:shape>
              </w:pict>
            </w:r>
          </w:p>
        </w:tc>
        <w:tc>
          <w:tcPr>
            <w:tcW w:w="2826" w:type="dxa"/>
            <w:vAlign w:val="top"/>
            <w:gridSpan w:val="2"/>
            <w:tcBorders>
              <w:bottom w:val="single" w:color="000000" w:sz="2" w:space="0"/>
              <w:top w:val="single" w:color="DBE5F1" w:sz="2" w:space="0"/>
            </w:tcBorders>
          </w:tcPr>
          <w:p>
            <w:pPr>
              <w:ind w:left="573"/>
              <w:spacing w:before="12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8,792                               0.13</w:t>
            </w:r>
          </w:p>
        </w:tc>
      </w:tr>
      <w:tr>
        <w:trPr>
          <w:trHeight w:val="325" w:hRule="atLeast"/>
        </w:trPr>
        <w:tc>
          <w:tcPr>
            <w:tcW w:w="2993" w:type="dxa"/>
            <w:vAlign w:val="top"/>
            <w:gridSpan w:val="3"/>
            <w:tcBorders>
              <w:bottom w:val="single" w:color="000000" w:sz="2" w:space="0"/>
              <w:top w:val="single" w:color="000000" w:sz="2" w:space="0"/>
            </w:tcBorders>
          </w:tcPr>
          <w:p>
            <w:pPr>
              <w:pStyle w:val="TableText"/>
              <w:ind w:left="130"/>
              <w:spacing w:before="82" w:line="220" w:lineRule="auto"/>
              <w:rPr>
                <w:sz w:val="18"/>
                <w:szCs w:val="18"/>
              </w:rPr>
            </w:pPr>
            <w:r>
              <w:rPr>
                <w:sz w:val="18"/>
                <w:szCs w:val="18"/>
                <w:spacing w:val="5"/>
              </w:rPr>
              <w:t>其中:逾期超过三个月的重组贷款</w:t>
            </w:r>
          </w:p>
        </w:tc>
        <w:tc>
          <w:tcPr>
            <w:tcW w:w="4001" w:type="dxa"/>
            <w:vAlign w:val="top"/>
            <w:gridSpan w:val="3"/>
            <w:tcBorders>
              <w:bottom w:val="single" w:color="000000" w:sz="2" w:space="0"/>
              <w:top w:val="single" w:color="000000" w:sz="2" w:space="0"/>
            </w:tcBorders>
          </w:tcPr>
          <w:p>
            <w:pPr>
              <w:spacing w:before="33" w:line="282" w:lineRule="exact"/>
              <w:rPr/>
            </w:pPr>
            <w:r>
              <w:rPr>
                <w:position w:val="-8"/>
              </w:rPr>
              <w:pict>
                <v:shape id="_x0000_s552" style="mso-position-vertical-relative:line;mso-position-horizontal-relative:char;width:169.25pt;height:15.65pt;" fillcolor="#DBE5F1" filled="true" stroked="false" type="#_x0000_t202">
                  <v:fill on="true"/>
                  <v:stroke on="false"/>
                  <v:path/>
                  <v:imagedata o:title=""/>
                  <o:lock v:ext="edit" aspectratio="false"/>
                  <v:textbox inset="0mm,0mm,0mm,0mm">
                    <w:txbxContent>
                      <w:p>
                        <w:pPr>
                          <w:ind w:left="1190"/>
                          <w:spacing w:before="10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1,533                               0.02</w:t>
                        </w:r>
                      </w:p>
                    </w:txbxContent>
                  </v:textbox>
                </v:shape>
              </w:pict>
            </w:r>
          </w:p>
        </w:tc>
        <w:tc>
          <w:tcPr>
            <w:tcW w:w="2826" w:type="dxa"/>
            <w:vAlign w:val="top"/>
            <w:gridSpan w:val="2"/>
            <w:tcBorders>
              <w:bottom w:val="single" w:color="000000" w:sz="2" w:space="0"/>
              <w:top w:val="single" w:color="000000" w:sz="2" w:space="0"/>
            </w:tcBorders>
          </w:tcPr>
          <w:p>
            <w:pPr>
              <w:ind w:left="583"/>
              <w:spacing w:before="13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1,625</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spacing w:val="-3"/>
              </w:rPr>
              <w:t>0.02</w:t>
            </w:r>
          </w:p>
        </w:tc>
      </w:tr>
      <w:tr>
        <w:trPr>
          <w:trHeight w:val="734" w:hRule="atLeast"/>
        </w:trPr>
        <w:tc>
          <w:tcPr>
            <w:tcW w:w="9820" w:type="dxa"/>
            <w:vAlign w:val="top"/>
            <w:gridSpan w:val="8"/>
            <w:tcBorders>
              <w:bottom w:val="single" w:color="000000" w:sz="2" w:space="0"/>
              <w:top w:val="single" w:color="000000" w:sz="2" w:space="0"/>
            </w:tcBorders>
          </w:tcPr>
          <w:p>
            <w:pPr>
              <w:pStyle w:val="TableText"/>
              <w:ind w:left="550"/>
              <w:spacing w:before="306" w:line="221" w:lineRule="auto"/>
              <w:rPr/>
            </w:pPr>
            <w:r>
              <w:rPr>
                <w:b/>
                <w:bCs/>
                <w:spacing w:val="-3"/>
              </w:rPr>
              <w:t>贷款迁徙率</w:t>
            </w:r>
          </w:p>
        </w:tc>
      </w:tr>
      <w:tr>
        <w:trPr>
          <w:trHeight w:val="403" w:hRule="atLeast"/>
        </w:trPr>
        <w:tc>
          <w:tcPr>
            <w:tcW w:w="1503" w:type="dxa"/>
            <w:vAlign w:val="top"/>
            <w:tcBorders>
              <w:bottom w:val="single" w:color="000000" w:sz="2" w:space="0"/>
              <w:top w:val="single" w:color="000000" w:sz="2" w:space="0"/>
            </w:tcBorders>
          </w:tcPr>
          <w:p>
            <w:pPr>
              <w:pStyle w:val="TableText"/>
              <w:ind w:left="224"/>
              <w:spacing w:before="156" w:line="223" w:lineRule="auto"/>
              <w:rPr>
                <w:sz w:val="18"/>
                <w:szCs w:val="18"/>
              </w:rPr>
            </w:pPr>
            <w:r>
              <w:rPr>
                <w:sz w:val="18"/>
                <w:szCs w:val="18"/>
              </w:rPr>
              <w:t>(</w:t>
            </w:r>
            <w:r>
              <w:rPr>
                <w:rFonts w:ascii="Times New Roman" w:hAnsi="Times New Roman" w:eastAsia="Times New Roman" w:cs="Times New Roman"/>
                <w:sz w:val="18"/>
                <w:szCs w:val="18"/>
              </w:rPr>
              <w:t>%</w:t>
            </w:r>
            <w:r>
              <w:rPr>
                <w:sz w:val="18"/>
                <w:szCs w:val="18"/>
              </w:rPr>
              <w:t>)</w:t>
            </w:r>
          </w:p>
        </w:tc>
        <w:tc>
          <w:tcPr>
            <w:tcW w:w="1490" w:type="dxa"/>
            <w:vAlign w:val="top"/>
            <w:gridSpan w:val="2"/>
            <w:tcBorders>
              <w:bottom w:val="single" w:color="000000" w:sz="2" w:space="0"/>
              <w:top w:val="single" w:color="000000" w:sz="2" w:space="0"/>
            </w:tcBorders>
          </w:tcPr>
          <w:p>
            <w:pPr>
              <w:rPr>
                <w:rFonts w:ascii="Arial"/>
                <w:sz w:val="21"/>
              </w:rPr>
            </w:pPr>
            <w:r>
              <w:pict>
                <v:rect id="_x0000_s554" style="position:absolute;margin-left:-27.11pt;margin-top:1.49002pt;mso-position-vertical-relative:top-margin-area;mso-position-horizontal-relative:right-margin-area;width:2.9pt;height:19.7pt;z-index:251949056;" fillcolor="#DBE5F1" filled="true" stroked="false"/>
              </w:pict>
            </w:r>
            <w:r/>
          </w:p>
        </w:tc>
        <w:tc>
          <w:tcPr>
            <w:tcW w:w="1874" w:type="dxa"/>
            <w:vAlign w:val="top"/>
            <w:tcBorders>
              <w:bottom w:val="single" w:color="000000" w:sz="2" w:space="0"/>
              <w:top w:val="single" w:color="000000" w:sz="2" w:space="0"/>
            </w:tcBorders>
          </w:tcPr>
          <w:p>
            <w:pPr>
              <w:pStyle w:val="TableText"/>
              <w:spacing w:before="156" w:line="220" w:lineRule="auto"/>
              <w:jc w:val="right"/>
              <w:rPr>
                <w:sz w:val="18"/>
                <w:szCs w:val="18"/>
              </w:rPr>
            </w:pPr>
            <w:r>
              <mc:AlternateContent xmlns:mc="http://schemas.openxmlformats.org/markup-compatibility/2006">
                <mc:Choice Requires="wps">
                  <w:drawing>
                    <wp:anchor distT="0" distB="0" distL="0" distR="0" simplePos="0" relativeHeight="251943936" behindDoc="1" locked="0" layoutInCell="1" allowOverlap="1">
                      <wp:simplePos x="0" y="0"/>
                      <wp:positionH relativeFrom="column">
                        <wp:posOffset>-307720</wp:posOffset>
                      </wp:positionH>
                      <wp:positionV relativeFrom="paragraph">
                        <wp:posOffset>19082</wp:posOffset>
                      </wp:positionV>
                      <wp:extent cx="1498600" cy="250190"/>
                      <wp:effectExtent l="0" t="0" r="0" b="0"/>
                      <wp:wrapNone/>
                      <wp:docPr id="202" name="Rect 202"/>
                      <wp:cNvGraphicFramePr/>
                      <a:graphic>
                        <a:graphicData uri="http://schemas.microsoft.com/office/word/2010/wordprocessingShape">
                          <wps:wsp>
                            <wps:cNvPr id="202" name="Rect 202"/>
                            <wps:cNvSpPr/>
                            <wps:spPr>
                              <a:xfrm>
                                <a:off x="-307720" y="19082"/>
                                <a:ext cx="1498600" cy="250190"/>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556" style="position:absolute;margin-left:-24.23pt;margin-top:1.50256pt;mso-position-vertical-relative:text;mso-position-horizontal-relative:text;width:118pt;height:19.7pt;z-index:-251372544;" fillcolor="#DBE5F1" filled="true" stroked="false"/>
                  </w:pict>
                </mc:Fallback>
              </mc:AlternateContent>
            </w:r>
            <w:r>
              <w:rPr>
                <w:rFonts w:ascii="Times New Roman" w:hAnsi="Times New Roman" w:eastAsia="Times New Roman" w:cs="Times New Roman"/>
                <w:sz w:val="18"/>
                <w:szCs w:val="18"/>
                <w:b/>
                <w:bCs/>
                <w:spacing w:val="-3"/>
              </w:rPr>
              <w:t>2022</w:t>
            </w:r>
            <w:r>
              <w:rPr>
                <w:rFonts w:ascii="Times New Roman" w:hAnsi="Times New Roman" w:eastAsia="Times New Roman" w:cs="Times New Roman"/>
                <w:sz w:val="18"/>
                <w:szCs w:val="18"/>
                <w:b/>
                <w:bCs/>
                <w:spacing w:val="8"/>
              </w:rPr>
              <w:t xml:space="preserve"> </w:t>
            </w:r>
            <w:r>
              <w:rPr>
                <w:sz w:val="18"/>
                <w:szCs w:val="18"/>
                <w:b/>
                <w:bCs/>
                <w:spacing w:val="-3"/>
              </w:rPr>
              <w:t>年</w:t>
            </w:r>
          </w:p>
        </w:tc>
        <w:tc>
          <w:tcPr>
            <w:tcW w:w="1018" w:type="dxa"/>
            <w:vAlign w:val="top"/>
            <w:tcBorders>
              <w:bottom w:val="single" w:color="000000" w:sz="2" w:space="0"/>
              <w:top w:val="single" w:color="000000" w:sz="2" w:space="0"/>
            </w:tcBorders>
          </w:tcPr>
          <w:p>
            <w:pPr>
              <w:ind w:firstLine="1"/>
              <w:spacing w:before="29" w:line="363" w:lineRule="exact"/>
              <w:rPr/>
            </w:pPr>
            <w:r>
              <w:rPr>
                <w:position w:val="-10"/>
              </w:rPr>
              <w:pict>
                <v:shape id="_x0000_s558" style="mso-position-vertical-relative:line;mso-position-horizontal-relative:char;width:2.8pt;height:19.7pt;" fillcolor="#DBE5F1" filled="true" stroked="false" coordsize="55,394" coordorigin="0,0" path="m0,393l55,393l55,0l0,0l0,393xe"/>
              </w:pict>
            </w:r>
          </w:p>
        </w:tc>
        <w:tc>
          <w:tcPr>
            <w:tcW w:w="2418" w:type="dxa"/>
            <w:vAlign w:val="top"/>
            <w:gridSpan w:val="2"/>
            <w:tcBorders>
              <w:bottom w:val="single" w:color="000000" w:sz="2" w:space="0"/>
              <w:top w:val="single" w:color="000000" w:sz="2" w:space="0"/>
            </w:tcBorders>
          </w:tcPr>
          <w:p>
            <w:pPr>
              <w:pStyle w:val="TableText"/>
              <w:ind w:left="962"/>
              <w:spacing w:before="156" w:line="220" w:lineRule="auto"/>
              <w:rPr>
                <w:sz w:val="18"/>
                <w:szCs w:val="18"/>
              </w:rPr>
            </w:pPr>
            <w:r>
              <w:rPr>
                <w:rFonts w:ascii="Times New Roman" w:hAnsi="Times New Roman" w:eastAsia="Times New Roman" w:cs="Times New Roman"/>
                <w:sz w:val="18"/>
                <w:szCs w:val="18"/>
                <w:spacing w:val="-1"/>
              </w:rPr>
              <w:t>2021</w:t>
            </w:r>
            <w:r>
              <w:rPr>
                <w:rFonts w:ascii="Times New Roman" w:hAnsi="Times New Roman" w:eastAsia="Times New Roman" w:cs="Times New Roman"/>
                <w:sz w:val="18"/>
                <w:szCs w:val="18"/>
                <w:spacing w:val="10"/>
              </w:rPr>
              <w:t xml:space="preserve"> </w:t>
            </w:r>
            <w:r>
              <w:rPr>
                <w:sz w:val="18"/>
                <w:szCs w:val="18"/>
                <w:spacing w:val="-1"/>
              </w:rPr>
              <w:t>年</w:t>
            </w:r>
          </w:p>
        </w:tc>
        <w:tc>
          <w:tcPr>
            <w:tcW w:w="1517" w:type="dxa"/>
            <w:vAlign w:val="top"/>
            <w:tcBorders>
              <w:bottom w:val="single" w:color="000000" w:sz="2" w:space="0"/>
              <w:top w:val="single" w:color="000000" w:sz="2" w:space="0"/>
            </w:tcBorders>
          </w:tcPr>
          <w:p>
            <w:pPr>
              <w:pStyle w:val="TableText"/>
              <w:ind w:left="880"/>
              <w:spacing w:before="156" w:line="220" w:lineRule="auto"/>
              <w:rPr>
                <w:sz w:val="18"/>
                <w:szCs w:val="18"/>
              </w:rPr>
            </w:pPr>
            <w:r>
              <w:rPr>
                <w:rFonts w:ascii="Times New Roman" w:hAnsi="Times New Roman" w:eastAsia="Times New Roman" w:cs="Times New Roman"/>
                <w:sz w:val="18"/>
                <w:szCs w:val="18"/>
                <w:spacing w:val="-1"/>
              </w:rPr>
              <w:t>2020</w:t>
            </w:r>
            <w:r>
              <w:rPr>
                <w:rFonts w:ascii="Times New Roman" w:hAnsi="Times New Roman" w:eastAsia="Times New Roman" w:cs="Times New Roman"/>
                <w:sz w:val="18"/>
                <w:szCs w:val="18"/>
                <w:spacing w:val="10"/>
              </w:rPr>
              <w:t xml:space="preserve"> </w:t>
            </w:r>
            <w:r>
              <w:rPr>
                <w:sz w:val="18"/>
                <w:szCs w:val="18"/>
                <w:spacing w:val="-1"/>
              </w:rPr>
              <w:t>年</w:t>
            </w:r>
          </w:p>
        </w:tc>
      </w:tr>
      <w:tr>
        <w:trPr>
          <w:trHeight w:val="404" w:hRule="atLeast"/>
        </w:trPr>
        <w:tc>
          <w:tcPr>
            <w:tcW w:w="2006" w:type="dxa"/>
            <w:vAlign w:val="top"/>
            <w:gridSpan w:val="2"/>
            <w:tcBorders>
              <w:bottom w:val="single" w:color="000000" w:sz="2" w:space="0"/>
              <w:top w:val="single" w:color="000000" w:sz="2" w:space="0"/>
            </w:tcBorders>
          </w:tcPr>
          <w:p>
            <w:pPr>
              <w:pStyle w:val="TableText"/>
              <w:ind w:left="133"/>
              <w:spacing w:before="152" w:line="220" w:lineRule="auto"/>
              <w:rPr>
                <w:sz w:val="18"/>
                <w:szCs w:val="18"/>
              </w:rPr>
            </w:pPr>
            <w:r>
              <w:rPr>
                <w:sz w:val="18"/>
                <w:szCs w:val="18"/>
                <w:spacing w:val="-2"/>
              </w:rPr>
              <w:t>正常类贷款迁徙率</w:t>
            </w:r>
          </w:p>
        </w:tc>
        <w:tc>
          <w:tcPr>
            <w:tcW w:w="987" w:type="dxa"/>
            <w:vAlign w:val="top"/>
            <w:tcBorders>
              <w:bottom w:val="single" w:color="000000" w:sz="2" w:space="0"/>
              <w:top w:val="single" w:color="000000" w:sz="2" w:space="0"/>
            </w:tcBorders>
          </w:tcPr>
          <w:p>
            <w:pPr>
              <w:rPr>
                <w:rFonts w:ascii="Arial"/>
                <w:sz w:val="21"/>
              </w:rPr>
            </w:pPr>
            <w:r>
              <w:pict>
                <v:rect id="_x0000_s560" style="position:absolute;margin-left:-27.11pt;margin-top:1.25601pt;mso-position-vertical-relative:top-margin-area;mso-position-horizontal-relative:right-margin-area;width:2.9pt;height:19.75pt;z-index:251948032;" fillcolor="#DBE5F1" filled="true" stroked="false"/>
              </w:pict>
            </w:r>
            <w:r/>
          </w:p>
        </w:tc>
        <w:tc>
          <w:tcPr>
            <w:tcW w:w="1874" w:type="dxa"/>
            <w:vAlign w:val="top"/>
            <w:tcBorders>
              <w:bottom w:val="single" w:color="000000" w:sz="2" w:space="0"/>
              <w:top w:val="single" w:color="000000" w:sz="2" w:space="0"/>
            </w:tcBorders>
          </w:tcPr>
          <w:p>
            <w:pPr>
              <w:spacing w:before="184" w:line="186" w:lineRule="auto"/>
              <w:jc w:val="right"/>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940864" behindDoc="1" locked="0" layoutInCell="1" allowOverlap="1">
                      <wp:simplePos x="0" y="0"/>
                      <wp:positionH relativeFrom="column">
                        <wp:posOffset>-307720</wp:posOffset>
                      </wp:positionH>
                      <wp:positionV relativeFrom="paragraph">
                        <wp:posOffset>16004</wp:posOffset>
                      </wp:positionV>
                      <wp:extent cx="1498600" cy="250825"/>
                      <wp:effectExtent l="0" t="0" r="0" b="0"/>
                      <wp:wrapNone/>
                      <wp:docPr id="204" name="Rect 204"/>
                      <wp:cNvGraphicFramePr/>
                      <a:graphic>
                        <a:graphicData uri="http://schemas.microsoft.com/office/word/2010/wordprocessingShape">
                          <wps:wsp>
                            <wps:cNvPr id="204" name="Rect 204"/>
                            <wps:cNvSpPr/>
                            <wps:spPr>
                              <a:xfrm>
                                <a:off x="-307720" y="16004"/>
                                <a:ext cx="1498600" cy="250825"/>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562" style="position:absolute;margin-left:-24.23pt;margin-top:1.26019pt;mso-position-vertical-relative:text;mso-position-horizontal-relative:text;width:118pt;height:19.75pt;z-index:-251375616;" fillcolor="#DBE5F1" filled="true" stroked="false"/>
                  </w:pict>
                </mc:Fallback>
              </mc:AlternateContent>
            </w:r>
            <w:r>
              <w:rPr>
                <w:rFonts w:ascii="Times New Roman" w:hAnsi="Times New Roman" w:eastAsia="Times New Roman" w:cs="Times New Roman"/>
                <w:sz w:val="18"/>
                <w:szCs w:val="18"/>
                <w:b/>
                <w:bCs/>
                <w:spacing w:val="-3"/>
              </w:rPr>
              <w:t>1.89</w:t>
            </w:r>
          </w:p>
        </w:tc>
        <w:tc>
          <w:tcPr>
            <w:tcW w:w="1018" w:type="dxa"/>
            <w:vAlign w:val="top"/>
            <w:tcBorders>
              <w:bottom w:val="single" w:color="000000" w:sz="2" w:space="0"/>
              <w:top w:val="single" w:color="000000" w:sz="2" w:space="0"/>
            </w:tcBorders>
          </w:tcPr>
          <w:p>
            <w:pPr>
              <w:ind w:firstLine="1"/>
              <w:spacing w:before="25" w:line="369" w:lineRule="exact"/>
              <w:rPr/>
            </w:pPr>
            <w:r>
              <w:rPr>
                <w:position w:val="-9"/>
              </w:rPr>
              <w:pict>
                <v:shape id="_x0000_s564" style="mso-position-vertical-relative:line;mso-position-horizontal-relative:char;width:2.8pt;height:19.75pt;" fillcolor="#DBE5F1" filled="true" stroked="false" coordsize="55,395" coordorigin="0,0" path="m0,394l55,394l55,0l0,0l0,394xe"/>
              </w:pict>
            </w:r>
          </w:p>
        </w:tc>
        <w:tc>
          <w:tcPr>
            <w:tcW w:w="2418" w:type="dxa"/>
            <w:vAlign w:val="top"/>
            <w:gridSpan w:val="2"/>
            <w:tcBorders>
              <w:bottom w:val="single" w:color="000000" w:sz="2" w:space="0"/>
              <w:top w:val="single" w:color="000000" w:sz="2" w:space="0"/>
            </w:tcBorders>
          </w:tcPr>
          <w:p>
            <w:pPr>
              <w:ind w:left="1251"/>
              <w:spacing w:before="18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1.86</w:t>
            </w:r>
          </w:p>
        </w:tc>
        <w:tc>
          <w:tcPr>
            <w:tcW w:w="1517" w:type="dxa"/>
            <w:vAlign w:val="top"/>
            <w:tcBorders>
              <w:bottom w:val="single" w:color="000000" w:sz="2" w:space="0"/>
              <w:top w:val="single" w:color="000000" w:sz="2" w:space="0"/>
            </w:tcBorders>
          </w:tcPr>
          <w:p>
            <w:pPr>
              <w:ind w:left="1168"/>
              <w:spacing w:before="18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rPr>
              <w:t>1.84</w:t>
            </w:r>
          </w:p>
        </w:tc>
      </w:tr>
      <w:tr>
        <w:trPr>
          <w:trHeight w:val="406" w:hRule="atLeast"/>
        </w:trPr>
        <w:tc>
          <w:tcPr>
            <w:tcW w:w="2006" w:type="dxa"/>
            <w:vAlign w:val="top"/>
            <w:gridSpan w:val="2"/>
            <w:tcBorders>
              <w:bottom w:val="single" w:color="000000" w:sz="2" w:space="0"/>
              <w:top w:val="single" w:color="000000" w:sz="2" w:space="0"/>
            </w:tcBorders>
          </w:tcPr>
          <w:p>
            <w:pPr>
              <w:pStyle w:val="TableText"/>
              <w:ind w:left="132"/>
              <w:spacing w:before="148" w:line="220" w:lineRule="auto"/>
              <w:rPr>
                <w:sz w:val="18"/>
                <w:szCs w:val="18"/>
              </w:rPr>
            </w:pPr>
            <w:r>
              <w:rPr>
                <w:sz w:val="18"/>
                <w:szCs w:val="18"/>
                <w:spacing w:val="-2"/>
              </w:rPr>
              <w:t>关注类贷款迁徙率</w:t>
            </w:r>
          </w:p>
        </w:tc>
        <w:tc>
          <w:tcPr>
            <w:tcW w:w="987" w:type="dxa"/>
            <w:vAlign w:val="top"/>
            <w:tcBorders>
              <w:bottom w:val="single" w:color="000000" w:sz="2" w:space="0"/>
              <w:top w:val="single" w:color="000000" w:sz="2" w:space="0"/>
            </w:tcBorders>
          </w:tcPr>
          <w:p>
            <w:pPr>
              <w:rPr>
                <w:rFonts w:ascii="Arial"/>
                <w:sz w:val="21"/>
              </w:rPr>
            </w:pPr>
            <w:r>
              <w:pict>
                <v:rect id="_x0000_s566" style="position:absolute;margin-left:-27.11pt;margin-top:1.10999pt;mso-position-vertical-relative:top-margin-area;mso-position-horizontal-relative:right-margin-area;width:2.9pt;height:19.7pt;z-index:251947008;" fillcolor="#DBE5F1" filled="true" stroked="false"/>
              </w:pict>
            </w:r>
            <w:r/>
          </w:p>
        </w:tc>
        <w:tc>
          <w:tcPr>
            <w:tcW w:w="1874" w:type="dxa"/>
            <w:vAlign w:val="top"/>
            <w:tcBorders>
              <w:bottom w:val="single" w:color="000000" w:sz="2" w:space="0"/>
              <w:top w:val="single" w:color="000000" w:sz="2" w:space="0"/>
            </w:tcBorders>
          </w:tcPr>
          <w:p>
            <w:pPr>
              <w:spacing w:before="181" w:line="186" w:lineRule="auto"/>
              <w:jc w:val="right"/>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939840" behindDoc="1" locked="0" layoutInCell="1" allowOverlap="1">
                      <wp:simplePos x="0" y="0"/>
                      <wp:positionH relativeFrom="column">
                        <wp:posOffset>-307720</wp:posOffset>
                      </wp:positionH>
                      <wp:positionV relativeFrom="paragraph">
                        <wp:posOffset>14149</wp:posOffset>
                      </wp:positionV>
                      <wp:extent cx="1498600" cy="250190"/>
                      <wp:effectExtent l="0" t="0" r="0" b="0"/>
                      <wp:wrapNone/>
                      <wp:docPr id="206" name="Rect 206"/>
                      <wp:cNvGraphicFramePr/>
                      <a:graphic>
                        <a:graphicData uri="http://schemas.microsoft.com/office/word/2010/wordprocessingShape">
                          <wps:wsp>
                            <wps:cNvPr id="206" name="Rect 206"/>
                            <wps:cNvSpPr/>
                            <wps:spPr>
                              <a:xfrm>
                                <a:off x="-307720" y="14149"/>
                                <a:ext cx="1498600" cy="250190"/>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568" style="position:absolute;margin-left:-24.23pt;margin-top:1.11415pt;mso-position-vertical-relative:text;mso-position-horizontal-relative:text;width:118pt;height:19.7pt;z-index:-251376640;" fillcolor="#DBE5F1" filled="true" stroked="false"/>
                  </w:pict>
                </mc:Fallback>
              </mc:AlternateContent>
            </w:r>
            <w:r>
              <w:rPr>
                <w:rFonts w:ascii="Times New Roman" w:hAnsi="Times New Roman" w:eastAsia="Times New Roman" w:cs="Times New Roman"/>
                <w:sz w:val="18"/>
                <w:szCs w:val="18"/>
                <w:b/>
                <w:bCs/>
                <w:spacing w:val="-1"/>
              </w:rPr>
              <w:t>26.55</w:t>
            </w:r>
          </w:p>
        </w:tc>
        <w:tc>
          <w:tcPr>
            <w:tcW w:w="1018" w:type="dxa"/>
            <w:vAlign w:val="top"/>
            <w:tcBorders>
              <w:bottom w:val="single" w:color="000000" w:sz="2" w:space="0"/>
              <w:top w:val="single" w:color="000000" w:sz="2" w:space="0"/>
            </w:tcBorders>
          </w:tcPr>
          <w:p>
            <w:pPr>
              <w:ind w:firstLine="1"/>
              <w:spacing w:before="22" w:line="374" w:lineRule="exact"/>
              <w:rPr/>
            </w:pPr>
            <w:r>
              <w:rPr>
                <w:position w:val="-9"/>
              </w:rPr>
              <w:pict>
                <v:shape id="_x0000_s570" style="mso-position-vertical-relative:line;mso-position-horizontal-relative:char;width:2.8pt;height:19.7pt;" fillcolor="#DBE5F1" filled="true" stroked="false" coordsize="55,394" coordorigin="0,0" path="m0,393l55,393l55,0l0,0l0,393xe"/>
              </w:pict>
            </w:r>
          </w:p>
        </w:tc>
        <w:tc>
          <w:tcPr>
            <w:tcW w:w="2418" w:type="dxa"/>
            <w:vAlign w:val="top"/>
            <w:gridSpan w:val="2"/>
            <w:tcBorders>
              <w:bottom w:val="single" w:color="000000" w:sz="2" w:space="0"/>
              <w:top w:val="single" w:color="000000" w:sz="2" w:space="0"/>
            </w:tcBorders>
          </w:tcPr>
          <w:p>
            <w:pPr>
              <w:ind w:left="1141"/>
              <w:spacing w:before="18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45.72</w:t>
            </w:r>
          </w:p>
        </w:tc>
        <w:tc>
          <w:tcPr>
            <w:tcW w:w="1517" w:type="dxa"/>
            <w:vAlign w:val="top"/>
            <w:tcBorders>
              <w:bottom w:val="single" w:color="000000" w:sz="2" w:space="0"/>
              <w:top w:val="single" w:color="000000" w:sz="2" w:space="0"/>
            </w:tcBorders>
          </w:tcPr>
          <w:p>
            <w:pPr>
              <w:ind w:left="1059"/>
              <w:spacing w:before="18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46.59</w:t>
            </w:r>
          </w:p>
        </w:tc>
      </w:tr>
      <w:tr>
        <w:trPr>
          <w:trHeight w:val="403" w:hRule="atLeast"/>
        </w:trPr>
        <w:tc>
          <w:tcPr>
            <w:tcW w:w="2006" w:type="dxa"/>
            <w:vAlign w:val="top"/>
            <w:gridSpan w:val="2"/>
            <w:tcBorders>
              <w:bottom w:val="single" w:color="000000" w:sz="2" w:space="0"/>
              <w:top w:val="single" w:color="000000" w:sz="2" w:space="0"/>
            </w:tcBorders>
          </w:tcPr>
          <w:p>
            <w:pPr>
              <w:pStyle w:val="TableText"/>
              <w:ind w:left="134"/>
              <w:spacing w:before="140" w:line="220" w:lineRule="auto"/>
              <w:rPr>
                <w:sz w:val="18"/>
                <w:szCs w:val="18"/>
              </w:rPr>
            </w:pPr>
            <w:r>
              <w:rPr>
                <w:sz w:val="18"/>
                <w:szCs w:val="18"/>
                <w:spacing w:val="-2"/>
              </w:rPr>
              <w:t>次级类贷款迁徙率</w:t>
            </w:r>
          </w:p>
        </w:tc>
        <w:tc>
          <w:tcPr>
            <w:tcW w:w="987" w:type="dxa"/>
            <w:vAlign w:val="top"/>
            <w:tcBorders>
              <w:bottom w:val="single" w:color="000000" w:sz="2" w:space="0"/>
              <w:top w:val="single" w:color="000000" w:sz="2" w:space="0"/>
            </w:tcBorders>
          </w:tcPr>
          <w:p>
            <w:pPr>
              <w:rPr>
                <w:rFonts w:ascii="Arial"/>
                <w:sz w:val="21"/>
              </w:rPr>
            </w:pPr>
            <w:r>
              <w:pict>
                <v:rect id="_x0000_s572" style="position:absolute;margin-left:-27.11pt;margin-top:0.719986pt;mso-position-vertical-relative:top-margin-area;mso-position-horizontal-relative:right-margin-area;width:2.9pt;height:19.7pt;z-index:251945984;" fillcolor="#DBE5F1" filled="true" stroked="false"/>
              </w:pict>
            </w:r>
            <w:r/>
          </w:p>
        </w:tc>
        <w:tc>
          <w:tcPr>
            <w:tcW w:w="1874" w:type="dxa"/>
            <w:vAlign w:val="top"/>
            <w:tcBorders>
              <w:bottom w:val="single" w:color="000000" w:sz="2" w:space="0"/>
              <w:top w:val="single" w:color="000000" w:sz="2" w:space="0"/>
            </w:tcBorders>
          </w:tcPr>
          <w:p>
            <w:pPr>
              <w:spacing w:before="173" w:line="186" w:lineRule="auto"/>
              <w:jc w:val="right"/>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941888" behindDoc="1" locked="0" layoutInCell="1" allowOverlap="1">
                      <wp:simplePos x="0" y="0"/>
                      <wp:positionH relativeFrom="column">
                        <wp:posOffset>-307720</wp:posOffset>
                      </wp:positionH>
                      <wp:positionV relativeFrom="paragraph">
                        <wp:posOffset>9196</wp:posOffset>
                      </wp:positionV>
                      <wp:extent cx="1498600" cy="250190"/>
                      <wp:effectExtent l="0" t="0" r="0" b="0"/>
                      <wp:wrapNone/>
                      <wp:docPr id="208" name="Rect 208"/>
                      <wp:cNvGraphicFramePr/>
                      <a:graphic>
                        <a:graphicData uri="http://schemas.microsoft.com/office/word/2010/wordprocessingShape">
                          <wps:wsp>
                            <wps:cNvPr id="208" name="Rect 208"/>
                            <wps:cNvSpPr/>
                            <wps:spPr>
                              <a:xfrm>
                                <a:off x="-307720" y="9196"/>
                                <a:ext cx="1498600" cy="250190"/>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574" style="position:absolute;margin-left:-24.23pt;margin-top:0.724152pt;mso-position-vertical-relative:text;mso-position-horizontal-relative:text;width:118pt;height:19.7pt;z-index:-251374592;" fillcolor="#DBE5F1" filled="true" stroked="false"/>
                  </w:pict>
                </mc:Fallback>
              </mc:AlternateContent>
            </w:r>
            <w:r>
              <w:rPr>
                <w:rFonts w:ascii="Times New Roman" w:hAnsi="Times New Roman" w:eastAsia="Times New Roman" w:cs="Times New Roman"/>
                <w:sz w:val="18"/>
                <w:szCs w:val="18"/>
                <w:b/>
                <w:bCs/>
                <w:spacing w:val="-1"/>
              </w:rPr>
              <w:t>52.87</w:t>
            </w:r>
          </w:p>
        </w:tc>
        <w:tc>
          <w:tcPr>
            <w:tcW w:w="1018" w:type="dxa"/>
            <w:vAlign w:val="top"/>
            <w:tcBorders>
              <w:bottom w:val="single" w:color="000000" w:sz="2" w:space="0"/>
              <w:top w:val="single" w:color="000000" w:sz="2" w:space="0"/>
            </w:tcBorders>
          </w:tcPr>
          <w:p>
            <w:pPr>
              <w:ind w:firstLine="1"/>
              <w:spacing w:before="14" w:line="378" w:lineRule="exact"/>
              <w:rPr/>
            </w:pPr>
            <w:r>
              <w:rPr>
                <w:position w:val="-9"/>
              </w:rPr>
              <w:pict>
                <v:shape id="_x0000_s576" style="mso-position-vertical-relative:line;mso-position-horizontal-relative:char;width:2.8pt;height:19.7pt;" fillcolor="#DBE5F1" filled="true" stroked="false" coordsize="55,394" coordorigin="0,0" path="m0,393l55,393l55,0l0,0l0,393xe"/>
              </w:pict>
            </w:r>
          </w:p>
        </w:tc>
        <w:tc>
          <w:tcPr>
            <w:tcW w:w="2418" w:type="dxa"/>
            <w:vAlign w:val="top"/>
            <w:gridSpan w:val="2"/>
            <w:tcBorders>
              <w:bottom w:val="single" w:color="000000" w:sz="2" w:space="0"/>
              <w:top w:val="single" w:color="000000" w:sz="2" w:space="0"/>
            </w:tcBorders>
          </w:tcPr>
          <w:p>
            <w:pPr>
              <w:ind w:left="1142"/>
              <w:spacing w:before="17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29.61</w:t>
            </w:r>
          </w:p>
        </w:tc>
        <w:tc>
          <w:tcPr>
            <w:tcW w:w="1517" w:type="dxa"/>
            <w:vAlign w:val="top"/>
            <w:tcBorders>
              <w:bottom w:val="single" w:color="000000" w:sz="2" w:space="0"/>
              <w:top w:val="single" w:color="000000" w:sz="2" w:space="0"/>
            </w:tcBorders>
          </w:tcPr>
          <w:p>
            <w:pPr>
              <w:ind w:left="1060"/>
              <w:spacing w:before="17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25.48</w:t>
            </w:r>
          </w:p>
        </w:tc>
      </w:tr>
      <w:tr>
        <w:trPr>
          <w:trHeight w:val="410" w:hRule="atLeast"/>
        </w:trPr>
        <w:tc>
          <w:tcPr>
            <w:tcW w:w="2006" w:type="dxa"/>
            <w:vAlign w:val="top"/>
            <w:gridSpan w:val="2"/>
            <w:tcBorders>
              <w:bottom w:val="single" w:color="000000" w:sz="2" w:space="0"/>
              <w:top w:val="single" w:color="000000" w:sz="2" w:space="0"/>
            </w:tcBorders>
          </w:tcPr>
          <w:p>
            <w:pPr>
              <w:pStyle w:val="TableText"/>
              <w:ind w:left="130"/>
              <w:spacing w:before="136" w:line="220" w:lineRule="auto"/>
              <w:rPr>
                <w:sz w:val="18"/>
                <w:szCs w:val="18"/>
              </w:rPr>
            </w:pPr>
            <w:r>
              <w:rPr>
                <w:sz w:val="18"/>
                <w:szCs w:val="18"/>
                <w:spacing w:val="-1"/>
              </w:rPr>
              <w:t>可疑类贷款迁徙率</w:t>
            </w:r>
          </w:p>
        </w:tc>
        <w:tc>
          <w:tcPr>
            <w:tcW w:w="987" w:type="dxa"/>
            <w:vAlign w:val="top"/>
            <w:tcBorders>
              <w:bottom w:val="single" w:color="000000" w:sz="2" w:space="0"/>
              <w:top w:val="single" w:color="000000" w:sz="2" w:space="0"/>
            </w:tcBorders>
          </w:tcPr>
          <w:p>
            <w:pPr>
              <w:rPr>
                <w:rFonts w:ascii="Arial"/>
                <w:sz w:val="21"/>
              </w:rPr>
            </w:pPr>
            <w:r>
              <w:pict>
                <v:rect id="_x0000_s578" style="position:absolute;margin-left:-27.11pt;margin-top:0.479996pt;mso-position-vertical-relative:top-margin-area;mso-position-horizontal-relative:right-margin-area;width:2.9pt;height:19.7pt;z-index:251944960;" fillcolor="#DBE5F1" filled="true" stroked="false"/>
              </w:pict>
            </w:r>
            <w:r/>
          </w:p>
        </w:tc>
        <w:tc>
          <w:tcPr>
            <w:tcW w:w="1874" w:type="dxa"/>
            <w:vAlign w:val="top"/>
            <w:tcBorders>
              <w:bottom w:val="single" w:color="000000" w:sz="2" w:space="0"/>
              <w:top w:val="single" w:color="000000" w:sz="2" w:space="0"/>
            </w:tcBorders>
          </w:tcPr>
          <w:p>
            <w:pPr>
              <w:spacing w:before="168" w:line="186" w:lineRule="auto"/>
              <w:jc w:val="right"/>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942912" behindDoc="1" locked="0" layoutInCell="1" allowOverlap="1">
                      <wp:simplePos x="0" y="0"/>
                      <wp:positionH relativeFrom="column">
                        <wp:posOffset>-307720</wp:posOffset>
                      </wp:positionH>
                      <wp:positionV relativeFrom="paragraph">
                        <wp:posOffset>6148</wp:posOffset>
                      </wp:positionV>
                      <wp:extent cx="1498600" cy="250190"/>
                      <wp:effectExtent l="0" t="0" r="0" b="0"/>
                      <wp:wrapNone/>
                      <wp:docPr id="210" name="Rect 210"/>
                      <wp:cNvGraphicFramePr/>
                      <a:graphic>
                        <a:graphicData uri="http://schemas.microsoft.com/office/word/2010/wordprocessingShape">
                          <wps:wsp>
                            <wps:cNvPr id="210" name="Rect 210"/>
                            <wps:cNvSpPr/>
                            <wps:spPr>
                              <a:xfrm>
                                <a:off x="-307720" y="6148"/>
                                <a:ext cx="1498600" cy="250190"/>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580" style="position:absolute;margin-left:-24.23pt;margin-top:0.484161pt;mso-position-vertical-relative:text;mso-position-horizontal-relative:text;width:118pt;height:19.7pt;z-index:-251373568;" fillcolor="#DBE5F1" filled="true" stroked="false"/>
                  </w:pict>
                </mc:Fallback>
              </mc:AlternateContent>
            </w:r>
            <w:r>
              <w:rPr>
                <w:rFonts w:ascii="Times New Roman" w:hAnsi="Times New Roman" w:eastAsia="Times New Roman" w:cs="Times New Roman"/>
                <w:sz w:val="18"/>
                <w:szCs w:val="18"/>
                <w:b/>
                <w:bCs/>
                <w:spacing w:val="-1"/>
              </w:rPr>
              <w:t>26.61</w:t>
            </w:r>
          </w:p>
        </w:tc>
        <w:tc>
          <w:tcPr>
            <w:tcW w:w="1018" w:type="dxa"/>
            <w:vAlign w:val="top"/>
            <w:tcBorders>
              <w:bottom w:val="single" w:color="000000" w:sz="2" w:space="0"/>
              <w:top w:val="single" w:color="000000" w:sz="2" w:space="0"/>
            </w:tcBorders>
          </w:tcPr>
          <w:p>
            <w:pPr>
              <w:ind w:firstLine="1"/>
              <w:spacing w:before="9" w:line="390" w:lineRule="exact"/>
              <w:rPr/>
            </w:pPr>
            <w:r>
              <w:rPr>
                <w:position w:val="-8"/>
              </w:rPr>
              <w:pict>
                <v:shape id="_x0000_s582" style="mso-position-vertical-relative:line;mso-position-horizontal-relative:char;width:2.8pt;height:19.7pt;" fillcolor="#DBE5F1" filled="true" stroked="false" coordsize="55,394" coordorigin="0,0" path="m0,393l55,393l55,0l0,0l0,393xe"/>
              </w:pict>
            </w:r>
          </w:p>
        </w:tc>
        <w:tc>
          <w:tcPr>
            <w:tcW w:w="2418" w:type="dxa"/>
            <w:vAlign w:val="top"/>
            <w:gridSpan w:val="2"/>
            <w:tcBorders>
              <w:bottom w:val="single" w:color="000000" w:sz="2" w:space="0"/>
              <w:top w:val="single" w:color="000000" w:sz="2" w:space="0"/>
            </w:tcBorders>
          </w:tcPr>
          <w:p>
            <w:pPr>
              <w:ind w:left="1159"/>
              <w:spacing w:before="168"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17.42</w:t>
            </w:r>
          </w:p>
        </w:tc>
        <w:tc>
          <w:tcPr>
            <w:tcW w:w="1517" w:type="dxa"/>
            <w:vAlign w:val="top"/>
            <w:tcBorders>
              <w:bottom w:val="single" w:color="000000" w:sz="2" w:space="0"/>
              <w:top w:val="single" w:color="000000" w:sz="2" w:space="0"/>
            </w:tcBorders>
          </w:tcPr>
          <w:p>
            <w:pPr>
              <w:ind w:left="1077"/>
              <w:spacing w:before="168"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19.92</w:t>
            </w:r>
          </w:p>
        </w:tc>
      </w:tr>
    </w:tbl>
    <w:p>
      <w:pPr>
        <w:ind w:left="129"/>
        <w:spacing w:before="37" w:line="220" w:lineRule="auto"/>
        <w:rPr>
          <w:rFonts w:ascii="SimSun" w:hAnsi="SimSun" w:eastAsia="SimSun" w:cs="SimSun"/>
          <w:sz w:val="18"/>
          <w:szCs w:val="18"/>
        </w:rPr>
      </w:pPr>
      <w:r>
        <w:rPr>
          <w:rFonts w:ascii="SimSun" w:hAnsi="SimSun" w:eastAsia="SimSun" w:cs="SimSun"/>
          <w:sz w:val="18"/>
          <w:szCs w:val="18"/>
          <w:spacing w:val="-2"/>
        </w:rPr>
        <w:t>注:</w:t>
      </w:r>
      <w:r>
        <w:rPr>
          <w:rFonts w:ascii="SimSun" w:hAnsi="SimSun" w:eastAsia="SimSun" w:cs="SimSun"/>
          <w:sz w:val="18"/>
          <w:szCs w:val="18"/>
          <w:spacing w:val="35"/>
          <w:w w:val="101"/>
        </w:rPr>
        <w:t xml:space="preserve"> </w:t>
      </w:r>
      <w:r>
        <w:rPr>
          <w:rFonts w:ascii="SimSun" w:hAnsi="SimSun" w:eastAsia="SimSun" w:cs="SimSun"/>
          <w:sz w:val="18"/>
          <w:szCs w:val="18"/>
          <w:spacing w:val="-2"/>
        </w:rPr>
        <w:t>根据银保监会《关于印发非现场监管指标定义及计算公式的通知》计算。</w:t>
      </w:r>
    </w:p>
    <w:p>
      <w:pPr>
        <w:ind w:left="553"/>
        <w:spacing w:before="215" w:line="221" w:lineRule="auto"/>
        <w:rPr>
          <w:rFonts w:ascii="SimSun" w:hAnsi="SimSun" w:eastAsia="SimSun" w:cs="SimSun"/>
          <w:sz w:val="21"/>
          <w:szCs w:val="21"/>
        </w:rPr>
      </w:pPr>
      <w:r>
        <w:rPr>
          <w:rFonts w:ascii="SimSun" w:hAnsi="SimSun" w:eastAsia="SimSun" w:cs="SimSun"/>
          <w:sz w:val="21"/>
          <w:szCs w:val="21"/>
          <w:b/>
          <w:bCs/>
          <w:spacing w:val="-3"/>
        </w:rPr>
        <w:t>信用风险集中度</w:t>
      </w:r>
    </w:p>
    <w:p>
      <w:pPr>
        <w:ind w:left="165" w:right="65" w:firstLine="384"/>
        <w:spacing w:before="308" w:line="268" w:lineRule="auto"/>
        <w:rPr>
          <w:rFonts w:ascii="SimSun" w:hAnsi="SimSun" w:eastAsia="SimSun" w:cs="SimSun"/>
          <w:sz w:val="21"/>
          <w:szCs w:val="21"/>
        </w:rPr>
      </w:pPr>
      <w:r>
        <w:rPr>
          <w:rFonts w:ascii="SimSun" w:hAnsi="SimSun" w:eastAsia="SimSun" w:cs="SimSun"/>
          <w:sz w:val="21"/>
          <w:szCs w:val="21"/>
          <w:spacing w:val="2"/>
        </w:rPr>
        <w:t>报告期末,</w:t>
      </w:r>
      <w:r>
        <w:rPr>
          <w:rFonts w:ascii="SimSun" w:hAnsi="SimSun" w:eastAsia="SimSun" w:cs="SimSun"/>
          <w:sz w:val="21"/>
          <w:szCs w:val="21"/>
          <w:spacing w:val="30"/>
        </w:rPr>
        <w:t xml:space="preserve"> </w:t>
      </w:r>
      <w:r>
        <w:rPr>
          <w:rFonts w:ascii="SimSun" w:hAnsi="SimSun" w:eastAsia="SimSun" w:cs="SimSun"/>
          <w:sz w:val="21"/>
          <w:szCs w:val="21"/>
          <w:spacing w:val="2"/>
        </w:rPr>
        <w:t>本集团对最大单一客户的贷款总额占集团资本</w:t>
      </w:r>
      <w:r>
        <w:rPr>
          <w:rFonts w:ascii="SimSun" w:hAnsi="SimSun" w:eastAsia="SimSun" w:cs="SimSun"/>
          <w:sz w:val="21"/>
          <w:szCs w:val="21"/>
          <w:spacing w:val="1"/>
        </w:rPr>
        <w:t>净额的</w:t>
      </w:r>
      <w:r>
        <w:rPr>
          <w:rFonts w:ascii="SimSun" w:hAnsi="SimSun" w:eastAsia="SimSun" w:cs="SimSun"/>
          <w:sz w:val="21"/>
          <w:szCs w:val="21"/>
          <w:spacing w:val="-49"/>
        </w:rPr>
        <w:t xml:space="preserve"> </w:t>
      </w:r>
      <w:r>
        <w:rPr>
          <w:rFonts w:ascii="Times New Roman" w:hAnsi="Times New Roman" w:eastAsia="Times New Roman" w:cs="Times New Roman"/>
          <w:sz w:val="21"/>
          <w:szCs w:val="21"/>
          <w:spacing w:val="1"/>
        </w:rPr>
        <w:t>4.56%</w:t>
      </w:r>
      <w:r>
        <w:rPr>
          <w:rFonts w:ascii="SimSun" w:hAnsi="SimSun" w:eastAsia="SimSun" w:cs="SimSun"/>
          <w:sz w:val="21"/>
          <w:szCs w:val="21"/>
          <w:spacing w:val="1"/>
        </w:rPr>
        <w:t>,对最大十家客户的贷款总额</w:t>
      </w:r>
      <w:r>
        <w:rPr>
          <w:rFonts w:ascii="SimSun" w:hAnsi="SimSun" w:eastAsia="SimSun" w:cs="SimSun"/>
          <w:sz w:val="21"/>
          <w:szCs w:val="21"/>
        </w:rPr>
        <w:t xml:space="preserve"> </w:t>
      </w:r>
      <w:r>
        <w:rPr>
          <w:rFonts w:ascii="SimSun" w:hAnsi="SimSun" w:eastAsia="SimSun" w:cs="SimSun"/>
          <w:sz w:val="21"/>
          <w:szCs w:val="21"/>
          <w:spacing w:val="-3"/>
        </w:rPr>
        <w:t>占集团资本净额的</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3"/>
        </w:rPr>
        <w:t>18.56%</w:t>
      </w:r>
      <w:r>
        <w:rPr>
          <w:rFonts w:ascii="Times New Roman" w:hAnsi="Times New Roman" w:eastAsia="Times New Roman" w:cs="Times New Roman"/>
          <w:sz w:val="21"/>
          <w:szCs w:val="21"/>
          <w:spacing w:val="-27"/>
        </w:rPr>
        <w:t xml:space="preserve"> </w:t>
      </w:r>
      <w:r>
        <w:rPr>
          <w:rFonts w:ascii="SimSun" w:hAnsi="SimSun" w:eastAsia="SimSun" w:cs="SimSun"/>
          <w:sz w:val="21"/>
          <w:szCs w:val="21"/>
          <w:spacing w:val="-3"/>
        </w:rPr>
        <w:t>。报告期末前十大单一借款人贷款情况如下。</w:t>
      </w:r>
    </w:p>
    <w:p>
      <w:pPr>
        <w:pStyle w:val="BodyText"/>
        <w:spacing w:line="249" w:lineRule="auto"/>
        <w:rPr/>
      </w:pPr>
      <w:r/>
    </w:p>
    <w:p>
      <w:pPr>
        <w:ind w:left="7309"/>
        <w:spacing w:before="60" w:line="250"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position w:val="2"/>
        </w:rPr>
        <w:t>(</w:t>
      </w:r>
      <w:r>
        <w:rPr>
          <w:rFonts w:ascii="SimSun" w:hAnsi="SimSun" w:eastAsia="SimSun" w:cs="SimSun"/>
          <w:sz w:val="18"/>
          <w:szCs w:val="18"/>
          <w:spacing w:val="5"/>
          <w:position w:val="2"/>
        </w:rPr>
        <w:t>除另有标明外,人民币百万元</w:t>
      </w:r>
      <w:r>
        <w:rPr>
          <w:rFonts w:ascii="Times New Roman" w:hAnsi="Times New Roman" w:eastAsia="Times New Roman" w:cs="Times New Roman"/>
          <w:sz w:val="18"/>
          <w:szCs w:val="18"/>
          <w:spacing w:val="5"/>
          <w:position w:val="2"/>
        </w:rPr>
        <w:t>)</w:t>
      </w:r>
    </w:p>
    <w:p>
      <w:pPr>
        <w:spacing w:line="250" w:lineRule="exact"/>
        <w:sectPr>
          <w:footerReference w:type="default" r:id="rId95"/>
          <w:pgSz w:w="11907" w:h="16839"/>
          <w:pgMar w:top="1132" w:right="1075" w:bottom="1375" w:left="1010" w:header="0" w:footer="1211" w:gutter="0"/>
        </w:sectPr>
        <w:rPr>
          <w:rFonts w:ascii="Times New Roman" w:hAnsi="Times New Roman" w:eastAsia="Times New Roman" w:cs="Times New Roman"/>
          <w:sz w:val="18"/>
          <w:szCs w:val="18"/>
        </w:rPr>
      </w:pPr>
    </w:p>
    <w:tbl>
      <w:tblPr>
        <w:tblStyle w:val="TableNormal"/>
        <w:tblW w:w="9573" w:type="dxa"/>
        <w:tblInd w:w="2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716"/>
        <w:gridCol w:w="1622"/>
        <w:gridCol w:w="2339"/>
        <w:gridCol w:w="626"/>
        <w:gridCol w:w="982"/>
        <w:gridCol w:w="2190"/>
        <w:gridCol w:w="98"/>
      </w:tblGrid>
      <w:tr>
        <w:trPr>
          <w:trHeight w:val="405" w:hRule="atLeast"/>
        </w:trPr>
        <w:tc>
          <w:tcPr>
            <w:shd w:val="clear" w:fill="DBE5F1"/>
            <w:tcW w:w="1716" w:type="dxa"/>
            <w:vAlign w:val="top"/>
            <w:vMerge w:val="restart"/>
            <w:tcBorders>
              <w:bottom w:val="nil"/>
              <w:top w:val="single" w:color="000000" w:sz="2" w:space="0"/>
            </w:tcBorders>
          </w:tcPr>
          <w:p>
            <w:pPr>
              <w:rPr>
                <w:rFonts w:ascii="Arial"/>
                <w:sz w:val="21"/>
              </w:rPr>
            </w:pPr>
            <w:r/>
          </w:p>
        </w:tc>
        <w:tc>
          <w:tcPr>
            <w:shd w:val="clear" w:fill="DBE5F1"/>
            <w:tcW w:w="1622" w:type="dxa"/>
            <w:vAlign w:val="top"/>
            <w:tcBorders>
              <w:bottom w:val="single" w:color="000000" w:sz="2" w:space="0"/>
              <w:top w:val="single" w:color="000000" w:sz="2" w:space="0"/>
            </w:tcBorders>
          </w:tcPr>
          <w:p>
            <w:pPr>
              <w:ind w:firstLine="2"/>
              <w:spacing w:before="6" w:line="389" w:lineRule="exact"/>
              <w:rPr/>
            </w:pPr>
            <w:r>
              <w:rPr>
                <w:position w:val="-8"/>
              </w:rPr>
              <w:pict>
                <v:shape id="_x0000_s584" style="mso-position-vertical-relative:line;mso-position-horizontal-relative:char;width:2.8pt;height:19.7pt;" fillcolor="#DBE5F1" filled="true" stroked="false" coordsize="55,394" coordorigin="0,0" path="m0,393l55,393l55,0l0,0l0,393xe"/>
              </w:pict>
            </w:r>
          </w:p>
        </w:tc>
        <w:tc>
          <w:tcPr>
            <w:shd w:val="clear" w:fill="DBE5F1"/>
            <w:tcW w:w="3947" w:type="dxa"/>
            <w:vAlign w:val="top"/>
            <w:gridSpan w:val="3"/>
            <w:tcBorders>
              <w:bottom w:val="single" w:color="000000" w:sz="2" w:space="0"/>
              <w:top w:val="single" w:color="000000" w:sz="2" w:space="0"/>
            </w:tcBorders>
          </w:tcPr>
          <w:p>
            <w:pPr>
              <w:pStyle w:val="TableText"/>
              <w:ind w:left="1565"/>
              <w:spacing w:before="133" w:line="220" w:lineRule="auto"/>
              <w:rPr>
                <w:sz w:val="18"/>
                <w:szCs w:val="18"/>
              </w:rPr>
            </w:pPr>
            <w:r>
              <w:rPr>
                <w:rFonts w:ascii="Times New Roman" w:hAnsi="Times New Roman" w:eastAsia="Times New Roman" w:cs="Times New Roman"/>
                <w:sz w:val="18"/>
                <w:szCs w:val="18"/>
                <w:b/>
                <w:bCs/>
                <w:spacing w:val="-3"/>
              </w:rPr>
              <w:t>2022 </w:t>
            </w:r>
            <w:r>
              <w:rPr>
                <w:sz w:val="18"/>
                <w:szCs w:val="18"/>
                <w:b/>
                <w:bCs/>
                <w:spacing w:val="-3"/>
              </w:rPr>
              <w:t>年</w:t>
            </w:r>
            <w:r>
              <w:rPr>
                <w:sz w:val="18"/>
                <w:szCs w:val="18"/>
                <w:spacing w:val="-32"/>
              </w:rPr>
              <w:t xml:space="preserve"> </w:t>
            </w:r>
            <w:r>
              <w:rPr>
                <w:rFonts w:ascii="Times New Roman" w:hAnsi="Times New Roman" w:eastAsia="Times New Roman" w:cs="Times New Roman"/>
                <w:sz w:val="18"/>
                <w:szCs w:val="18"/>
                <w:b/>
                <w:bCs/>
                <w:spacing w:val="-3"/>
              </w:rPr>
              <w:t>12</w:t>
            </w:r>
            <w:r>
              <w:rPr>
                <w:rFonts w:ascii="Times New Roman" w:hAnsi="Times New Roman" w:eastAsia="Times New Roman" w:cs="Times New Roman"/>
                <w:sz w:val="18"/>
                <w:szCs w:val="18"/>
                <w:b/>
                <w:bCs/>
                <w:spacing w:val="10"/>
              </w:rPr>
              <w:t xml:space="preserve"> </w:t>
            </w:r>
            <w:r>
              <w:rPr>
                <w:sz w:val="18"/>
                <w:szCs w:val="18"/>
                <w:b/>
                <w:bCs/>
                <w:spacing w:val="-3"/>
              </w:rPr>
              <w:t>月</w:t>
            </w:r>
            <w:r>
              <w:rPr>
                <w:sz w:val="18"/>
                <w:szCs w:val="18"/>
                <w:spacing w:val="-41"/>
              </w:rPr>
              <w:t xml:space="preserve"> </w:t>
            </w:r>
            <w:r>
              <w:rPr>
                <w:rFonts w:ascii="Times New Roman" w:hAnsi="Times New Roman" w:eastAsia="Times New Roman" w:cs="Times New Roman"/>
                <w:sz w:val="18"/>
                <w:szCs w:val="18"/>
                <w:b/>
                <w:bCs/>
                <w:spacing w:val="-3"/>
              </w:rPr>
              <w:t>31  </w:t>
            </w:r>
            <w:r>
              <w:rPr>
                <w:sz w:val="18"/>
                <w:szCs w:val="18"/>
                <w:b/>
                <w:bCs/>
                <w:spacing w:val="-3"/>
              </w:rPr>
              <w:t>日</w:t>
            </w:r>
          </w:p>
        </w:tc>
        <w:tc>
          <w:tcPr>
            <w:shd w:val="clear" w:fill="DBE5F1"/>
            <w:tcW w:w="2288" w:type="dxa"/>
            <w:vAlign w:val="top"/>
            <w:gridSpan w:val="2"/>
            <w:tcBorders>
              <w:bottom w:val="single" w:color="000000" w:sz="2" w:space="0"/>
              <w:top w:val="single" w:color="000000" w:sz="2" w:space="0"/>
            </w:tcBorders>
          </w:tcPr>
          <w:p>
            <w:pPr>
              <w:ind w:firstLine="2230"/>
              <w:spacing w:before="6" w:line="389" w:lineRule="exact"/>
              <w:rPr/>
            </w:pPr>
            <w:r>
              <w:rPr>
                <w:position w:val="-8"/>
              </w:rPr>
              <w:pict>
                <v:shape id="_x0000_s586" style="mso-position-vertical-relative:line;mso-position-horizontal-relative:char;width:2.9pt;height:19.7pt;" fillcolor="#DBE5F1" filled="true" stroked="false" coordsize="58,394" coordorigin="0,0" path="m0,393l57,393l57,0l0,0l0,393xe"/>
              </w:pict>
            </w:r>
          </w:p>
        </w:tc>
      </w:tr>
      <w:tr>
        <w:trPr>
          <w:trHeight w:val="398" w:hRule="atLeast"/>
        </w:trPr>
        <w:tc>
          <w:tcPr>
            <w:tcW w:w="1716" w:type="dxa"/>
            <w:vAlign w:val="top"/>
            <w:vMerge w:val="continue"/>
            <w:tcBorders>
              <w:bottom w:val="single" w:color="000000" w:sz="2" w:space="0"/>
              <w:top w:val="nil"/>
            </w:tcBorders>
          </w:tcPr>
          <w:p>
            <w:pPr>
              <w:rPr>
                <w:rFonts w:ascii="Arial"/>
                <w:sz w:val="21"/>
              </w:rPr>
            </w:pPr>
            <w:r/>
          </w:p>
        </w:tc>
        <w:tc>
          <w:tcPr>
            <w:shd w:val="clear" w:fill="DBE5F1"/>
            <w:tcW w:w="3961" w:type="dxa"/>
            <w:vAlign w:val="top"/>
            <w:gridSpan w:val="2"/>
            <w:tcBorders>
              <w:bottom w:val="single" w:color="000000" w:sz="2" w:space="0"/>
              <w:top w:val="single" w:color="000000" w:sz="2" w:space="0"/>
            </w:tcBorders>
          </w:tcPr>
          <w:p>
            <w:pPr>
              <w:pStyle w:val="TableText"/>
              <w:ind w:left="2"/>
              <w:rPr>
                <w:sz w:val="18"/>
                <w:szCs w:val="18"/>
              </w:rPr>
            </w:pPr>
            <w:r>
              <w:rPr>
                <w:sz w:val="18"/>
                <w:szCs w:val="18"/>
                <w:position w:val="-11"/>
              </w:rPr>
              <w:drawing>
                <wp:inline distT="0" distB="0" distL="0" distR="0">
                  <wp:extent cx="35051" cy="246304"/>
                  <wp:effectExtent l="0" t="0" r="0" b="0"/>
                  <wp:docPr id="212" name="IM 212"/>
                  <wp:cNvGraphicFramePr/>
                  <a:graphic>
                    <a:graphicData uri="http://schemas.openxmlformats.org/drawingml/2006/picture">
                      <pic:pic>
                        <pic:nvPicPr>
                          <pic:cNvPr id="212" name="IM 212"/>
                          <pic:cNvPicPr/>
                        </pic:nvPicPr>
                        <pic:blipFill>
                          <a:blip r:embed="rId105"/>
                          <a:stretch>
                            <a:fillRect/>
                          </a:stretch>
                        </pic:blipFill>
                        <pic:spPr>
                          <a:xfrm rot="0">
                            <a:off x="0" y="0"/>
                            <a:ext cx="35051" cy="246304"/>
                          </a:xfrm>
                          <a:prstGeom prst="rect">
                            <a:avLst/>
                          </a:prstGeom>
                        </pic:spPr>
                      </pic:pic>
                    </a:graphicData>
                  </a:graphic>
                </wp:inline>
              </w:drawing>
            </w:r>
            <w:r>
              <w:rPr>
                <w:sz w:val="18"/>
                <w:szCs w:val="18"/>
                <w:b/>
                <w:bCs/>
                <w:spacing w:val="-1"/>
              </w:rPr>
              <w:t>行业</w:t>
            </w:r>
          </w:p>
        </w:tc>
        <w:tc>
          <w:tcPr>
            <w:shd w:val="clear" w:fill="DBE5F1"/>
            <w:tcW w:w="626" w:type="dxa"/>
            <w:vAlign w:val="top"/>
            <w:tcBorders>
              <w:bottom w:val="single" w:color="000000" w:sz="2" w:space="0"/>
              <w:top w:val="single" w:color="000000" w:sz="2" w:space="0"/>
            </w:tcBorders>
          </w:tcPr>
          <w:p>
            <w:pPr>
              <w:rPr>
                <w:rFonts w:ascii="Arial"/>
                <w:sz w:val="21"/>
              </w:rPr>
            </w:pPr>
            <w:r>
              <w:pict>
                <v:rect id="_x0000_s588" style="position:absolute;margin-left:-31.28pt;margin-top:0.005981pt;mso-position-vertical-relative:top-margin-area;mso-position-horizontal-relative:right-margin-area;width:5.65pt;height:19.75pt;z-index:251968512;" fillcolor="#DBE5F1" filled="true" stroked="false"/>
              </w:pict>
            </w:r>
            <w:r/>
          </w:p>
        </w:tc>
        <w:tc>
          <w:tcPr>
            <w:shd w:val="clear" w:fill="DBE5F1"/>
            <w:tcW w:w="982" w:type="dxa"/>
            <w:vAlign w:val="top"/>
            <w:tcBorders>
              <w:bottom w:val="single" w:color="000000" w:sz="2" w:space="0"/>
              <w:top w:val="single" w:color="000000" w:sz="2" w:space="0"/>
            </w:tcBorders>
          </w:tcPr>
          <w:p>
            <w:pPr>
              <w:pStyle w:val="TableText"/>
              <w:jc w:val="right"/>
              <w:rPr>
                <w:sz w:val="18"/>
                <w:szCs w:val="18"/>
              </w:rPr>
            </w:pPr>
            <w:r>
              <w:rPr>
                <w:sz w:val="18"/>
                <w:szCs w:val="18"/>
                <w:b/>
                <w:bCs/>
                <w:spacing w:val="-6"/>
              </w:rPr>
              <w:t>金额</w:t>
            </w:r>
            <w:r>
              <w:rPr>
                <w:sz w:val="18"/>
                <w:szCs w:val="18"/>
                <w:position w:val="-11"/>
              </w:rPr>
              <w:drawing>
                <wp:inline distT="0" distB="0" distL="0" distR="0">
                  <wp:extent cx="73093" cy="246304"/>
                  <wp:effectExtent l="0" t="0" r="0" b="0"/>
                  <wp:docPr id="214" name="IM 214"/>
                  <wp:cNvGraphicFramePr/>
                  <a:graphic>
                    <a:graphicData uri="http://schemas.openxmlformats.org/drawingml/2006/picture">
                      <pic:pic>
                        <pic:nvPicPr>
                          <pic:cNvPr id="214" name="IM 214"/>
                          <pic:cNvPicPr/>
                        </pic:nvPicPr>
                        <pic:blipFill>
                          <a:blip r:embed="rId106"/>
                          <a:stretch>
                            <a:fillRect/>
                          </a:stretch>
                        </pic:blipFill>
                        <pic:spPr>
                          <a:xfrm rot="0">
                            <a:off x="0" y="0"/>
                            <a:ext cx="73093" cy="246304"/>
                          </a:xfrm>
                          <a:prstGeom prst="rect">
                            <a:avLst/>
                          </a:prstGeom>
                        </pic:spPr>
                      </pic:pic>
                    </a:graphicData>
                  </a:graphic>
                </wp:inline>
              </w:drawing>
            </w:r>
          </w:p>
        </w:tc>
        <w:tc>
          <w:tcPr>
            <w:shd w:val="clear" w:fill="DBE5F1"/>
            <w:tcW w:w="2190" w:type="dxa"/>
            <w:vAlign w:val="top"/>
            <w:tcBorders>
              <w:bottom w:val="single" w:color="000000" w:sz="2" w:space="0"/>
              <w:top w:val="single" w:color="000000" w:sz="2" w:space="0"/>
            </w:tcBorders>
          </w:tcPr>
          <w:p>
            <w:pPr>
              <w:pStyle w:val="TableText"/>
              <w:ind w:left="459"/>
              <w:spacing w:before="127" w:line="220" w:lineRule="auto"/>
              <w:rPr>
                <w:sz w:val="18"/>
                <w:szCs w:val="18"/>
              </w:rPr>
            </w:pPr>
            <w:r>
              <w:rPr>
                <w:sz w:val="18"/>
                <w:szCs w:val="18"/>
                <w:b/>
                <w:bCs/>
                <w:spacing w:val="5"/>
              </w:rPr>
              <w:t>占贷款总额比例(</w:t>
            </w:r>
            <w:r>
              <w:rPr>
                <w:rFonts w:ascii="Times New Roman" w:hAnsi="Times New Roman" w:eastAsia="Times New Roman" w:cs="Times New Roman"/>
                <w:sz w:val="18"/>
                <w:szCs w:val="18"/>
                <w:b/>
                <w:bCs/>
                <w:spacing w:val="5"/>
              </w:rPr>
              <w:t>%</w:t>
            </w:r>
            <w:r>
              <w:rPr>
                <w:sz w:val="18"/>
                <w:szCs w:val="18"/>
                <w:b/>
                <w:bCs/>
                <w:spacing w:val="5"/>
              </w:rPr>
              <w:t>)</w:t>
            </w:r>
          </w:p>
        </w:tc>
        <w:tc>
          <w:tcPr>
            <w:shd w:val="clear" w:fill="DBE5F1"/>
            <w:tcW w:w="98" w:type="dxa"/>
            <w:vAlign w:val="top"/>
            <w:tcBorders>
              <w:bottom w:val="single" w:color="000000" w:sz="2" w:space="0"/>
              <w:top w:val="single" w:color="000000" w:sz="2" w:space="0"/>
            </w:tcBorders>
          </w:tcPr>
          <w:p>
            <w:pPr>
              <w:ind w:firstLine="40"/>
              <w:spacing w:line="388" w:lineRule="exact"/>
              <w:rPr/>
            </w:pPr>
            <w:r>
              <w:rPr>
                <w:position w:val="-8"/>
              </w:rPr>
              <w:pict>
                <v:shape id="_x0000_s590" style="mso-position-vertical-relative:line;mso-position-horizontal-relative:char;width:2.9pt;height:19.75pt;" fillcolor="#DBE5F1" filled="true" stroked="false" coordsize="58,395" coordorigin="0,0" path="m0,394l57,394l57,0l0,0l0,394xe"/>
              </w:pict>
            </w:r>
          </w:p>
        </w:tc>
      </w:tr>
      <w:tr>
        <w:trPr>
          <w:trHeight w:val="400" w:hRule="atLeast"/>
        </w:trPr>
        <w:tc>
          <w:tcPr>
            <w:tcW w:w="1716" w:type="dxa"/>
            <w:vAlign w:val="top"/>
            <w:tcBorders>
              <w:bottom w:val="single" w:color="000000" w:sz="2" w:space="0"/>
              <w:top w:val="single" w:color="000000" w:sz="2" w:space="0"/>
            </w:tcBorders>
          </w:tcPr>
          <w:p>
            <w:pPr>
              <w:pStyle w:val="TableText"/>
              <w:ind w:left="80"/>
              <w:spacing w:before="126" w:line="221" w:lineRule="auto"/>
              <w:rPr>
                <w:rFonts w:ascii="Times New Roman" w:hAnsi="Times New Roman" w:eastAsia="Times New Roman" w:cs="Times New Roman"/>
                <w:sz w:val="18"/>
                <w:szCs w:val="18"/>
              </w:rPr>
            </w:pPr>
            <w:r>
              <w:rPr>
                <w:sz w:val="18"/>
                <w:szCs w:val="18"/>
                <w:spacing w:val="-3"/>
              </w:rPr>
              <w:t>客户</w:t>
            </w:r>
            <w:r>
              <w:rPr>
                <w:sz w:val="18"/>
                <w:szCs w:val="18"/>
                <w:spacing w:val="-43"/>
              </w:rPr>
              <w:t xml:space="preserve"> </w:t>
            </w:r>
            <w:r>
              <w:rPr>
                <w:rFonts w:ascii="Times New Roman" w:hAnsi="Times New Roman" w:eastAsia="Times New Roman" w:cs="Times New Roman"/>
                <w:sz w:val="18"/>
                <w:szCs w:val="18"/>
                <w:spacing w:val="-3"/>
              </w:rPr>
              <w:t>A</w:t>
            </w:r>
          </w:p>
        </w:tc>
        <w:tc>
          <w:tcPr>
            <w:tcW w:w="3961" w:type="dxa"/>
            <w:vAlign w:val="top"/>
            <w:gridSpan w:val="2"/>
            <w:tcBorders>
              <w:bottom w:val="single" w:color="000000" w:sz="2" w:space="0"/>
              <w:top w:val="single" w:color="000000" w:sz="2" w:space="0"/>
            </w:tcBorders>
          </w:tcPr>
          <w:p>
            <w:pPr>
              <w:pStyle w:val="TableText"/>
              <w:ind w:left="86"/>
              <w:spacing w:before="126" w:line="220" w:lineRule="auto"/>
              <w:rPr>
                <w:sz w:val="18"/>
                <w:szCs w:val="18"/>
              </w:rPr>
            </w:pPr>
            <w:r>
              <w:rPr>
                <w:sz w:val="18"/>
                <w:szCs w:val="18"/>
                <w:spacing w:val="-2"/>
              </w:rPr>
              <w:t>电力、热力、燃气及水生产和供应业</w:t>
            </w:r>
          </w:p>
        </w:tc>
        <w:tc>
          <w:tcPr>
            <w:tcW w:w="1608" w:type="dxa"/>
            <w:vAlign w:val="top"/>
            <w:gridSpan w:val="2"/>
            <w:tcBorders>
              <w:bottom w:val="single" w:color="000000" w:sz="2" w:space="0"/>
              <w:top w:val="single" w:color="000000" w:sz="2" w:space="0"/>
            </w:tcBorders>
          </w:tcPr>
          <w:p>
            <w:pPr>
              <w:ind w:left="1005"/>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57,000</w:t>
            </w:r>
          </w:p>
        </w:tc>
        <w:tc>
          <w:tcPr>
            <w:tcW w:w="2288" w:type="dxa"/>
            <w:vAlign w:val="top"/>
            <w:gridSpan w:val="2"/>
            <w:tcBorders>
              <w:bottom w:val="single" w:color="000000" w:sz="2" w:space="0"/>
              <w:top w:val="single" w:color="000000" w:sz="2" w:space="0"/>
            </w:tcBorders>
          </w:tcPr>
          <w:p>
            <w:pPr>
              <w:ind w:left="1922"/>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0.78</w:t>
            </w:r>
          </w:p>
        </w:tc>
      </w:tr>
      <w:tr>
        <w:trPr>
          <w:trHeight w:val="398" w:hRule="atLeast"/>
        </w:trPr>
        <w:tc>
          <w:tcPr>
            <w:tcW w:w="1716" w:type="dxa"/>
            <w:vAlign w:val="top"/>
            <w:tcBorders>
              <w:bottom w:val="single" w:color="000000" w:sz="2" w:space="0"/>
              <w:top w:val="single" w:color="000000" w:sz="2" w:space="0"/>
            </w:tcBorders>
          </w:tcPr>
          <w:p>
            <w:pPr>
              <w:pStyle w:val="TableText"/>
              <w:ind w:left="80"/>
              <w:spacing w:before="127" w:line="221" w:lineRule="auto"/>
              <w:rPr>
                <w:rFonts w:ascii="Times New Roman" w:hAnsi="Times New Roman" w:eastAsia="Times New Roman" w:cs="Times New Roman"/>
                <w:sz w:val="18"/>
                <w:szCs w:val="18"/>
              </w:rPr>
            </w:pPr>
            <w:r>
              <w:rPr>
                <w:sz w:val="18"/>
                <w:szCs w:val="18"/>
                <w:spacing w:val="-3"/>
              </w:rPr>
              <w:t>客户</w:t>
            </w:r>
            <w:r>
              <w:rPr>
                <w:sz w:val="18"/>
                <w:szCs w:val="18"/>
                <w:spacing w:val="-41"/>
              </w:rPr>
              <w:t xml:space="preserve"> </w:t>
            </w:r>
            <w:r>
              <w:rPr>
                <w:rFonts w:ascii="Times New Roman" w:hAnsi="Times New Roman" w:eastAsia="Times New Roman" w:cs="Times New Roman"/>
                <w:sz w:val="18"/>
                <w:szCs w:val="18"/>
                <w:spacing w:val="-3"/>
              </w:rPr>
              <w:t>B</w:t>
            </w:r>
          </w:p>
        </w:tc>
        <w:tc>
          <w:tcPr>
            <w:tcW w:w="3961" w:type="dxa"/>
            <w:vAlign w:val="top"/>
            <w:gridSpan w:val="2"/>
            <w:tcBorders>
              <w:bottom w:val="single" w:color="000000" w:sz="2" w:space="0"/>
              <w:top w:val="single" w:color="000000" w:sz="2" w:space="0"/>
            </w:tcBorders>
          </w:tcPr>
          <w:p>
            <w:pPr>
              <w:pStyle w:val="TableText"/>
              <w:ind w:left="86"/>
              <w:spacing w:before="127" w:line="220" w:lineRule="auto"/>
              <w:rPr>
                <w:sz w:val="18"/>
                <w:szCs w:val="18"/>
              </w:rPr>
            </w:pPr>
            <w:r>
              <w:rPr>
                <w:sz w:val="18"/>
                <w:szCs w:val="18"/>
                <w:spacing w:val="-2"/>
              </w:rPr>
              <w:t>电力、热力、燃气及水生产和供应业</w:t>
            </w:r>
          </w:p>
        </w:tc>
        <w:tc>
          <w:tcPr>
            <w:tcW w:w="1608" w:type="dxa"/>
            <w:vAlign w:val="top"/>
            <w:gridSpan w:val="2"/>
            <w:tcBorders>
              <w:bottom w:val="single" w:color="000000" w:sz="2" w:space="0"/>
              <w:top w:val="single" w:color="000000" w:sz="2" w:space="0"/>
            </w:tcBorders>
          </w:tcPr>
          <w:p>
            <w:pPr>
              <w:ind w:left="1003"/>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37,700</w:t>
            </w:r>
          </w:p>
        </w:tc>
        <w:tc>
          <w:tcPr>
            <w:tcW w:w="2288" w:type="dxa"/>
            <w:vAlign w:val="top"/>
            <w:gridSpan w:val="2"/>
            <w:tcBorders>
              <w:bottom w:val="single" w:color="000000" w:sz="2" w:space="0"/>
              <w:top w:val="single" w:color="000000" w:sz="2" w:space="0"/>
            </w:tcBorders>
          </w:tcPr>
          <w:p>
            <w:pPr>
              <w:ind w:left="1922"/>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0.52</w:t>
            </w:r>
          </w:p>
        </w:tc>
      </w:tr>
      <w:tr>
        <w:trPr>
          <w:trHeight w:val="398" w:hRule="atLeast"/>
        </w:trPr>
        <w:tc>
          <w:tcPr>
            <w:tcW w:w="1716" w:type="dxa"/>
            <w:vAlign w:val="top"/>
            <w:tcBorders>
              <w:bottom w:val="single" w:color="000000" w:sz="2" w:space="0"/>
              <w:top w:val="single" w:color="000000" w:sz="2" w:space="0"/>
            </w:tcBorders>
          </w:tcPr>
          <w:p>
            <w:pPr>
              <w:pStyle w:val="TableText"/>
              <w:ind w:left="80"/>
              <w:spacing w:before="127" w:line="221" w:lineRule="auto"/>
              <w:rPr>
                <w:rFonts w:ascii="Times New Roman" w:hAnsi="Times New Roman" w:eastAsia="Times New Roman" w:cs="Times New Roman"/>
                <w:sz w:val="18"/>
                <w:szCs w:val="18"/>
              </w:rPr>
            </w:pPr>
            <w:r>
              <w:rPr>
                <w:sz w:val="18"/>
                <w:szCs w:val="18"/>
                <w:spacing w:val="-3"/>
              </w:rPr>
              <w:t>客户</w:t>
            </w:r>
            <w:r>
              <w:rPr>
                <w:sz w:val="18"/>
                <w:szCs w:val="18"/>
                <w:spacing w:val="-38"/>
              </w:rPr>
              <w:t xml:space="preserve"> </w:t>
            </w:r>
            <w:r>
              <w:rPr>
                <w:rFonts w:ascii="Times New Roman" w:hAnsi="Times New Roman" w:eastAsia="Times New Roman" w:cs="Times New Roman"/>
                <w:sz w:val="18"/>
                <w:szCs w:val="18"/>
                <w:spacing w:val="-3"/>
              </w:rPr>
              <w:t>C</w:t>
            </w:r>
          </w:p>
        </w:tc>
        <w:tc>
          <w:tcPr>
            <w:tcW w:w="3961" w:type="dxa"/>
            <w:vAlign w:val="top"/>
            <w:gridSpan w:val="2"/>
            <w:tcBorders>
              <w:bottom w:val="single" w:color="000000" w:sz="2" w:space="0"/>
              <w:top w:val="single" w:color="000000" w:sz="2" w:space="0"/>
            </w:tcBorders>
          </w:tcPr>
          <w:p>
            <w:pPr>
              <w:pStyle w:val="TableText"/>
              <w:ind w:left="68"/>
              <w:spacing w:before="128" w:line="220" w:lineRule="auto"/>
              <w:rPr>
                <w:sz w:val="18"/>
                <w:szCs w:val="18"/>
              </w:rPr>
            </w:pPr>
            <w:r>
              <w:rPr>
                <w:sz w:val="18"/>
                <w:szCs w:val="18"/>
                <w:spacing w:val="-1"/>
              </w:rPr>
              <w:t>交通运输、仓储和邮政业</w:t>
            </w:r>
          </w:p>
        </w:tc>
        <w:tc>
          <w:tcPr>
            <w:tcW w:w="1608" w:type="dxa"/>
            <w:vAlign w:val="top"/>
            <w:gridSpan w:val="2"/>
            <w:tcBorders>
              <w:bottom w:val="single" w:color="000000" w:sz="2" w:space="0"/>
              <w:top w:val="single" w:color="000000" w:sz="2" w:space="0"/>
            </w:tcBorders>
          </w:tcPr>
          <w:p>
            <w:pPr>
              <w:ind w:left="1003"/>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34,762</w:t>
            </w:r>
          </w:p>
        </w:tc>
        <w:tc>
          <w:tcPr>
            <w:tcW w:w="2288" w:type="dxa"/>
            <w:vAlign w:val="top"/>
            <w:gridSpan w:val="2"/>
            <w:tcBorders>
              <w:bottom w:val="single" w:color="000000" w:sz="2" w:space="0"/>
              <w:top w:val="single" w:color="000000" w:sz="2" w:space="0"/>
            </w:tcBorders>
          </w:tcPr>
          <w:p>
            <w:pPr>
              <w:ind w:left="1922"/>
              <w:spacing w:before="160"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0.48</w:t>
            </w:r>
          </w:p>
        </w:tc>
      </w:tr>
      <w:tr>
        <w:trPr>
          <w:trHeight w:val="400" w:hRule="atLeast"/>
        </w:trPr>
        <w:tc>
          <w:tcPr>
            <w:tcW w:w="1716" w:type="dxa"/>
            <w:vAlign w:val="top"/>
            <w:tcBorders>
              <w:bottom w:val="single" w:color="000000" w:sz="2" w:space="0"/>
              <w:top w:val="single" w:color="000000" w:sz="2" w:space="0"/>
            </w:tcBorders>
          </w:tcPr>
          <w:p>
            <w:pPr>
              <w:pStyle w:val="TableText"/>
              <w:ind w:left="80"/>
              <w:spacing w:before="127" w:line="221" w:lineRule="auto"/>
              <w:rPr>
                <w:rFonts w:ascii="Times New Roman" w:hAnsi="Times New Roman" w:eastAsia="Times New Roman" w:cs="Times New Roman"/>
                <w:sz w:val="18"/>
                <w:szCs w:val="18"/>
              </w:rPr>
            </w:pPr>
            <w:r>
              <w:rPr>
                <w:sz w:val="18"/>
                <w:szCs w:val="18"/>
                <w:spacing w:val="-3"/>
              </w:rPr>
              <w:t>客户</w:t>
            </w:r>
            <w:r>
              <w:rPr>
                <w:sz w:val="18"/>
                <w:szCs w:val="18"/>
                <w:spacing w:val="-41"/>
              </w:rPr>
              <w:t xml:space="preserve"> </w:t>
            </w:r>
            <w:r>
              <w:rPr>
                <w:rFonts w:ascii="Times New Roman" w:hAnsi="Times New Roman" w:eastAsia="Times New Roman" w:cs="Times New Roman"/>
                <w:sz w:val="18"/>
                <w:szCs w:val="18"/>
                <w:spacing w:val="-3"/>
              </w:rPr>
              <w:t>D</w:t>
            </w:r>
          </w:p>
        </w:tc>
        <w:tc>
          <w:tcPr>
            <w:tcW w:w="3961" w:type="dxa"/>
            <w:vAlign w:val="top"/>
            <w:gridSpan w:val="2"/>
            <w:tcBorders>
              <w:bottom w:val="single" w:color="000000" w:sz="2" w:space="0"/>
              <w:top w:val="single" w:color="000000" w:sz="2" w:space="0"/>
            </w:tcBorders>
          </w:tcPr>
          <w:p>
            <w:pPr>
              <w:pStyle w:val="TableText"/>
              <w:ind w:left="65"/>
              <w:spacing w:before="128" w:line="220" w:lineRule="auto"/>
              <w:rPr>
                <w:sz w:val="18"/>
                <w:szCs w:val="18"/>
              </w:rPr>
            </w:pPr>
            <w:r>
              <w:rPr>
                <w:sz w:val="18"/>
                <w:szCs w:val="18"/>
                <w:spacing w:val="-2"/>
              </w:rPr>
              <w:t>房地产业</w:t>
            </w:r>
          </w:p>
        </w:tc>
        <w:tc>
          <w:tcPr>
            <w:tcW w:w="1608" w:type="dxa"/>
            <w:vAlign w:val="top"/>
            <w:gridSpan w:val="2"/>
            <w:tcBorders>
              <w:bottom w:val="single" w:color="000000" w:sz="2" w:space="0"/>
              <w:top w:val="single" w:color="000000" w:sz="2" w:space="0"/>
            </w:tcBorders>
          </w:tcPr>
          <w:p>
            <w:pPr>
              <w:ind w:left="1017"/>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18,889</w:t>
            </w:r>
          </w:p>
        </w:tc>
        <w:tc>
          <w:tcPr>
            <w:tcW w:w="2288" w:type="dxa"/>
            <w:vAlign w:val="top"/>
            <w:gridSpan w:val="2"/>
            <w:tcBorders>
              <w:bottom w:val="single" w:color="000000" w:sz="2" w:space="0"/>
              <w:top w:val="single" w:color="000000" w:sz="2" w:space="0"/>
            </w:tcBorders>
          </w:tcPr>
          <w:p>
            <w:pPr>
              <w:ind w:left="1922"/>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0.26</w:t>
            </w:r>
          </w:p>
        </w:tc>
      </w:tr>
      <w:tr>
        <w:trPr>
          <w:trHeight w:val="398" w:hRule="atLeast"/>
        </w:trPr>
        <w:tc>
          <w:tcPr>
            <w:tcW w:w="1716" w:type="dxa"/>
            <w:vAlign w:val="top"/>
            <w:tcBorders>
              <w:bottom w:val="single" w:color="000000" w:sz="2" w:space="0"/>
              <w:top w:val="single" w:color="000000" w:sz="2" w:space="0"/>
            </w:tcBorders>
          </w:tcPr>
          <w:p>
            <w:pPr>
              <w:pStyle w:val="TableText"/>
              <w:ind w:left="80"/>
              <w:spacing w:before="128" w:line="221" w:lineRule="auto"/>
              <w:rPr>
                <w:rFonts w:ascii="Times New Roman" w:hAnsi="Times New Roman" w:eastAsia="Times New Roman" w:cs="Times New Roman"/>
                <w:sz w:val="18"/>
                <w:szCs w:val="18"/>
              </w:rPr>
            </w:pPr>
            <w:r>
              <w:rPr>
                <w:sz w:val="18"/>
                <w:szCs w:val="18"/>
                <w:spacing w:val="-3"/>
              </w:rPr>
              <w:t>客户</w:t>
            </w:r>
            <w:r>
              <w:rPr>
                <w:sz w:val="18"/>
                <w:szCs w:val="18"/>
                <w:spacing w:val="-41"/>
              </w:rPr>
              <w:t xml:space="preserve"> </w:t>
            </w:r>
            <w:r>
              <w:rPr>
                <w:rFonts w:ascii="Times New Roman" w:hAnsi="Times New Roman" w:eastAsia="Times New Roman" w:cs="Times New Roman"/>
                <w:sz w:val="18"/>
                <w:szCs w:val="18"/>
                <w:spacing w:val="-3"/>
              </w:rPr>
              <w:t>E</w:t>
            </w:r>
          </w:p>
        </w:tc>
        <w:tc>
          <w:tcPr>
            <w:tcW w:w="3961" w:type="dxa"/>
            <w:vAlign w:val="top"/>
            <w:gridSpan w:val="2"/>
            <w:tcBorders>
              <w:bottom w:val="single" w:color="000000" w:sz="2" w:space="0"/>
              <w:top w:val="single" w:color="000000" w:sz="2" w:space="0"/>
            </w:tcBorders>
          </w:tcPr>
          <w:p>
            <w:pPr>
              <w:pStyle w:val="TableText"/>
              <w:ind w:left="65"/>
              <w:spacing w:before="128" w:line="221" w:lineRule="auto"/>
              <w:rPr>
                <w:sz w:val="18"/>
                <w:szCs w:val="18"/>
              </w:rPr>
            </w:pPr>
            <w:r>
              <w:rPr>
                <w:sz w:val="18"/>
                <w:szCs w:val="18"/>
                <w:spacing w:val="-2"/>
              </w:rPr>
              <w:t>制造业</w:t>
            </w:r>
          </w:p>
        </w:tc>
        <w:tc>
          <w:tcPr>
            <w:tcW w:w="1608" w:type="dxa"/>
            <w:vAlign w:val="top"/>
            <w:gridSpan w:val="2"/>
            <w:tcBorders>
              <w:bottom w:val="single" w:color="000000" w:sz="2" w:space="0"/>
              <w:top w:val="single" w:color="000000" w:sz="2" w:space="0"/>
            </w:tcBorders>
          </w:tcPr>
          <w:p>
            <w:pPr>
              <w:ind w:left="1017"/>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15,670</w:t>
            </w:r>
          </w:p>
        </w:tc>
        <w:tc>
          <w:tcPr>
            <w:tcW w:w="2288" w:type="dxa"/>
            <w:vAlign w:val="top"/>
            <w:gridSpan w:val="2"/>
            <w:tcBorders>
              <w:bottom w:val="single" w:color="000000" w:sz="2" w:space="0"/>
              <w:top w:val="single" w:color="000000" w:sz="2" w:space="0"/>
            </w:tcBorders>
          </w:tcPr>
          <w:p>
            <w:pPr>
              <w:ind w:left="1922"/>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0.21</w:t>
            </w:r>
          </w:p>
        </w:tc>
      </w:tr>
      <w:tr>
        <w:trPr>
          <w:trHeight w:val="398" w:hRule="atLeast"/>
        </w:trPr>
        <w:tc>
          <w:tcPr>
            <w:tcW w:w="1716" w:type="dxa"/>
            <w:vAlign w:val="top"/>
            <w:tcBorders>
              <w:bottom w:val="single" w:color="000000" w:sz="2" w:space="0"/>
              <w:top w:val="single" w:color="000000" w:sz="2" w:space="0"/>
            </w:tcBorders>
          </w:tcPr>
          <w:p>
            <w:pPr>
              <w:pStyle w:val="TableText"/>
              <w:ind w:left="80"/>
              <w:spacing w:before="128" w:line="221" w:lineRule="auto"/>
              <w:rPr>
                <w:rFonts w:ascii="Times New Roman" w:hAnsi="Times New Roman" w:eastAsia="Times New Roman" w:cs="Times New Roman"/>
                <w:sz w:val="18"/>
                <w:szCs w:val="18"/>
              </w:rPr>
            </w:pPr>
            <w:r>
              <w:rPr>
                <w:sz w:val="18"/>
                <w:szCs w:val="18"/>
                <w:spacing w:val="-3"/>
              </w:rPr>
              <w:t>客户</w:t>
            </w:r>
            <w:r>
              <w:rPr>
                <w:sz w:val="18"/>
                <w:szCs w:val="18"/>
                <w:spacing w:val="-42"/>
              </w:rPr>
              <w:t xml:space="preserve"> </w:t>
            </w:r>
            <w:r>
              <w:rPr>
                <w:rFonts w:ascii="Times New Roman" w:hAnsi="Times New Roman" w:eastAsia="Times New Roman" w:cs="Times New Roman"/>
                <w:sz w:val="18"/>
                <w:szCs w:val="18"/>
                <w:spacing w:val="-3"/>
              </w:rPr>
              <w:t>F</w:t>
            </w:r>
          </w:p>
        </w:tc>
        <w:tc>
          <w:tcPr>
            <w:tcW w:w="3961" w:type="dxa"/>
            <w:vAlign w:val="top"/>
            <w:gridSpan w:val="2"/>
            <w:tcBorders>
              <w:bottom w:val="single" w:color="000000" w:sz="2" w:space="0"/>
              <w:top w:val="single" w:color="000000" w:sz="2" w:space="0"/>
            </w:tcBorders>
          </w:tcPr>
          <w:p>
            <w:pPr>
              <w:pStyle w:val="TableText"/>
              <w:ind w:left="68"/>
              <w:spacing w:before="129" w:line="220" w:lineRule="auto"/>
              <w:rPr>
                <w:sz w:val="18"/>
                <w:szCs w:val="18"/>
              </w:rPr>
            </w:pPr>
            <w:r>
              <w:rPr>
                <w:sz w:val="18"/>
                <w:szCs w:val="18"/>
                <w:spacing w:val="-1"/>
              </w:rPr>
              <w:t>交通运输、仓储和邮政业</w:t>
            </w:r>
          </w:p>
        </w:tc>
        <w:tc>
          <w:tcPr>
            <w:tcW w:w="1608" w:type="dxa"/>
            <w:vAlign w:val="top"/>
            <w:gridSpan w:val="2"/>
            <w:tcBorders>
              <w:bottom w:val="single" w:color="000000" w:sz="2" w:space="0"/>
              <w:top w:val="single" w:color="000000" w:sz="2" w:space="0"/>
            </w:tcBorders>
          </w:tcPr>
          <w:p>
            <w:pPr>
              <w:ind w:left="1017"/>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15,038</w:t>
            </w:r>
          </w:p>
        </w:tc>
        <w:tc>
          <w:tcPr>
            <w:tcW w:w="2288" w:type="dxa"/>
            <w:vAlign w:val="top"/>
            <w:gridSpan w:val="2"/>
            <w:tcBorders>
              <w:bottom w:val="single" w:color="000000" w:sz="2" w:space="0"/>
              <w:top w:val="single" w:color="000000" w:sz="2" w:space="0"/>
            </w:tcBorders>
          </w:tcPr>
          <w:p>
            <w:pPr>
              <w:ind w:left="1922"/>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0.21</w:t>
            </w:r>
          </w:p>
        </w:tc>
      </w:tr>
      <w:tr>
        <w:trPr>
          <w:trHeight w:val="400" w:hRule="atLeast"/>
        </w:trPr>
        <w:tc>
          <w:tcPr>
            <w:tcW w:w="1716" w:type="dxa"/>
            <w:vAlign w:val="top"/>
            <w:tcBorders>
              <w:bottom w:val="single" w:color="000000" w:sz="2" w:space="0"/>
              <w:top w:val="single" w:color="000000" w:sz="2" w:space="0"/>
            </w:tcBorders>
          </w:tcPr>
          <w:p>
            <w:pPr>
              <w:pStyle w:val="TableText"/>
              <w:ind w:left="80"/>
              <w:spacing w:before="128" w:line="221" w:lineRule="auto"/>
              <w:rPr>
                <w:rFonts w:ascii="Times New Roman" w:hAnsi="Times New Roman" w:eastAsia="Times New Roman" w:cs="Times New Roman"/>
                <w:sz w:val="18"/>
                <w:szCs w:val="18"/>
              </w:rPr>
            </w:pPr>
            <w:r>
              <w:rPr>
                <w:sz w:val="18"/>
                <w:szCs w:val="18"/>
                <w:spacing w:val="-3"/>
              </w:rPr>
              <w:t>客户</w:t>
            </w:r>
            <w:r>
              <w:rPr>
                <w:sz w:val="18"/>
                <w:szCs w:val="18"/>
                <w:spacing w:val="-38"/>
              </w:rPr>
              <w:t xml:space="preserve"> </w:t>
            </w:r>
            <w:r>
              <w:rPr>
                <w:rFonts w:ascii="Times New Roman" w:hAnsi="Times New Roman" w:eastAsia="Times New Roman" w:cs="Times New Roman"/>
                <w:sz w:val="18"/>
                <w:szCs w:val="18"/>
                <w:spacing w:val="-3"/>
              </w:rPr>
              <w:t>G</w:t>
            </w:r>
          </w:p>
        </w:tc>
        <w:tc>
          <w:tcPr>
            <w:tcW w:w="3961" w:type="dxa"/>
            <w:vAlign w:val="top"/>
            <w:gridSpan w:val="2"/>
            <w:tcBorders>
              <w:bottom w:val="single" w:color="000000" w:sz="2" w:space="0"/>
              <w:top w:val="single" w:color="000000" w:sz="2" w:space="0"/>
            </w:tcBorders>
          </w:tcPr>
          <w:p>
            <w:pPr>
              <w:pStyle w:val="TableText"/>
              <w:ind w:left="68"/>
              <w:spacing w:before="129" w:line="220" w:lineRule="auto"/>
              <w:rPr>
                <w:sz w:val="18"/>
                <w:szCs w:val="18"/>
              </w:rPr>
            </w:pPr>
            <w:r>
              <w:rPr>
                <w:sz w:val="18"/>
                <w:szCs w:val="18"/>
                <w:spacing w:val="-1"/>
              </w:rPr>
              <w:t>交通运输、仓储和邮政业</w:t>
            </w:r>
          </w:p>
        </w:tc>
        <w:tc>
          <w:tcPr>
            <w:tcW w:w="1608" w:type="dxa"/>
            <w:vAlign w:val="top"/>
            <w:gridSpan w:val="2"/>
            <w:tcBorders>
              <w:bottom w:val="single" w:color="000000" w:sz="2" w:space="0"/>
              <w:top w:val="single" w:color="000000" w:sz="2" w:space="0"/>
            </w:tcBorders>
          </w:tcPr>
          <w:p>
            <w:pPr>
              <w:ind w:left="1017"/>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13,676</w:t>
            </w:r>
          </w:p>
        </w:tc>
        <w:tc>
          <w:tcPr>
            <w:tcW w:w="2288" w:type="dxa"/>
            <w:vAlign w:val="top"/>
            <w:gridSpan w:val="2"/>
            <w:tcBorders>
              <w:bottom w:val="single" w:color="000000" w:sz="2" w:space="0"/>
              <w:top w:val="single" w:color="000000" w:sz="2" w:space="0"/>
            </w:tcBorders>
          </w:tcPr>
          <w:p>
            <w:pPr>
              <w:ind w:left="1922"/>
              <w:spacing w:before="162"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0.19</w:t>
            </w:r>
          </w:p>
        </w:tc>
      </w:tr>
      <w:tr>
        <w:trPr>
          <w:trHeight w:val="398" w:hRule="atLeast"/>
        </w:trPr>
        <w:tc>
          <w:tcPr>
            <w:tcW w:w="1716" w:type="dxa"/>
            <w:vAlign w:val="top"/>
            <w:tcBorders>
              <w:bottom w:val="single" w:color="000000" w:sz="2" w:space="0"/>
              <w:top w:val="single" w:color="000000" w:sz="2" w:space="0"/>
            </w:tcBorders>
          </w:tcPr>
          <w:p>
            <w:pPr>
              <w:pStyle w:val="TableText"/>
              <w:ind w:left="80"/>
              <w:spacing w:before="130" w:line="221" w:lineRule="auto"/>
              <w:rPr>
                <w:rFonts w:ascii="Times New Roman" w:hAnsi="Times New Roman" w:eastAsia="Times New Roman" w:cs="Times New Roman"/>
                <w:sz w:val="18"/>
                <w:szCs w:val="18"/>
              </w:rPr>
            </w:pPr>
            <w:r>
              <w:rPr>
                <w:sz w:val="18"/>
                <w:szCs w:val="18"/>
                <w:spacing w:val="-3"/>
              </w:rPr>
              <w:t>客户</w:t>
            </w:r>
            <w:r>
              <w:rPr>
                <w:sz w:val="18"/>
                <w:szCs w:val="18"/>
                <w:spacing w:val="-41"/>
              </w:rPr>
              <w:t xml:space="preserve"> </w:t>
            </w:r>
            <w:r>
              <w:rPr>
                <w:rFonts w:ascii="Times New Roman" w:hAnsi="Times New Roman" w:eastAsia="Times New Roman" w:cs="Times New Roman"/>
                <w:sz w:val="18"/>
                <w:szCs w:val="18"/>
                <w:spacing w:val="-3"/>
              </w:rPr>
              <w:t>H</w:t>
            </w:r>
          </w:p>
        </w:tc>
        <w:tc>
          <w:tcPr>
            <w:tcW w:w="3961" w:type="dxa"/>
            <w:vAlign w:val="top"/>
            <w:gridSpan w:val="2"/>
            <w:tcBorders>
              <w:bottom w:val="single" w:color="000000" w:sz="2" w:space="0"/>
              <w:top w:val="single" w:color="000000" w:sz="2" w:space="0"/>
            </w:tcBorders>
          </w:tcPr>
          <w:p>
            <w:pPr>
              <w:pStyle w:val="TableText"/>
              <w:ind w:left="68"/>
              <w:spacing w:before="130" w:line="220" w:lineRule="auto"/>
              <w:rPr>
                <w:sz w:val="18"/>
                <w:szCs w:val="18"/>
              </w:rPr>
            </w:pPr>
            <w:r>
              <w:rPr>
                <w:sz w:val="18"/>
                <w:szCs w:val="18"/>
                <w:spacing w:val="-1"/>
              </w:rPr>
              <w:t>交通运输、仓储和邮政业</w:t>
            </w:r>
          </w:p>
        </w:tc>
        <w:tc>
          <w:tcPr>
            <w:tcW w:w="1608" w:type="dxa"/>
            <w:vAlign w:val="top"/>
            <w:gridSpan w:val="2"/>
            <w:tcBorders>
              <w:bottom w:val="single" w:color="000000" w:sz="2" w:space="0"/>
              <w:top w:val="single" w:color="000000" w:sz="2" w:space="0"/>
            </w:tcBorders>
          </w:tcPr>
          <w:p>
            <w:pPr>
              <w:ind w:left="1017"/>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13,271</w:t>
            </w:r>
          </w:p>
        </w:tc>
        <w:tc>
          <w:tcPr>
            <w:tcW w:w="2288" w:type="dxa"/>
            <w:vAlign w:val="top"/>
            <w:gridSpan w:val="2"/>
            <w:tcBorders>
              <w:bottom w:val="single" w:color="000000" w:sz="2" w:space="0"/>
              <w:top w:val="single" w:color="000000" w:sz="2" w:space="0"/>
            </w:tcBorders>
          </w:tcPr>
          <w:p>
            <w:pPr>
              <w:ind w:left="1922"/>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0.18</w:t>
            </w:r>
          </w:p>
        </w:tc>
      </w:tr>
      <w:tr>
        <w:trPr>
          <w:trHeight w:val="398" w:hRule="atLeast"/>
        </w:trPr>
        <w:tc>
          <w:tcPr>
            <w:tcW w:w="1716" w:type="dxa"/>
            <w:vAlign w:val="top"/>
            <w:tcBorders>
              <w:bottom w:val="single" w:color="000000" w:sz="2" w:space="0"/>
              <w:top w:val="single" w:color="000000" w:sz="2" w:space="0"/>
            </w:tcBorders>
          </w:tcPr>
          <w:p>
            <w:pPr>
              <w:pStyle w:val="TableText"/>
              <w:ind w:left="80"/>
              <w:spacing w:before="130" w:line="221" w:lineRule="auto"/>
              <w:rPr>
                <w:rFonts w:ascii="Times New Roman" w:hAnsi="Times New Roman" w:eastAsia="Times New Roman" w:cs="Times New Roman"/>
                <w:sz w:val="18"/>
                <w:szCs w:val="18"/>
              </w:rPr>
            </w:pPr>
            <w:r>
              <w:rPr>
                <w:sz w:val="18"/>
                <w:szCs w:val="18"/>
                <w:spacing w:val="-3"/>
              </w:rPr>
              <w:t>客户</w:t>
            </w:r>
            <w:r>
              <w:rPr>
                <w:sz w:val="18"/>
                <w:szCs w:val="18"/>
                <w:spacing w:val="-40"/>
              </w:rPr>
              <w:t xml:space="preserve"> </w:t>
            </w:r>
            <w:r>
              <w:rPr>
                <w:rFonts w:ascii="Times New Roman" w:hAnsi="Times New Roman" w:eastAsia="Times New Roman" w:cs="Times New Roman"/>
                <w:sz w:val="18"/>
                <w:szCs w:val="18"/>
                <w:spacing w:val="-3"/>
              </w:rPr>
              <w:t>I</w:t>
            </w:r>
          </w:p>
        </w:tc>
        <w:tc>
          <w:tcPr>
            <w:tcW w:w="3961" w:type="dxa"/>
            <w:vAlign w:val="top"/>
            <w:gridSpan w:val="2"/>
            <w:tcBorders>
              <w:bottom w:val="single" w:color="000000" w:sz="2" w:space="0"/>
              <w:top w:val="single" w:color="000000" w:sz="2" w:space="0"/>
            </w:tcBorders>
          </w:tcPr>
          <w:p>
            <w:pPr>
              <w:pStyle w:val="TableText"/>
              <w:ind w:left="68"/>
              <w:spacing w:before="130" w:line="220" w:lineRule="auto"/>
              <w:rPr>
                <w:sz w:val="18"/>
                <w:szCs w:val="18"/>
              </w:rPr>
            </w:pPr>
            <w:r>
              <w:rPr>
                <w:sz w:val="18"/>
                <w:szCs w:val="18"/>
                <w:spacing w:val="-1"/>
              </w:rPr>
              <w:t>交通运输、仓储和邮政业</w:t>
            </w:r>
          </w:p>
        </w:tc>
        <w:tc>
          <w:tcPr>
            <w:tcW w:w="1608" w:type="dxa"/>
            <w:vAlign w:val="top"/>
            <w:gridSpan w:val="2"/>
            <w:tcBorders>
              <w:bottom w:val="single" w:color="000000" w:sz="2" w:space="0"/>
              <w:top w:val="single" w:color="000000" w:sz="2" w:space="0"/>
            </w:tcBorders>
          </w:tcPr>
          <w:p>
            <w:pPr>
              <w:ind w:left="1017"/>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13,177</w:t>
            </w:r>
          </w:p>
        </w:tc>
        <w:tc>
          <w:tcPr>
            <w:tcW w:w="2288" w:type="dxa"/>
            <w:vAlign w:val="top"/>
            <w:gridSpan w:val="2"/>
            <w:tcBorders>
              <w:bottom w:val="single" w:color="000000" w:sz="2" w:space="0"/>
              <w:top w:val="single" w:color="000000" w:sz="2" w:space="0"/>
            </w:tcBorders>
          </w:tcPr>
          <w:p>
            <w:pPr>
              <w:ind w:left="1922"/>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0.18</w:t>
            </w:r>
          </w:p>
        </w:tc>
      </w:tr>
      <w:tr>
        <w:trPr>
          <w:trHeight w:val="400" w:hRule="atLeast"/>
        </w:trPr>
        <w:tc>
          <w:tcPr>
            <w:tcW w:w="1716" w:type="dxa"/>
            <w:vAlign w:val="top"/>
            <w:tcBorders>
              <w:bottom w:val="single" w:color="000000" w:sz="2" w:space="0"/>
              <w:top w:val="single" w:color="000000" w:sz="2" w:space="0"/>
            </w:tcBorders>
          </w:tcPr>
          <w:p>
            <w:pPr>
              <w:pStyle w:val="TableText"/>
              <w:ind w:left="80"/>
              <w:spacing w:before="130" w:line="221" w:lineRule="auto"/>
              <w:rPr>
                <w:rFonts w:ascii="Times New Roman" w:hAnsi="Times New Roman" w:eastAsia="Times New Roman" w:cs="Times New Roman"/>
                <w:sz w:val="18"/>
                <w:szCs w:val="18"/>
              </w:rPr>
            </w:pPr>
            <w:r>
              <w:rPr>
                <w:sz w:val="18"/>
                <w:szCs w:val="18"/>
                <w:spacing w:val="-3"/>
              </w:rPr>
              <w:t>客户</w:t>
            </w:r>
            <w:r>
              <w:rPr>
                <w:sz w:val="18"/>
                <w:szCs w:val="18"/>
                <w:spacing w:val="-41"/>
              </w:rPr>
              <w:t xml:space="preserve"> </w:t>
            </w:r>
            <w:r>
              <w:rPr>
                <w:rFonts w:ascii="Times New Roman" w:hAnsi="Times New Roman" w:eastAsia="Times New Roman" w:cs="Times New Roman"/>
                <w:sz w:val="18"/>
                <w:szCs w:val="18"/>
                <w:spacing w:val="-3"/>
              </w:rPr>
              <w:t>J</w:t>
            </w:r>
          </w:p>
        </w:tc>
        <w:tc>
          <w:tcPr>
            <w:tcW w:w="3961" w:type="dxa"/>
            <w:vAlign w:val="top"/>
            <w:gridSpan w:val="2"/>
            <w:tcBorders>
              <w:bottom w:val="single" w:color="000000" w:sz="2" w:space="0"/>
              <w:top w:val="single" w:color="000000" w:sz="2" w:space="0"/>
            </w:tcBorders>
          </w:tcPr>
          <w:p>
            <w:pPr>
              <w:pStyle w:val="TableText"/>
              <w:ind w:left="68"/>
              <w:spacing w:before="130" w:line="220" w:lineRule="auto"/>
              <w:rPr>
                <w:sz w:val="18"/>
                <w:szCs w:val="18"/>
              </w:rPr>
            </w:pPr>
            <w:r>
              <w:rPr>
                <w:sz w:val="18"/>
                <w:szCs w:val="18"/>
                <w:spacing w:val="-1"/>
              </w:rPr>
              <w:t>交通运输、仓储和邮政业</w:t>
            </w:r>
          </w:p>
        </w:tc>
        <w:tc>
          <w:tcPr>
            <w:tcW w:w="1608" w:type="dxa"/>
            <w:vAlign w:val="top"/>
            <w:gridSpan w:val="2"/>
            <w:tcBorders>
              <w:bottom w:val="single" w:color="000000" w:sz="2" w:space="0"/>
              <w:top w:val="single" w:color="000000" w:sz="2" w:space="0"/>
            </w:tcBorders>
          </w:tcPr>
          <w:p>
            <w:pPr>
              <w:ind w:left="1017"/>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12,864</w:t>
            </w:r>
          </w:p>
        </w:tc>
        <w:tc>
          <w:tcPr>
            <w:tcW w:w="2288" w:type="dxa"/>
            <w:vAlign w:val="top"/>
            <w:gridSpan w:val="2"/>
            <w:tcBorders>
              <w:bottom w:val="single" w:color="000000" w:sz="2" w:space="0"/>
              <w:top w:val="single" w:color="000000" w:sz="2" w:space="0"/>
            </w:tcBorders>
          </w:tcPr>
          <w:p>
            <w:pPr>
              <w:ind w:left="1922"/>
              <w:spacing w:before="163"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0.18</w:t>
            </w:r>
          </w:p>
        </w:tc>
      </w:tr>
      <w:tr>
        <w:trPr>
          <w:trHeight w:val="403" w:hRule="atLeast"/>
        </w:trPr>
        <w:tc>
          <w:tcPr>
            <w:tcW w:w="1716" w:type="dxa"/>
            <w:vAlign w:val="top"/>
            <w:tcBorders>
              <w:bottom w:val="single" w:color="000000" w:sz="2" w:space="0"/>
              <w:top w:val="single" w:color="000000" w:sz="2" w:space="0"/>
            </w:tcBorders>
          </w:tcPr>
          <w:p>
            <w:pPr>
              <w:pStyle w:val="TableText"/>
              <w:ind w:left="79"/>
              <w:spacing w:before="131" w:line="221" w:lineRule="auto"/>
              <w:rPr>
                <w:sz w:val="18"/>
                <w:szCs w:val="18"/>
              </w:rPr>
            </w:pPr>
            <w:r>
              <w:rPr>
                <w:sz w:val="18"/>
                <w:szCs w:val="18"/>
                <w:b/>
                <w:bCs/>
                <w:spacing w:val="-3"/>
              </w:rPr>
              <w:t>十大客户合计</w:t>
            </w:r>
          </w:p>
        </w:tc>
        <w:tc>
          <w:tcPr>
            <w:tcW w:w="3961" w:type="dxa"/>
            <w:vAlign w:val="top"/>
            <w:gridSpan w:val="2"/>
            <w:tcBorders>
              <w:bottom w:val="single" w:color="000000" w:sz="2" w:space="0"/>
              <w:top w:val="single" w:color="000000" w:sz="2" w:space="0"/>
            </w:tcBorders>
          </w:tcPr>
          <w:p>
            <w:pPr>
              <w:rPr>
                <w:rFonts w:ascii="Arial"/>
                <w:sz w:val="21"/>
              </w:rPr>
            </w:pPr>
            <w:r/>
          </w:p>
        </w:tc>
        <w:tc>
          <w:tcPr>
            <w:tcW w:w="1608" w:type="dxa"/>
            <w:vAlign w:val="top"/>
            <w:gridSpan w:val="2"/>
            <w:tcBorders>
              <w:bottom w:val="single" w:color="000000" w:sz="2" w:space="0"/>
              <w:top w:val="single" w:color="000000" w:sz="2" w:space="0"/>
            </w:tcBorders>
          </w:tcPr>
          <w:p>
            <w:pPr>
              <w:ind w:left="911"/>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232,047</w:t>
            </w:r>
          </w:p>
        </w:tc>
        <w:tc>
          <w:tcPr>
            <w:tcW w:w="2288" w:type="dxa"/>
            <w:vAlign w:val="top"/>
            <w:gridSpan w:val="2"/>
            <w:tcBorders>
              <w:bottom w:val="single" w:color="000000" w:sz="2" w:space="0"/>
              <w:top w:val="single" w:color="000000" w:sz="2" w:space="0"/>
            </w:tcBorders>
          </w:tcPr>
          <w:p>
            <w:pPr>
              <w:ind w:left="1923"/>
              <w:spacing w:before="164"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3.18</w:t>
            </w:r>
          </w:p>
        </w:tc>
      </w:tr>
    </w:tbl>
    <w:p>
      <w:pPr>
        <w:ind w:left="536"/>
        <w:spacing w:before="262" w:line="221" w:lineRule="auto"/>
        <w:rPr>
          <w:rFonts w:ascii="SimSun" w:hAnsi="SimSun" w:eastAsia="SimSun" w:cs="SimSun"/>
          <w:sz w:val="21"/>
          <w:szCs w:val="21"/>
        </w:rPr>
      </w:pPr>
      <w:r>
        <w:rPr>
          <w:rFonts w:ascii="SimSun" w:hAnsi="SimSun" w:eastAsia="SimSun" w:cs="SimSun"/>
          <w:sz w:val="21"/>
          <w:szCs w:val="21"/>
          <w:b/>
          <w:bCs/>
          <w:spacing w:val="9"/>
        </w:rPr>
        <w:t>(四)市场风险管理</w:t>
      </w:r>
    </w:p>
    <w:p>
      <w:pPr>
        <w:ind w:left="3" w:firstLine="425"/>
        <w:spacing w:before="306" w:line="269" w:lineRule="auto"/>
        <w:rPr>
          <w:rFonts w:ascii="SimSun" w:hAnsi="SimSun" w:eastAsia="SimSun" w:cs="SimSun"/>
          <w:sz w:val="21"/>
          <w:szCs w:val="21"/>
        </w:rPr>
      </w:pPr>
      <w:r>
        <w:rPr>
          <w:rFonts w:ascii="SimSun" w:hAnsi="SimSun" w:eastAsia="SimSun" w:cs="SimSun"/>
          <w:sz w:val="21"/>
          <w:szCs w:val="21"/>
          <w:spacing w:val="-4"/>
        </w:rPr>
        <w:t>市场风险是指因利率、汇率、商品价格和股票价格等的不利变动而使银行表内外业务发生损失的风险。</w:t>
      </w:r>
      <w:r>
        <w:rPr>
          <w:rFonts w:ascii="SimSun" w:hAnsi="SimSun" w:eastAsia="SimSun" w:cs="SimSun"/>
          <w:sz w:val="21"/>
          <w:szCs w:val="21"/>
          <w:spacing w:val="12"/>
        </w:rPr>
        <w:t xml:space="preserve"> </w:t>
      </w:r>
      <w:r>
        <w:rPr>
          <w:rFonts w:ascii="SimSun" w:hAnsi="SimSun" w:eastAsia="SimSun" w:cs="SimSun"/>
          <w:sz w:val="21"/>
          <w:szCs w:val="21"/>
          <w:spacing w:val="-1"/>
        </w:rPr>
        <w:t>本集团面临的主要市场风险是利率风险和汇率风险。</w:t>
      </w:r>
    </w:p>
    <w:p>
      <w:pPr>
        <w:pStyle w:val="BodyText"/>
        <w:rPr/>
      </w:pPr>
      <w:r/>
    </w:p>
    <w:p>
      <w:pPr>
        <w:ind w:left="2" w:right="73" w:firstLine="421"/>
        <w:spacing w:before="68" w:line="285" w:lineRule="auto"/>
        <w:jc w:val="both"/>
        <w:rPr>
          <w:rFonts w:ascii="SimSun" w:hAnsi="SimSun" w:eastAsia="SimSun" w:cs="SimSun"/>
          <w:sz w:val="21"/>
          <w:szCs w:val="21"/>
        </w:rPr>
      </w:pPr>
      <w:r>
        <w:rPr>
          <w:rFonts w:ascii="SimSun" w:hAnsi="SimSun" w:eastAsia="SimSun" w:cs="SimSun"/>
          <w:sz w:val="21"/>
          <w:szCs w:val="21"/>
        </w:rPr>
        <w:t>本集团市场风险管理的目标是根据董事会确</w:t>
      </w:r>
      <w:r>
        <w:rPr>
          <w:rFonts w:ascii="SimSun" w:hAnsi="SimSun" w:eastAsia="SimSun" w:cs="SimSun"/>
          <w:sz w:val="21"/>
          <w:szCs w:val="21"/>
          <w:spacing w:val="-1"/>
        </w:rPr>
        <w:t>定的风险偏好, 主动识别、计量、监测、控制和报告市场</w:t>
      </w:r>
      <w:r>
        <w:rPr>
          <w:rFonts w:ascii="SimSun" w:hAnsi="SimSun" w:eastAsia="SimSun" w:cs="SimSun"/>
          <w:sz w:val="21"/>
          <w:szCs w:val="21"/>
        </w:rPr>
        <w:t xml:space="preserve"> </w:t>
      </w:r>
      <w:r>
        <w:rPr>
          <w:rFonts w:ascii="SimSun" w:hAnsi="SimSun" w:eastAsia="SimSun" w:cs="SimSun"/>
          <w:sz w:val="21"/>
          <w:szCs w:val="21"/>
          <w:spacing w:val="-1"/>
        </w:rPr>
        <w:t>风险, 通过采用限额管理、风险对冲和风险转移等方法和手段将市场风险控制在可承受的</w:t>
      </w:r>
      <w:r>
        <w:rPr>
          <w:rFonts w:ascii="SimSun" w:hAnsi="SimSun" w:eastAsia="SimSun" w:cs="SimSun"/>
          <w:sz w:val="21"/>
          <w:szCs w:val="21"/>
          <w:spacing w:val="-2"/>
        </w:rPr>
        <w:t>范围内,</w:t>
      </w:r>
      <w:r>
        <w:rPr>
          <w:rFonts w:ascii="SimSun" w:hAnsi="SimSun" w:eastAsia="SimSun" w:cs="SimSun"/>
          <w:sz w:val="21"/>
          <w:szCs w:val="21"/>
          <w:spacing w:val="29"/>
        </w:rPr>
        <w:t xml:space="preserve"> </w:t>
      </w:r>
      <w:r>
        <w:rPr>
          <w:rFonts w:ascii="SimSun" w:hAnsi="SimSun" w:eastAsia="SimSun" w:cs="SimSun"/>
          <w:sz w:val="21"/>
          <w:szCs w:val="21"/>
          <w:spacing w:val="-2"/>
        </w:rPr>
        <w:t>并在此</w:t>
      </w:r>
      <w:r>
        <w:rPr>
          <w:rFonts w:ascii="SimSun" w:hAnsi="SimSun" w:eastAsia="SimSun" w:cs="SimSun"/>
          <w:sz w:val="21"/>
          <w:szCs w:val="21"/>
        </w:rPr>
        <w:t xml:space="preserve"> </w:t>
      </w:r>
      <w:r>
        <w:rPr>
          <w:rFonts w:ascii="SimSun" w:hAnsi="SimSun" w:eastAsia="SimSun" w:cs="SimSun"/>
          <w:sz w:val="21"/>
          <w:szCs w:val="21"/>
          <w:spacing w:val="-2"/>
        </w:rPr>
        <w:t>基础上追求经风险调整后的收益最大化。</w:t>
      </w:r>
    </w:p>
    <w:p>
      <w:pPr>
        <w:ind w:left="1" w:right="72" w:firstLine="422"/>
        <w:spacing w:before="304" w:line="301" w:lineRule="auto"/>
        <w:jc w:val="both"/>
        <w:rPr>
          <w:rFonts w:ascii="SimSun" w:hAnsi="SimSun" w:eastAsia="SimSun" w:cs="SimSun"/>
          <w:sz w:val="21"/>
          <w:szCs w:val="21"/>
        </w:rPr>
      </w:pPr>
      <w:r>
        <w:rPr>
          <w:rFonts w:ascii="SimSun" w:hAnsi="SimSun" w:eastAsia="SimSun" w:cs="SimSun"/>
          <w:sz w:val="21"/>
          <w:szCs w:val="21"/>
        </w:rPr>
        <w:t>本集团对法人的汇率风险和交易账簿利率风</w:t>
      </w:r>
      <w:r>
        <w:rPr>
          <w:rFonts w:ascii="SimSun" w:hAnsi="SimSun" w:eastAsia="SimSun" w:cs="SimSun"/>
          <w:sz w:val="21"/>
          <w:szCs w:val="21"/>
          <w:spacing w:val="-1"/>
        </w:rPr>
        <w:t>险的一般市场风险采用内部模型法计量资本占用, 对内部</w:t>
      </w:r>
      <w:r>
        <w:rPr>
          <w:rFonts w:ascii="SimSun" w:hAnsi="SimSun" w:eastAsia="SimSun" w:cs="SimSun"/>
          <w:sz w:val="21"/>
          <w:szCs w:val="21"/>
        </w:rPr>
        <w:t xml:space="preserve"> </w:t>
      </w:r>
      <w:r>
        <w:rPr>
          <w:rFonts w:ascii="SimSun" w:hAnsi="SimSun" w:eastAsia="SimSun" w:cs="SimSun"/>
          <w:sz w:val="21"/>
          <w:szCs w:val="21"/>
          <w:spacing w:val="2"/>
        </w:rPr>
        <w:t>模型法未覆盖部分的市场风险采用标准法计量资本占用。内部模型法采用历史模</w:t>
      </w:r>
      <w:r>
        <w:rPr>
          <w:rFonts w:ascii="SimSun" w:hAnsi="SimSun" w:eastAsia="SimSun" w:cs="SimSun"/>
          <w:sz w:val="21"/>
          <w:szCs w:val="21"/>
          <w:spacing w:val="1"/>
        </w:rPr>
        <w:t>拟法计量风险价值</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VaR</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 xml:space="preserve"> </w:t>
      </w:r>
      <w:r>
        <w:rPr>
          <w:rFonts w:ascii="SimSun" w:hAnsi="SimSun" w:eastAsia="SimSun" w:cs="SimSun"/>
          <w:sz w:val="21"/>
          <w:szCs w:val="21"/>
          <w:spacing w:val="-1"/>
        </w:rPr>
        <w:t>和压力风险价值</w:t>
      </w:r>
      <w:r>
        <w:rPr>
          <w:rFonts w:ascii="Times New Roman" w:hAnsi="Times New Roman" w:eastAsia="Times New Roman" w:cs="Times New Roman"/>
          <w:sz w:val="21"/>
          <w:szCs w:val="21"/>
          <w:spacing w:val="-1"/>
        </w:rPr>
        <w:t>(SVaR)</w:t>
      </w:r>
      <w:r>
        <w:rPr>
          <w:rFonts w:ascii="SimSun" w:hAnsi="SimSun" w:eastAsia="SimSun" w:cs="SimSun"/>
          <w:sz w:val="21"/>
          <w:szCs w:val="21"/>
          <w:spacing w:val="-1"/>
        </w:rPr>
        <w:t>,</w:t>
      </w:r>
      <w:r>
        <w:rPr>
          <w:rFonts w:ascii="SimSun" w:hAnsi="SimSun" w:eastAsia="SimSun" w:cs="SimSun"/>
          <w:sz w:val="21"/>
          <w:szCs w:val="21"/>
          <w:spacing w:val="31"/>
        </w:rPr>
        <w:t xml:space="preserve"> </w:t>
      </w:r>
      <w:r>
        <w:rPr>
          <w:rFonts w:ascii="SimSun" w:hAnsi="SimSun" w:eastAsia="SimSun" w:cs="SimSun"/>
          <w:sz w:val="21"/>
          <w:szCs w:val="21"/>
          <w:spacing w:val="-1"/>
        </w:rPr>
        <w:t>历史观察期均为 </w:t>
      </w:r>
      <w:r>
        <w:rPr>
          <w:rFonts w:ascii="Times New Roman" w:hAnsi="Times New Roman" w:eastAsia="Times New Roman" w:cs="Times New Roman"/>
          <w:sz w:val="21"/>
          <w:szCs w:val="21"/>
          <w:spacing w:val="-1"/>
        </w:rPr>
        <w:t>1</w:t>
      </w:r>
      <w:r>
        <w:rPr>
          <w:rFonts w:ascii="Times New Roman" w:hAnsi="Times New Roman" w:eastAsia="Times New Roman" w:cs="Times New Roman"/>
          <w:sz w:val="21"/>
          <w:szCs w:val="21"/>
          <w:spacing w:val="21"/>
          <w:w w:val="101"/>
        </w:rPr>
        <w:t xml:space="preserve"> </w:t>
      </w:r>
      <w:r>
        <w:rPr>
          <w:rFonts w:ascii="SimSun" w:hAnsi="SimSun" w:eastAsia="SimSun" w:cs="SimSun"/>
          <w:sz w:val="21"/>
          <w:szCs w:val="21"/>
          <w:spacing w:val="-1"/>
        </w:rPr>
        <w:t>年</w:t>
      </w:r>
      <w:r>
        <w:rPr>
          <w:rFonts w:ascii="SimSun" w:hAnsi="SimSun" w:eastAsia="SimSun" w:cs="SimSun"/>
          <w:sz w:val="21"/>
          <w:szCs w:val="21"/>
          <w:spacing w:val="-2"/>
        </w:rPr>
        <w:t>,</w:t>
      </w:r>
      <w:r>
        <w:rPr>
          <w:rFonts w:ascii="SimSun" w:hAnsi="SimSun" w:eastAsia="SimSun" w:cs="SimSun"/>
          <w:sz w:val="21"/>
          <w:szCs w:val="21"/>
          <w:spacing w:val="31"/>
        </w:rPr>
        <w:t xml:space="preserve"> </w:t>
      </w:r>
      <w:r>
        <w:rPr>
          <w:rFonts w:ascii="SimSun" w:hAnsi="SimSun" w:eastAsia="SimSun" w:cs="SimSun"/>
          <w:sz w:val="21"/>
          <w:szCs w:val="21"/>
          <w:spacing w:val="-2"/>
        </w:rPr>
        <w:t>持有期为 </w:t>
      </w:r>
      <w:r>
        <w:rPr>
          <w:rFonts w:ascii="Times New Roman" w:hAnsi="Times New Roman" w:eastAsia="Times New Roman" w:cs="Times New Roman"/>
          <w:sz w:val="21"/>
          <w:szCs w:val="21"/>
          <w:spacing w:val="-2"/>
        </w:rPr>
        <w:t>10</w:t>
      </w:r>
      <w:r>
        <w:rPr>
          <w:rFonts w:ascii="Times New Roman" w:hAnsi="Times New Roman" w:eastAsia="Times New Roman" w:cs="Times New Roman"/>
          <w:sz w:val="21"/>
          <w:szCs w:val="21"/>
          <w:spacing w:val="21"/>
        </w:rPr>
        <w:t xml:space="preserve"> </w:t>
      </w:r>
      <w:r>
        <w:rPr>
          <w:rFonts w:ascii="SimSun" w:hAnsi="SimSun" w:eastAsia="SimSun" w:cs="SimSun"/>
          <w:sz w:val="21"/>
          <w:szCs w:val="21"/>
          <w:spacing w:val="-2"/>
        </w:rPr>
        <w:t>个工作日,单尾置信区间为</w:t>
      </w:r>
      <w:r>
        <w:rPr>
          <w:rFonts w:ascii="SimSun" w:hAnsi="SimSun" w:eastAsia="SimSun" w:cs="SimSun"/>
          <w:sz w:val="21"/>
          <w:szCs w:val="21"/>
          <w:spacing w:val="-29"/>
        </w:rPr>
        <w:t xml:space="preserve"> </w:t>
      </w:r>
      <w:r>
        <w:rPr>
          <w:rFonts w:ascii="Times New Roman" w:hAnsi="Times New Roman" w:eastAsia="Times New Roman" w:cs="Times New Roman"/>
          <w:sz w:val="21"/>
          <w:szCs w:val="21"/>
          <w:spacing w:val="-2"/>
        </w:rPr>
        <w:t>99%</w:t>
      </w:r>
      <w:r>
        <w:rPr>
          <w:rFonts w:ascii="SimSun" w:hAnsi="SimSun" w:eastAsia="SimSun" w:cs="SimSun"/>
          <w:sz w:val="21"/>
          <w:szCs w:val="21"/>
          <w:spacing w:val="-2"/>
        </w:rPr>
        <w:t>。每日及时</w:t>
      </w:r>
      <w:r>
        <w:rPr>
          <w:rFonts w:ascii="SimSun" w:hAnsi="SimSun" w:eastAsia="SimSun" w:cs="SimSun"/>
          <w:sz w:val="21"/>
          <w:szCs w:val="21"/>
        </w:rPr>
        <w:t xml:space="preserve"> </w:t>
      </w:r>
      <w:r>
        <w:rPr>
          <w:rFonts w:ascii="SimSun" w:hAnsi="SimSun" w:eastAsia="SimSun" w:cs="SimSun"/>
          <w:sz w:val="21"/>
          <w:szCs w:val="21"/>
        </w:rPr>
        <w:t>采集全行资金交易头寸和最新市场数据进行头寸估值</w:t>
      </w:r>
      <w:r>
        <w:rPr>
          <w:rFonts w:ascii="SimSun" w:hAnsi="SimSun" w:eastAsia="SimSun" w:cs="SimSun"/>
          <w:sz w:val="21"/>
          <w:szCs w:val="21"/>
          <w:spacing w:val="-1"/>
        </w:rPr>
        <w:t>和敏感性分析; 每日采用历史模拟法从风险因素、投</w:t>
      </w:r>
      <w:r>
        <w:rPr>
          <w:rFonts w:ascii="SimSun" w:hAnsi="SimSun" w:eastAsia="SimSun" w:cs="SimSun"/>
          <w:sz w:val="21"/>
          <w:szCs w:val="21"/>
        </w:rPr>
        <w:t xml:space="preserve"> </w:t>
      </w:r>
      <w:r>
        <w:rPr>
          <w:rFonts w:ascii="SimSun" w:hAnsi="SimSun" w:eastAsia="SimSun" w:cs="SimSun"/>
          <w:sz w:val="21"/>
          <w:szCs w:val="21"/>
        </w:rPr>
        <w:t>资组合和产品等维度分别计量市场风险的风险价值; </w:t>
      </w:r>
      <w:r>
        <w:rPr>
          <w:rFonts w:ascii="SimSun" w:hAnsi="SimSun" w:eastAsia="SimSun" w:cs="SimSun"/>
          <w:sz w:val="21"/>
          <w:szCs w:val="21"/>
          <w:spacing w:val="-1"/>
        </w:rPr>
        <w:t>每日开展返回测试, 验证风险价值模型的准确性。内</w:t>
      </w:r>
      <w:r>
        <w:rPr>
          <w:rFonts w:ascii="SimSun" w:hAnsi="SimSun" w:eastAsia="SimSun" w:cs="SimSun"/>
          <w:sz w:val="21"/>
          <w:szCs w:val="21"/>
        </w:rPr>
        <w:t xml:space="preserve"> </w:t>
      </w:r>
      <w:r>
        <w:rPr>
          <w:rFonts w:ascii="SimSun" w:hAnsi="SimSun" w:eastAsia="SimSun" w:cs="SimSun"/>
          <w:sz w:val="21"/>
          <w:szCs w:val="21"/>
          <w:spacing w:val="-1"/>
        </w:rPr>
        <w:t>部模型法结果应用于资本计量、限额监控、绩效考核、风险监控和分析等。</w:t>
      </w:r>
    </w:p>
    <w:p>
      <w:pPr>
        <w:ind w:left="2" w:right="77" w:firstLine="418"/>
        <w:spacing w:before="308" w:line="284" w:lineRule="auto"/>
        <w:rPr>
          <w:rFonts w:ascii="SimSun" w:hAnsi="SimSun" w:eastAsia="SimSun" w:cs="SimSun"/>
          <w:sz w:val="21"/>
          <w:szCs w:val="21"/>
        </w:rPr>
      </w:pPr>
      <w:r>
        <w:rPr>
          <w:rFonts w:ascii="SimSun" w:hAnsi="SimSun" w:eastAsia="SimSun" w:cs="SimSun"/>
          <w:sz w:val="21"/>
          <w:szCs w:val="21"/>
          <w:spacing w:val="-2"/>
        </w:rPr>
        <w:t>报告期内,</w:t>
      </w:r>
      <w:r>
        <w:rPr>
          <w:rFonts w:ascii="SimSun" w:hAnsi="SimSun" w:eastAsia="SimSun" w:cs="SimSun"/>
          <w:sz w:val="21"/>
          <w:szCs w:val="21"/>
          <w:spacing w:val="27"/>
        </w:rPr>
        <w:t xml:space="preserve"> </w:t>
      </w:r>
      <w:r>
        <w:rPr>
          <w:rFonts w:ascii="SimSun" w:hAnsi="SimSun" w:eastAsia="SimSun" w:cs="SimSun"/>
          <w:sz w:val="21"/>
          <w:szCs w:val="21"/>
          <w:spacing w:val="-2"/>
        </w:rPr>
        <w:t>本集团持续完善市场风险管理体系, 健</w:t>
      </w:r>
      <w:r>
        <w:rPr>
          <w:rFonts w:ascii="SimSun" w:hAnsi="SimSun" w:eastAsia="SimSun" w:cs="SimSun"/>
          <w:sz w:val="21"/>
          <w:szCs w:val="21"/>
          <w:spacing w:val="-3"/>
        </w:rPr>
        <w:t>全管理制度和流程,</w:t>
      </w:r>
      <w:r>
        <w:rPr>
          <w:rFonts w:ascii="SimSun" w:hAnsi="SimSun" w:eastAsia="SimSun" w:cs="SimSun"/>
          <w:sz w:val="21"/>
          <w:szCs w:val="21"/>
          <w:spacing w:val="25"/>
        </w:rPr>
        <w:t xml:space="preserve"> </w:t>
      </w:r>
      <w:r>
        <w:rPr>
          <w:rFonts w:ascii="SimSun" w:hAnsi="SimSun" w:eastAsia="SimSun" w:cs="SimSun"/>
          <w:sz w:val="21"/>
          <w:szCs w:val="21"/>
          <w:spacing w:val="-3"/>
        </w:rPr>
        <w:t>优化风险管理系统,</w:t>
      </w:r>
      <w:r>
        <w:rPr>
          <w:rFonts w:ascii="SimSun" w:hAnsi="SimSun" w:eastAsia="SimSun" w:cs="SimSun"/>
          <w:sz w:val="21"/>
          <w:szCs w:val="21"/>
          <w:spacing w:val="32"/>
        </w:rPr>
        <w:t xml:space="preserve"> </w:t>
      </w:r>
      <w:r>
        <w:rPr>
          <w:rFonts w:ascii="SimSun" w:hAnsi="SimSun" w:eastAsia="SimSun" w:cs="SimSun"/>
          <w:sz w:val="21"/>
          <w:szCs w:val="21"/>
          <w:spacing w:val="-3"/>
        </w:rPr>
        <w:t>强化产品</w:t>
      </w:r>
      <w:r>
        <w:rPr>
          <w:rFonts w:ascii="SimSun" w:hAnsi="SimSun" w:eastAsia="SimSun" w:cs="SimSun"/>
          <w:sz w:val="21"/>
          <w:szCs w:val="21"/>
        </w:rPr>
        <w:t xml:space="preserve"> </w:t>
      </w:r>
      <w:r>
        <w:rPr>
          <w:rFonts w:ascii="SimSun" w:hAnsi="SimSun" w:eastAsia="SimSun" w:cs="SimSun"/>
          <w:sz w:val="21"/>
          <w:szCs w:val="21"/>
          <w:spacing w:val="-4"/>
        </w:rPr>
        <w:t>管理,</w:t>
      </w:r>
      <w:r>
        <w:rPr>
          <w:rFonts w:ascii="SimSun" w:hAnsi="SimSun" w:eastAsia="SimSun" w:cs="SimSun"/>
          <w:sz w:val="21"/>
          <w:szCs w:val="21"/>
          <w:spacing w:val="-22"/>
        </w:rPr>
        <w:t xml:space="preserve"> </w:t>
      </w:r>
      <w:r>
        <w:rPr>
          <w:rFonts w:ascii="SimSun" w:hAnsi="SimSun" w:eastAsia="SimSun" w:cs="SimSun"/>
          <w:sz w:val="21"/>
          <w:szCs w:val="21"/>
          <w:spacing w:val="-4"/>
        </w:rPr>
        <w:t>优化限额设置,</w:t>
      </w:r>
      <w:r>
        <w:rPr>
          <w:rFonts w:ascii="SimSun" w:hAnsi="SimSun" w:eastAsia="SimSun" w:cs="SimSun"/>
          <w:sz w:val="21"/>
          <w:szCs w:val="21"/>
          <w:spacing w:val="-27"/>
        </w:rPr>
        <w:t xml:space="preserve"> </w:t>
      </w:r>
      <w:r>
        <w:rPr>
          <w:rFonts w:ascii="SimSun" w:hAnsi="SimSun" w:eastAsia="SimSun" w:cs="SimSun"/>
          <w:sz w:val="21"/>
          <w:szCs w:val="21"/>
          <w:spacing w:val="-4"/>
        </w:rPr>
        <w:t>完善衍生品业务风险管理。密切关注金融市场波动,</w:t>
      </w:r>
      <w:r>
        <w:rPr>
          <w:rFonts w:ascii="SimSun" w:hAnsi="SimSun" w:eastAsia="SimSun" w:cs="SimSun"/>
          <w:sz w:val="21"/>
          <w:szCs w:val="21"/>
          <w:spacing w:val="-23"/>
        </w:rPr>
        <w:t xml:space="preserve"> </w:t>
      </w:r>
      <w:r>
        <w:rPr>
          <w:rFonts w:ascii="SimSun" w:hAnsi="SimSun" w:eastAsia="SimSun" w:cs="SimSun"/>
          <w:sz w:val="21"/>
          <w:szCs w:val="21"/>
          <w:spacing w:val="-4"/>
        </w:rPr>
        <w:t>强化市场研判和风险监测预警,</w:t>
      </w:r>
      <w:r>
        <w:rPr>
          <w:rFonts w:ascii="SimSun" w:hAnsi="SimSun" w:eastAsia="SimSun" w:cs="SimSun"/>
          <w:sz w:val="21"/>
          <w:szCs w:val="21"/>
        </w:rPr>
        <w:t xml:space="preserve">  </w:t>
      </w:r>
      <w:r>
        <w:rPr>
          <w:rFonts w:ascii="SimSun" w:hAnsi="SimSun" w:eastAsia="SimSun" w:cs="SimSun"/>
          <w:sz w:val="21"/>
          <w:szCs w:val="21"/>
          <w:spacing w:val="6"/>
        </w:rPr>
        <w:t>加强风险评估和排查,严守市场风险各项限额,不断提升市场风险管理水平。</w:t>
      </w:r>
    </w:p>
    <w:p>
      <w:pPr>
        <w:pStyle w:val="BodyText"/>
        <w:spacing w:line="243" w:lineRule="auto"/>
        <w:rPr/>
      </w:pPr>
      <w:r/>
    </w:p>
    <w:p>
      <w:pPr>
        <w:ind w:left="536"/>
        <w:spacing w:before="69" w:line="221" w:lineRule="auto"/>
        <w:rPr>
          <w:rFonts w:ascii="SimSun" w:hAnsi="SimSun" w:eastAsia="SimSun" w:cs="SimSun"/>
          <w:sz w:val="21"/>
          <w:szCs w:val="21"/>
        </w:rPr>
      </w:pPr>
      <w:r>
        <w:rPr>
          <w:rFonts w:ascii="SimSun" w:hAnsi="SimSun" w:eastAsia="SimSun" w:cs="SimSun"/>
          <w:sz w:val="21"/>
          <w:szCs w:val="21"/>
          <w:b/>
          <w:bCs/>
          <w:spacing w:val="7"/>
        </w:rPr>
        <w:t>(五)流动性风险管理</w:t>
      </w:r>
    </w:p>
    <w:p>
      <w:pPr>
        <w:ind w:right="6" w:firstLine="423"/>
        <w:spacing w:before="306" w:line="285" w:lineRule="auto"/>
        <w:jc w:val="both"/>
        <w:rPr>
          <w:rFonts w:ascii="SimSun" w:hAnsi="SimSun" w:eastAsia="SimSun" w:cs="SimSun"/>
          <w:sz w:val="21"/>
          <w:szCs w:val="21"/>
        </w:rPr>
      </w:pPr>
      <w:r>
        <w:rPr>
          <w:rFonts w:ascii="SimSun" w:hAnsi="SimSun" w:eastAsia="SimSun" w:cs="SimSun"/>
          <w:sz w:val="21"/>
          <w:szCs w:val="21"/>
        </w:rPr>
        <w:t>流动性风险是指商业银行无法以合理成本及</w:t>
      </w:r>
      <w:r>
        <w:rPr>
          <w:rFonts w:ascii="SimSun" w:hAnsi="SimSun" w:eastAsia="SimSun" w:cs="SimSun"/>
          <w:sz w:val="21"/>
          <w:szCs w:val="21"/>
          <w:spacing w:val="-1"/>
        </w:rPr>
        <w:t>时获得充足资金, 用于偿付到期债务、履行其他支付义务</w:t>
      </w:r>
      <w:r>
        <w:rPr>
          <w:rFonts w:ascii="SimSun" w:hAnsi="SimSun" w:eastAsia="SimSun" w:cs="SimSun"/>
          <w:sz w:val="21"/>
          <w:szCs w:val="21"/>
        </w:rPr>
        <w:t xml:space="preserve"> </w:t>
      </w:r>
      <w:r>
        <w:rPr>
          <w:rFonts w:ascii="SimSun" w:hAnsi="SimSun" w:eastAsia="SimSun" w:cs="SimSun"/>
          <w:sz w:val="21"/>
          <w:szCs w:val="21"/>
          <w:spacing w:val="3"/>
        </w:rPr>
        <w:t>和满足正常业务开展的其他资金需求的风险。影响流动性风险的主要因素包括:存款客户提前支取存款、</w:t>
      </w:r>
      <w:r>
        <w:rPr>
          <w:rFonts w:ascii="SimSun" w:hAnsi="SimSun" w:eastAsia="SimSun" w:cs="SimSun"/>
          <w:sz w:val="21"/>
          <w:szCs w:val="21"/>
          <w:spacing w:val="11"/>
        </w:rPr>
        <w:t xml:space="preserve"> </w:t>
      </w:r>
      <w:r>
        <w:rPr>
          <w:rFonts w:ascii="SimSun" w:hAnsi="SimSun" w:eastAsia="SimSun" w:cs="SimSun"/>
          <w:sz w:val="21"/>
          <w:szCs w:val="21"/>
          <w:spacing w:val="-1"/>
        </w:rPr>
        <w:t>贷款客户延期偿付贷款、资产负债结构不匹配、资产变现困难、融资能力下降等。</w:t>
      </w:r>
    </w:p>
    <w:p>
      <w:pPr>
        <w:ind w:left="423"/>
        <w:spacing w:before="309" w:line="218" w:lineRule="auto"/>
        <w:rPr>
          <w:rFonts w:ascii="SimSun" w:hAnsi="SimSun" w:eastAsia="SimSun" w:cs="SimSun"/>
          <w:sz w:val="21"/>
          <w:szCs w:val="21"/>
        </w:rPr>
      </w:pPr>
      <w:r>
        <w:rPr>
          <w:rFonts w:ascii="SimSun" w:hAnsi="SimSun" w:eastAsia="SimSun" w:cs="SimSun"/>
          <w:sz w:val="21"/>
          <w:szCs w:val="21"/>
          <w:spacing w:val="-2"/>
        </w:rPr>
        <w:t>本集团流动性风险管理的治理结构包括:</w:t>
      </w:r>
      <w:r>
        <w:rPr>
          <w:rFonts w:ascii="SimSun" w:hAnsi="SimSun" w:eastAsia="SimSun" w:cs="SimSun"/>
          <w:sz w:val="21"/>
          <w:szCs w:val="21"/>
          <w:spacing w:val="50"/>
        </w:rPr>
        <w:t xml:space="preserve"> </w:t>
      </w:r>
      <w:r>
        <w:rPr>
          <w:rFonts w:ascii="SimSun" w:hAnsi="SimSun" w:eastAsia="SimSun" w:cs="SimSun"/>
          <w:sz w:val="21"/>
          <w:szCs w:val="21"/>
          <w:spacing w:val="-2"/>
        </w:rPr>
        <w:t>由董事会及其专门委员会、高级管理层组成的决策机构</w:t>
      </w:r>
      <w:r>
        <w:rPr>
          <w:rFonts w:ascii="SimSun" w:hAnsi="SimSun" w:eastAsia="SimSun" w:cs="SimSun"/>
          <w:sz w:val="21"/>
          <w:szCs w:val="21"/>
          <w:spacing w:val="-3"/>
        </w:rPr>
        <w:t>,</w:t>
      </w:r>
      <w:r>
        <w:rPr>
          <w:rFonts w:ascii="SimSun" w:hAnsi="SimSun" w:eastAsia="SimSun" w:cs="SimSun"/>
          <w:sz w:val="21"/>
          <w:szCs w:val="21"/>
          <w:spacing w:val="47"/>
        </w:rPr>
        <w:t xml:space="preserve"> </w:t>
      </w:r>
      <w:r>
        <w:rPr>
          <w:rFonts w:ascii="SimSun" w:hAnsi="SimSun" w:eastAsia="SimSun" w:cs="SimSun"/>
          <w:sz w:val="21"/>
          <w:szCs w:val="21"/>
          <w:spacing w:val="-3"/>
        </w:rPr>
        <w:t>由</w:t>
      </w:r>
    </w:p>
    <w:p>
      <w:pPr>
        <w:spacing w:line="218" w:lineRule="auto"/>
        <w:sectPr>
          <w:footerReference w:type="default" r:id="rId104"/>
          <w:pgSz w:w="11907" w:h="16839"/>
          <w:pgMar w:top="1132" w:right="1055" w:bottom="1375" w:left="1138" w:header="0" w:footer="1211" w:gutter="0"/>
        </w:sectPr>
        <w:rPr>
          <w:rFonts w:ascii="SimSun" w:hAnsi="SimSun" w:eastAsia="SimSun" w:cs="SimSun"/>
          <w:sz w:val="21"/>
          <w:szCs w:val="21"/>
        </w:rPr>
      </w:pPr>
    </w:p>
    <w:p>
      <w:pPr>
        <w:ind w:left="96" w:right="69" w:hanging="15"/>
        <w:spacing w:before="41" w:line="269" w:lineRule="auto"/>
        <w:rPr>
          <w:rFonts w:ascii="SimSun" w:hAnsi="SimSun" w:eastAsia="SimSun" w:cs="SimSun"/>
          <w:sz w:val="21"/>
          <w:szCs w:val="21"/>
        </w:rPr>
      </w:pPr>
      <w:r>
        <w:pict>
          <v:shape id="_x0000_s592" style="position:absolute;margin-left:53.88pt;margin-top:405.286pt;mso-position-vertical-relative:page;mso-position-horizontal-relative:page;width:2.8pt;height:19.75pt;z-index:251993088;" o:allowincell="f" fillcolor="#DBE5F1" filled="true" stroked="false" coordsize="55,395" coordorigin="0,0" path="m0,394l55,394l55,0l0,0l0,394xe"/>
        </w:pict>
      </w:r>
      <w:r>
        <w:pict>
          <v:shape id="_x0000_s594" style="position:absolute;margin-left:236.45pt;margin-top:405.286pt;mso-position-vertical-relative:page;mso-position-horizontal-relative:page;width:2.9pt;height:19.75pt;z-index:-251324416;" o:allowincell="f" fillcolor="#DBE5F1" filled="true" stroked="false" coordsize="58,395" coordorigin="0,0" path="m0,394l57,394l57,0l0,0l0,394xe"/>
        </w:pict>
      </w:r>
      <w:r>
        <w:rPr>
          <w:rFonts w:ascii="SimSun" w:hAnsi="SimSun" w:eastAsia="SimSun" w:cs="SimSun"/>
          <w:sz w:val="21"/>
          <w:szCs w:val="21"/>
          <w:spacing w:val="-2"/>
        </w:rPr>
        <w:t>监事会、审计监督局组成的监督机构,</w:t>
      </w:r>
      <w:r>
        <w:rPr>
          <w:rFonts w:ascii="SimSun" w:hAnsi="SimSun" w:eastAsia="SimSun" w:cs="SimSun"/>
          <w:sz w:val="21"/>
          <w:szCs w:val="21"/>
          <w:spacing w:val="63"/>
        </w:rPr>
        <w:t xml:space="preserve"> </w:t>
      </w:r>
      <w:r>
        <w:rPr>
          <w:rFonts w:ascii="SimSun" w:hAnsi="SimSun" w:eastAsia="SimSun" w:cs="SimSun"/>
          <w:sz w:val="21"/>
          <w:szCs w:val="21"/>
          <w:spacing w:val="-2"/>
        </w:rPr>
        <w:t>由财务管理部、金融市场部、风险管理部、营运与渠道管理部、各</w:t>
      </w:r>
      <w:r>
        <w:rPr>
          <w:rFonts w:ascii="SimSun" w:hAnsi="SimSun" w:eastAsia="SimSun" w:cs="SimSun"/>
          <w:sz w:val="21"/>
          <w:szCs w:val="21"/>
        </w:rPr>
        <w:t xml:space="preserve"> </w:t>
      </w:r>
      <w:r>
        <w:rPr>
          <w:rFonts w:ascii="SimSun" w:hAnsi="SimSun" w:eastAsia="SimSun" w:cs="SimSun"/>
          <w:sz w:val="21"/>
          <w:szCs w:val="21"/>
          <w:spacing w:val="-1"/>
        </w:rPr>
        <w:t>附属机构、各分支机构及各项业务总行主管部门等组成的执行机构。</w:t>
      </w:r>
    </w:p>
    <w:p>
      <w:pPr>
        <w:ind w:left="81" w:right="66" w:firstLine="420"/>
        <w:spacing w:before="309" w:line="285" w:lineRule="auto"/>
        <w:jc w:val="both"/>
        <w:rPr>
          <w:rFonts w:ascii="SimSun" w:hAnsi="SimSun" w:eastAsia="SimSun" w:cs="SimSun"/>
          <w:sz w:val="21"/>
          <w:szCs w:val="21"/>
        </w:rPr>
      </w:pPr>
      <w:r>
        <w:rPr>
          <w:rFonts w:ascii="SimSun" w:hAnsi="SimSun" w:eastAsia="SimSun" w:cs="SimSun"/>
          <w:sz w:val="21"/>
          <w:szCs w:val="21"/>
        </w:rPr>
        <w:t>本集团流动性风险管理目标是建立健全流动</w:t>
      </w:r>
      <w:r>
        <w:rPr>
          <w:rFonts w:ascii="SimSun" w:hAnsi="SimSun" w:eastAsia="SimSun" w:cs="SimSun"/>
          <w:sz w:val="21"/>
          <w:szCs w:val="21"/>
          <w:spacing w:val="-1"/>
        </w:rPr>
        <w:t>性风险管理体系, 对法人和集团层面、各附属机构、各分</w:t>
      </w:r>
      <w:r>
        <w:rPr>
          <w:rFonts w:ascii="SimSun" w:hAnsi="SimSun" w:eastAsia="SimSun" w:cs="SimSun"/>
          <w:sz w:val="21"/>
          <w:szCs w:val="21"/>
        </w:rPr>
        <w:t xml:space="preserve"> </w:t>
      </w:r>
      <w:r>
        <w:rPr>
          <w:rFonts w:ascii="SimSun" w:hAnsi="SimSun" w:eastAsia="SimSun" w:cs="SimSun"/>
          <w:sz w:val="21"/>
          <w:szCs w:val="21"/>
        </w:rPr>
        <w:t>支机构、各业务条线的流动性风险进行有效</w:t>
      </w:r>
      <w:r>
        <w:rPr>
          <w:rFonts w:ascii="SimSun" w:hAnsi="SimSun" w:eastAsia="SimSun" w:cs="SimSun"/>
          <w:sz w:val="21"/>
          <w:szCs w:val="21"/>
          <w:spacing w:val="-1"/>
        </w:rPr>
        <w:t>识别、计量、监测和控制, 确保流动性需求能够及时以合理成</w:t>
      </w:r>
      <w:r>
        <w:rPr>
          <w:rFonts w:ascii="SimSun" w:hAnsi="SimSun" w:eastAsia="SimSun" w:cs="SimSun"/>
          <w:sz w:val="21"/>
          <w:szCs w:val="21"/>
        </w:rPr>
        <w:t xml:space="preserve"> </w:t>
      </w:r>
      <w:r>
        <w:rPr>
          <w:rFonts w:ascii="SimSun" w:hAnsi="SimSun" w:eastAsia="SimSun" w:cs="SimSun"/>
          <w:sz w:val="21"/>
          <w:szCs w:val="21"/>
          <w:spacing w:val="-1"/>
        </w:rPr>
        <w:t>本得到满足。</w:t>
      </w:r>
    </w:p>
    <w:p>
      <w:pPr>
        <w:ind w:left="83" w:right="66" w:firstLine="417"/>
        <w:spacing w:before="306" w:line="293" w:lineRule="auto"/>
        <w:jc w:val="both"/>
        <w:rPr>
          <w:rFonts w:ascii="SimSun" w:hAnsi="SimSun" w:eastAsia="SimSun" w:cs="SimSun"/>
          <w:sz w:val="21"/>
          <w:szCs w:val="21"/>
        </w:rPr>
      </w:pPr>
      <w:r>
        <w:rPr>
          <w:rFonts w:ascii="SimSun" w:hAnsi="SimSun" w:eastAsia="SimSun" w:cs="SimSun"/>
          <w:sz w:val="21"/>
          <w:szCs w:val="21"/>
          <w:spacing w:val="-1"/>
        </w:rPr>
        <w:t>本集团每年根据经营战略、业务特点、财务实力、融资能力、总体风险偏好及市</w:t>
      </w:r>
      <w:r>
        <w:rPr>
          <w:rFonts w:ascii="SimSun" w:hAnsi="SimSun" w:eastAsia="SimSun" w:cs="SimSun"/>
          <w:sz w:val="21"/>
          <w:szCs w:val="21"/>
          <w:spacing w:val="-2"/>
        </w:rPr>
        <w:t>场影响力等因素,</w:t>
      </w:r>
      <w:r>
        <w:rPr>
          <w:rFonts w:ascii="SimSun" w:hAnsi="SimSun" w:eastAsia="SimSun" w:cs="SimSun"/>
          <w:sz w:val="21"/>
          <w:szCs w:val="21"/>
          <w:spacing w:val="27"/>
        </w:rPr>
        <w:t xml:space="preserve"> </w:t>
      </w:r>
      <w:r>
        <w:rPr>
          <w:rFonts w:ascii="SimSun" w:hAnsi="SimSun" w:eastAsia="SimSun" w:cs="SimSun"/>
          <w:sz w:val="21"/>
          <w:szCs w:val="21"/>
          <w:spacing w:val="-2"/>
        </w:rPr>
        <w:t>确</w:t>
      </w:r>
      <w:r>
        <w:rPr>
          <w:rFonts w:ascii="SimSun" w:hAnsi="SimSun" w:eastAsia="SimSun" w:cs="SimSun"/>
          <w:sz w:val="21"/>
          <w:szCs w:val="21"/>
        </w:rPr>
        <w:t xml:space="preserve"> </w:t>
      </w:r>
      <w:r>
        <w:rPr>
          <w:rFonts w:ascii="SimSun" w:hAnsi="SimSun" w:eastAsia="SimSun" w:cs="SimSun"/>
          <w:sz w:val="21"/>
          <w:szCs w:val="21"/>
          <w:spacing w:val="-3"/>
        </w:rPr>
        <w:t>定流动性风险偏好,</w:t>
      </w:r>
      <w:r>
        <w:rPr>
          <w:rFonts w:ascii="SimSun" w:hAnsi="SimSun" w:eastAsia="SimSun" w:cs="SimSun"/>
          <w:sz w:val="21"/>
          <w:szCs w:val="21"/>
          <w:spacing w:val="-15"/>
        </w:rPr>
        <w:t xml:space="preserve"> </w:t>
      </w:r>
      <w:r>
        <w:rPr>
          <w:rFonts w:ascii="SimSun" w:hAnsi="SimSun" w:eastAsia="SimSun" w:cs="SimSun"/>
          <w:sz w:val="21"/>
          <w:szCs w:val="21"/>
          <w:spacing w:val="-3"/>
        </w:rPr>
        <w:t>制定流动性风险管理策略和政策。流动性风险管理的策略和政策涵盖表内外各项业务,</w:t>
      </w:r>
      <w:r>
        <w:rPr>
          <w:rFonts w:ascii="SimSun" w:hAnsi="SimSun" w:eastAsia="SimSun" w:cs="SimSun"/>
          <w:sz w:val="21"/>
          <w:szCs w:val="21"/>
        </w:rPr>
        <w:t xml:space="preserve"> </w:t>
      </w:r>
      <w:r>
        <w:rPr>
          <w:rFonts w:ascii="SimSun" w:hAnsi="SimSun" w:eastAsia="SimSun" w:cs="SimSun"/>
          <w:sz w:val="21"/>
          <w:szCs w:val="21"/>
        </w:rPr>
        <w:t>以及境内外所有可能对流动性风险产生重大</w:t>
      </w:r>
      <w:r>
        <w:rPr>
          <w:rFonts w:ascii="SimSun" w:hAnsi="SimSun" w:eastAsia="SimSun" w:cs="SimSun"/>
          <w:sz w:val="21"/>
          <w:szCs w:val="21"/>
          <w:spacing w:val="-1"/>
        </w:rPr>
        <w:t>影响的业务部门、分支机构和附属机构, 并包括正常情况和压</w:t>
      </w:r>
      <w:r>
        <w:rPr>
          <w:rFonts w:ascii="SimSun" w:hAnsi="SimSun" w:eastAsia="SimSun" w:cs="SimSun"/>
          <w:sz w:val="21"/>
          <w:szCs w:val="21"/>
        </w:rPr>
        <w:t xml:space="preserve"> </w:t>
      </w:r>
      <w:r>
        <w:rPr>
          <w:rFonts w:ascii="SimSun" w:hAnsi="SimSun" w:eastAsia="SimSun" w:cs="SimSun"/>
          <w:sz w:val="21"/>
          <w:szCs w:val="21"/>
          <w:spacing w:val="-2"/>
        </w:rPr>
        <w:t>力状况下的流动性风险管理。</w:t>
      </w:r>
    </w:p>
    <w:p>
      <w:pPr>
        <w:ind w:left="81" w:right="66" w:firstLine="417"/>
        <w:spacing w:before="307" w:line="292" w:lineRule="auto"/>
        <w:jc w:val="both"/>
        <w:rPr>
          <w:rFonts w:ascii="SimSun" w:hAnsi="SimSun" w:eastAsia="SimSun" w:cs="SimSun"/>
          <w:sz w:val="21"/>
          <w:szCs w:val="21"/>
        </w:rPr>
      </w:pPr>
      <w:r>
        <w:rPr>
          <w:rFonts w:ascii="SimSun" w:hAnsi="SimSun" w:eastAsia="SimSun" w:cs="SimSun"/>
          <w:sz w:val="21"/>
          <w:szCs w:val="21"/>
        </w:rPr>
        <w:t>报告期内, 本集团不断完善流动性风险管理体系, </w:t>
      </w:r>
      <w:r>
        <w:rPr>
          <w:rFonts w:ascii="SimSun" w:hAnsi="SimSun" w:eastAsia="SimSun" w:cs="SimSun"/>
          <w:sz w:val="21"/>
          <w:szCs w:val="21"/>
          <w:spacing w:val="-1"/>
        </w:rPr>
        <w:t>坚持资金来源与运用平衡, 适时灵活调整流动性管</w:t>
      </w:r>
      <w:r>
        <w:rPr>
          <w:rFonts w:ascii="SimSun" w:hAnsi="SimSun" w:eastAsia="SimSun" w:cs="SimSun"/>
          <w:sz w:val="21"/>
          <w:szCs w:val="21"/>
        </w:rPr>
        <w:t xml:space="preserve"> </w:t>
      </w:r>
      <w:r>
        <w:rPr>
          <w:rFonts w:ascii="SimSun" w:hAnsi="SimSun" w:eastAsia="SimSun" w:cs="SimSun"/>
          <w:sz w:val="21"/>
          <w:szCs w:val="21"/>
        </w:rPr>
        <w:t>理策略及业务发展结构与节奏, 促进全行资产负债</w:t>
      </w:r>
      <w:r>
        <w:rPr>
          <w:rFonts w:ascii="SimSun" w:hAnsi="SimSun" w:eastAsia="SimSun" w:cs="SimSun"/>
          <w:sz w:val="21"/>
          <w:szCs w:val="21"/>
          <w:spacing w:val="-1"/>
        </w:rPr>
        <w:t>业务协调发展; 按日做好现金流测算分析, 加强日间流</w:t>
      </w:r>
      <w:r>
        <w:rPr>
          <w:rFonts w:ascii="SimSun" w:hAnsi="SimSun" w:eastAsia="SimSun" w:cs="SimSun"/>
          <w:sz w:val="21"/>
          <w:szCs w:val="21"/>
        </w:rPr>
        <w:t xml:space="preserve"> </w:t>
      </w:r>
      <w:r>
        <w:rPr>
          <w:rFonts w:ascii="SimSun" w:hAnsi="SimSun" w:eastAsia="SimSun" w:cs="SimSun"/>
          <w:sz w:val="21"/>
          <w:szCs w:val="21"/>
        </w:rPr>
        <w:t>动性管理和融资管理, 确保重大节假日、关键时</w:t>
      </w:r>
      <w:r>
        <w:rPr>
          <w:rFonts w:ascii="SimSun" w:hAnsi="SimSun" w:eastAsia="SimSun" w:cs="SimSun"/>
          <w:sz w:val="21"/>
          <w:szCs w:val="21"/>
          <w:spacing w:val="-1"/>
        </w:rPr>
        <w:t>点以及疫情期间的流动性安全; 严密监测流动性风险相关</w:t>
      </w:r>
      <w:r>
        <w:rPr>
          <w:rFonts w:ascii="SimSun" w:hAnsi="SimSun" w:eastAsia="SimSun" w:cs="SimSun"/>
          <w:sz w:val="21"/>
          <w:szCs w:val="21"/>
        </w:rPr>
        <w:t xml:space="preserve"> </w:t>
      </w:r>
      <w:r>
        <w:rPr>
          <w:rFonts w:ascii="SimSun" w:hAnsi="SimSun" w:eastAsia="SimSun" w:cs="SimSun"/>
          <w:sz w:val="21"/>
          <w:szCs w:val="21"/>
          <w:spacing w:val="1"/>
        </w:rPr>
        <w:t>指标,</w:t>
      </w:r>
      <w:r>
        <w:rPr>
          <w:rFonts w:ascii="SimSun" w:hAnsi="SimSun" w:eastAsia="SimSun" w:cs="SimSun"/>
          <w:sz w:val="21"/>
          <w:szCs w:val="21"/>
          <w:spacing w:val="36"/>
        </w:rPr>
        <w:t xml:space="preserve"> </w:t>
      </w:r>
      <w:r>
        <w:rPr>
          <w:rFonts w:ascii="SimSun" w:hAnsi="SimSun" w:eastAsia="SimSun" w:cs="SimSun"/>
          <w:sz w:val="21"/>
          <w:szCs w:val="21"/>
          <w:spacing w:val="1"/>
        </w:rPr>
        <w:t>加强主动风险预警预判,</w:t>
      </w:r>
      <w:r>
        <w:rPr>
          <w:rFonts w:ascii="SimSun" w:hAnsi="SimSun" w:eastAsia="SimSun" w:cs="SimSun"/>
          <w:sz w:val="21"/>
          <w:szCs w:val="21"/>
          <w:spacing w:val="28"/>
        </w:rPr>
        <w:t xml:space="preserve"> </w:t>
      </w:r>
      <w:r>
        <w:rPr>
          <w:rFonts w:ascii="SimSun" w:hAnsi="SimSun" w:eastAsia="SimSun" w:cs="SimSun"/>
          <w:sz w:val="21"/>
          <w:szCs w:val="21"/>
          <w:spacing w:val="1"/>
        </w:rPr>
        <w:t>及时做好策略调整,确保全行流动性风险指标平稳运行。</w:t>
      </w:r>
    </w:p>
    <w:p>
      <w:pPr>
        <w:pStyle w:val="BodyText"/>
        <w:spacing w:line="242" w:lineRule="auto"/>
        <w:rPr/>
      </w:pPr>
      <w:r/>
    </w:p>
    <w:p>
      <w:pPr>
        <w:ind w:left="81" w:right="88" w:firstLine="420"/>
        <w:spacing w:before="69" w:line="269" w:lineRule="auto"/>
        <w:rPr>
          <w:rFonts w:ascii="SimSun" w:hAnsi="SimSun" w:eastAsia="SimSun" w:cs="SimSun"/>
          <w:sz w:val="21"/>
          <w:szCs w:val="21"/>
        </w:rPr>
      </w:pPr>
      <w:r>
        <w:rPr>
          <w:rFonts w:ascii="SimSun" w:hAnsi="SimSun" w:eastAsia="SimSun" w:cs="SimSun"/>
          <w:sz w:val="21"/>
          <w:szCs w:val="21"/>
          <w:spacing w:val="-2"/>
        </w:rPr>
        <w:t>本集团定期开展流动性风险压力测试,</w:t>
      </w:r>
      <w:r>
        <w:rPr>
          <w:rFonts w:ascii="SimSun" w:hAnsi="SimSun" w:eastAsia="SimSun" w:cs="SimSun"/>
          <w:sz w:val="21"/>
          <w:szCs w:val="21"/>
          <w:spacing w:val="-31"/>
        </w:rPr>
        <w:t xml:space="preserve"> </w:t>
      </w:r>
      <w:r>
        <w:rPr>
          <w:rFonts w:ascii="SimSun" w:hAnsi="SimSun" w:eastAsia="SimSun" w:cs="SimSun"/>
          <w:sz w:val="21"/>
          <w:szCs w:val="21"/>
          <w:spacing w:val="-2"/>
        </w:rPr>
        <w:t>充分考虑可能影响流动性状况的各种因素,</w:t>
      </w:r>
      <w:r>
        <w:rPr>
          <w:rFonts w:ascii="SimSun" w:hAnsi="SimSun" w:eastAsia="SimSun" w:cs="SimSun"/>
          <w:sz w:val="21"/>
          <w:szCs w:val="21"/>
          <w:spacing w:val="-30"/>
        </w:rPr>
        <w:t xml:space="preserve"> </w:t>
      </w:r>
      <w:r>
        <w:rPr>
          <w:rFonts w:ascii="SimSun" w:hAnsi="SimSun" w:eastAsia="SimSun" w:cs="SimSun"/>
          <w:sz w:val="21"/>
          <w:szCs w:val="21"/>
          <w:spacing w:val="-2"/>
        </w:rPr>
        <w:t>合理设定压力情</w:t>
      </w:r>
      <w:r>
        <w:rPr>
          <w:rFonts w:ascii="SimSun" w:hAnsi="SimSun" w:eastAsia="SimSun" w:cs="SimSun"/>
          <w:sz w:val="21"/>
          <w:szCs w:val="21"/>
          <w:spacing w:val="-3"/>
        </w:rPr>
        <w:t>景,</w:t>
      </w:r>
      <w:r>
        <w:rPr>
          <w:rFonts w:ascii="SimSun" w:hAnsi="SimSun" w:eastAsia="SimSun" w:cs="SimSun"/>
          <w:sz w:val="21"/>
          <w:szCs w:val="21"/>
        </w:rPr>
        <w:t xml:space="preserve"> </w:t>
      </w:r>
      <w:r>
        <w:rPr>
          <w:rFonts w:ascii="SimSun" w:hAnsi="SimSun" w:eastAsia="SimSun" w:cs="SimSun"/>
          <w:sz w:val="21"/>
          <w:szCs w:val="21"/>
          <w:spacing w:val="-1"/>
        </w:rPr>
        <w:t>测试结果显示本行在多种压力情景下的流动性风险均处在可控范围内。</w:t>
      </w:r>
    </w:p>
    <w:p>
      <w:pPr>
        <w:ind w:left="499"/>
        <w:spacing w:before="308" w:line="218" w:lineRule="auto"/>
        <w:rPr>
          <w:rFonts w:ascii="SimSun" w:hAnsi="SimSun" w:eastAsia="SimSun" w:cs="SimSun"/>
          <w:sz w:val="21"/>
          <w:szCs w:val="21"/>
        </w:rPr>
      </w:pPr>
      <w:r>
        <w:rPr>
          <w:rFonts w:ascii="SimSun" w:hAnsi="SimSun" w:eastAsia="SimSun" w:cs="SimSun"/>
          <w:sz w:val="21"/>
          <w:szCs w:val="21"/>
          <w:spacing w:val="-2"/>
        </w:rPr>
        <w:t>截至报告期末,</w:t>
      </w:r>
      <w:r>
        <w:rPr>
          <w:rFonts w:ascii="SimSun" w:hAnsi="SimSun" w:eastAsia="SimSun" w:cs="SimSun"/>
          <w:sz w:val="21"/>
          <w:szCs w:val="21"/>
          <w:spacing w:val="39"/>
        </w:rPr>
        <w:t xml:space="preserve"> </w:t>
      </w:r>
      <w:r>
        <w:rPr>
          <w:rFonts w:ascii="SimSun" w:hAnsi="SimSun" w:eastAsia="SimSun" w:cs="SimSun"/>
          <w:sz w:val="21"/>
          <w:szCs w:val="21"/>
          <w:spacing w:val="-2"/>
        </w:rPr>
        <w:t>本集团流动性比例指标如下表:</w:t>
      </w:r>
    </w:p>
    <w:p>
      <w:pPr>
        <w:spacing w:line="205" w:lineRule="exact"/>
        <w:rPr/>
      </w:pPr>
      <w:r/>
    </w:p>
    <w:tbl>
      <w:tblPr>
        <w:tblStyle w:val="TableNormal"/>
        <w:tblW w:w="9769"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086"/>
        <w:gridCol w:w="1697"/>
        <w:gridCol w:w="2014"/>
        <w:gridCol w:w="2013"/>
        <w:gridCol w:w="1959"/>
      </w:tblGrid>
      <w:tr>
        <w:trPr>
          <w:trHeight w:val="403" w:hRule="atLeast"/>
        </w:trPr>
        <w:tc>
          <w:tcPr>
            <w:shd w:val="clear" w:fill="DBE5F1"/>
            <w:tcW w:w="2086" w:type="dxa"/>
            <w:vAlign w:val="top"/>
            <w:tcBorders>
              <w:bottom w:val="single" w:color="000000" w:sz="2" w:space="0"/>
              <w:top w:val="single" w:color="000000" w:sz="2" w:space="0"/>
            </w:tcBorders>
          </w:tcPr>
          <w:p>
            <w:pPr>
              <w:rPr>
                <w:rFonts w:ascii="Arial"/>
                <w:sz w:val="21"/>
              </w:rPr>
            </w:pPr>
            <w:r/>
          </w:p>
        </w:tc>
        <w:tc>
          <w:tcPr>
            <w:shd w:val="clear" w:fill="DBE5F1"/>
            <w:tcW w:w="1697" w:type="dxa"/>
            <w:vAlign w:val="top"/>
            <w:tcBorders>
              <w:bottom w:val="single" w:color="000000" w:sz="2" w:space="0"/>
              <w:top w:val="single" w:color="000000" w:sz="2" w:space="0"/>
            </w:tcBorders>
          </w:tcPr>
          <w:p>
            <w:pPr>
              <w:pStyle w:val="TableText"/>
              <w:spacing w:before="6"/>
              <w:jc w:val="right"/>
              <w:rPr>
                <w:sz w:val="18"/>
                <w:szCs w:val="18"/>
              </w:rPr>
            </w:pPr>
            <w:r>
              <w:rPr>
                <w:sz w:val="18"/>
                <w:szCs w:val="18"/>
                <w:spacing w:val="-3"/>
              </w:rPr>
              <w:t>标准值</w:t>
            </w:r>
            <w:r>
              <w:rPr>
                <w:sz w:val="18"/>
                <w:szCs w:val="18"/>
                <w:spacing w:val="-33"/>
              </w:rPr>
              <w:t xml:space="preserve"> </w:t>
            </w:r>
            <w:r>
              <w:rPr>
                <w:sz w:val="18"/>
                <w:szCs w:val="18"/>
                <w:position w:val="-11"/>
              </w:rPr>
              <w:drawing>
                <wp:inline distT="0" distB="0" distL="0" distR="0">
                  <wp:extent cx="36553" cy="245160"/>
                  <wp:effectExtent l="0" t="0" r="0" b="0"/>
                  <wp:docPr id="216" name="IM 216"/>
                  <wp:cNvGraphicFramePr/>
                  <a:graphic>
                    <a:graphicData uri="http://schemas.openxmlformats.org/drawingml/2006/picture">
                      <pic:pic>
                        <pic:nvPicPr>
                          <pic:cNvPr id="216" name="IM 216"/>
                          <pic:cNvPicPr/>
                        </pic:nvPicPr>
                        <pic:blipFill>
                          <a:blip r:embed="rId108"/>
                          <a:stretch>
                            <a:fillRect/>
                          </a:stretch>
                        </pic:blipFill>
                        <pic:spPr>
                          <a:xfrm rot="0">
                            <a:off x="0" y="0"/>
                            <a:ext cx="36553" cy="245160"/>
                          </a:xfrm>
                          <a:prstGeom prst="rect">
                            <a:avLst/>
                          </a:prstGeom>
                        </pic:spPr>
                      </pic:pic>
                    </a:graphicData>
                  </a:graphic>
                </wp:inline>
              </w:drawing>
            </w:r>
          </w:p>
        </w:tc>
        <w:tc>
          <w:tcPr>
            <w:shd w:val="clear" w:fill="DBE5F1"/>
            <w:tcW w:w="2014" w:type="dxa"/>
            <w:vAlign w:val="top"/>
            <w:tcBorders>
              <w:bottom w:val="single" w:color="000000" w:sz="2" w:space="0"/>
              <w:top w:val="single" w:color="000000" w:sz="2" w:space="0"/>
            </w:tcBorders>
          </w:tcPr>
          <w:p>
            <w:pPr>
              <w:pStyle w:val="TableText"/>
              <w:ind w:left="417"/>
              <w:spacing w:before="133" w:line="220" w:lineRule="auto"/>
              <w:rPr>
                <w:sz w:val="18"/>
                <w:szCs w:val="18"/>
              </w:rPr>
            </w:pPr>
            <w:r>
              <w:rPr>
                <w:rFonts w:ascii="Times New Roman" w:hAnsi="Times New Roman" w:eastAsia="Times New Roman" w:cs="Times New Roman"/>
                <w:sz w:val="18"/>
                <w:szCs w:val="18"/>
                <w:b/>
                <w:bCs/>
                <w:spacing w:val="-3"/>
              </w:rPr>
              <w:t>2022 </w:t>
            </w:r>
            <w:r>
              <w:rPr>
                <w:sz w:val="18"/>
                <w:szCs w:val="18"/>
                <w:b/>
                <w:bCs/>
                <w:spacing w:val="-3"/>
              </w:rPr>
              <w:t>年</w:t>
            </w:r>
            <w:r>
              <w:rPr>
                <w:sz w:val="18"/>
                <w:szCs w:val="18"/>
                <w:spacing w:val="-33"/>
              </w:rPr>
              <w:t xml:space="preserve"> </w:t>
            </w:r>
            <w:r>
              <w:rPr>
                <w:rFonts w:ascii="Times New Roman" w:hAnsi="Times New Roman" w:eastAsia="Times New Roman" w:cs="Times New Roman"/>
                <w:sz w:val="18"/>
                <w:szCs w:val="18"/>
                <w:b/>
                <w:bCs/>
                <w:spacing w:val="-3"/>
              </w:rPr>
              <w:t>12</w:t>
            </w:r>
            <w:r>
              <w:rPr>
                <w:rFonts w:ascii="Times New Roman" w:hAnsi="Times New Roman" w:eastAsia="Times New Roman" w:cs="Times New Roman"/>
                <w:sz w:val="18"/>
                <w:szCs w:val="18"/>
                <w:b/>
                <w:bCs/>
                <w:spacing w:val="11"/>
                <w:w w:val="101"/>
              </w:rPr>
              <w:t xml:space="preserve"> </w:t>
            </w:r>
            <w:r>
              <w:rPr>
                <w:sz w:val="18"/>
                <w:szCs w:val="18"/>
                <w:b/>
                <w:bCs/>
                <w:spacing w:val="-3"/>
              </w:rPr>
              <w:t>月</w:t>
            </w:r>
            <w:r>
              <w:rPr>
                <w:sz w:val="18"/>
                <w:szCs w:val="18"/>
                <w:spacing w:val="-42"/>
              </w:rPr>
              <w:t xml:space="preserve"> </w:t>
            </w:r>
            <w:r>
              <w:rPr>
                <w:rFonts w:ascii="Times New Roman" w:hAnsi="Times New Roman" w:eastAsia="Times New Roman" w:cs="Times New Roman"/>
                <w:sz w:val="18"/>
                <w:szCs w:val="18"/>
                <w:b/>
                <w:bCs/>
                <w:spacing w:val="-3"/>
              </w:rPr>
              <w:t>31  </w:t>
            </w:r>
            <w:r>
              <w:rPr>
                <w:sz w:val="18"/>
                <w:szCs w:val="18"/>
                <w:b/>
                <w:bCs/>
                <w:spacing w:val="-3"/>
              </w:rPr>
              <w:t>日</w:t>
            </w:r>
          </w:p>
        </w:tc>
        <w:tc>
          <w:tcPr>
            <w:shd w:val="clear" w:fill="DBE5F1"/>
            <w:tcW w:w="2013" w:type="dxa"/>
            <w:vAlign w:val="top"/>
            <w:tcBorders>
              <w:bottom w:val="single" w:color="000000" w:sz="2" w:space="0"/>
              <w:top w:val="single" w:color="000000" w:sz="2" w:space="0"/>
            </w:tcBorders>
          </w:tcPr>
          <w:p>
            <w:pPr>
              <w:pStyle w:val="TableText"/>
              <w:spacing w:before="6"/>
              <w:jc w:val="right"/>
              <w:rPr>
                <w:sz w:val="18"/>
                <w:szCs w:val="18"/>
              </w:rPr>
            </w:pPr>
            <w:r>
              <w:rPr>
                <w:rFonts w:ascii="Times New Roman" w:hAnsi="Times New Roman" w:eastAsia="Times New Roman" w:cs="Times New Roman"/>
                <w:sz w:val="18"/>
                <w:szCs w:val="18"/>
                <w:spacing w:val="-8"/>
              </w:rPr>
              <w:t>2021</w:t>
            </w:r>
            <w:r>
              <w:rPr>
                <w:rFonts w:ascii="Times New Roman" w:hAnsi="Times New Roman" w:eastAsia="Times New Roman" w:cs="Times New Roman"/>
                <w:sz w:val="18"/>
                <w:szCs w:val="18"/>
                <w:spacing w:val="16"/>
              </w:rPr>
              <w:t xml:space="preserve"> </w:t>
            </w:r>
            <w:r>
              <w:rPr>
                <w:sz w:val="18"/>
                <w:szCs w:val="18"/>
                <w:spacing w:val="-8"/>
              </w:rPr>
              <w:t>年</w:t>
            </w:r>
            <w:r>
              <w:rPr>
                <w:sz w:val="18"/>
                <w:szCs w:val="18"/>
                <w:spacing w:val="-26"/>
              </w:rPr>
              <w:t xml:space="preserve"> </w:t>
            </w:r>
            <w:r>
              <w:rPr>
                <w:rFonts w:ascii="Times New Roman" w:hAnsi="Times New Roman" w:eastAsia="Times New Roman" w:cs="Times New Roman"/>
                <w:sz w:val="18"/>
                <w:szCs w:val="18"/>
                <w:spacing w:val="-8"/>
              </w:rPr>
              <w:t>12</w:t>
            </w:r>
            <w:r>
              <w:rPr>
                <w:rFonts w:ascii="Times New Roman" w:hAnsi="Times New Roman" w:eastAsia="Times New Roman" w:cs="Times New Roman"/>
                <w:sz w:val="18"/>
                <w:szCs w:val="18"/>
                <w:spacing w:val="13"/>
              </w:rPr>
              <w:t xml:space="preserve"> </w:t>
            </w:r>
            <w:r>
              <w:rPr>
                <w:sz w:val="18"/>
                <w:szCs w:val="18"/>
                <w:spacing w:val="-8"/>
              </w:rPr>
              <w:t>月</w:t>
            </w:r>
            <w:r>
              <w:rPr>
                <w:sz w:val="18"/>
                <w:szCs w:val="18"/>
                <w:spacing w:val="-37"/>
              </w:rPr>
              <w:t xml:space="preserve"> </w:t>
            </w:r>
            <w:r>
              <w:rPr>
                <w:rFonts w:ascii="Times New Roman" w:hAnsi="Times New Roman" w:eastAsia="Times New Roman" w:cs="Times New Roman"/>
                <w:sz w:val="18"/>
                <w:szCs w:val="18"/>
                <w:spacing w:val="-8"/>
              </w:rPr>
              <w:t>31  </w:t>
            </w:r>
            <w:r>
              <w:rPr>
                <w:sz w:val="18"/>
                <w:szCs w:val="18"/>
                <w:spacing w:val="-8"/>
              </w:rPr>
              <w:t>日</w:t>
            </w:r>
            <w:r>
              <w:rPr>
                <w:sz w:val="18"/>
                <w:szCs w:val="18"/>
                <w:spacing w:val="-37"/>
              </w:rPr>
              <w:t xml:space="preserve"> </w:t>
            </w:r>
            <w:r>
              <w:rPr>
                <w:sz w:val="18"/>
                <w:szCs w:val="18"/>
                <w:position w:val="-11"/>
              </w:rPr>
              <w:drawing>
                <wp:inline distT="0" distB="0" distL="0" distR="0">
                  <wp:extent cx="36553" cy="245160"/>
                  <wp:effectExtent l="0" t="0" r="0" b="0"/>
                  <wp:docPr id="218" name="IM 218"/>
                  <wp:cNvGraphicFramePr/>
                  <a:graphic>
                    <a:graphicData uri="http://schemas.openxmlformats.org/drawingml/2006/picture">
                      <pic:pic>
                        <pic:nvPicPr>
                          <pic:cNvPr id="218" name="IM 218"/>
                          <pic:cNvPicPr/>
                        </pic:nvPicPr>
                        <pic:blipFill>
                          <a:blip r:embed="rId109"/>
                          <a:stretch>
                            <a:fillRect/>
                          </a:stretch>
                        </pic:blipFill>
                        <pic:spPr>
                          <a:xfrm rot="0">
                            <a:off x="0" y="0"/>
                            <a:ext cx="36553" cy="245160"/>
                          </a:xfrm>
                          <a:prstGeom prst="rect">
                            <a:avLst/>
                          </a:prstGeom>
                        </pic:spPr>
                      </pic:pic>
                    </a:graphicData>
                  </a:graphic>
                </wp:inline>
              </w:drawing>
            </w:r>
          </w:p>
        </w:tc>
        <w:tc>
          <w:tcPr>
            <w:shd w:val="clear" w:fill="DBE5F1"/>
            <w:tcW w:w="1959" w:type="dxa"/>
            <w:vAlign w:val="top"/>
            <w:tcBorders>
              <w:bottom w:val="single" w:color="000000" w:sz="2" w:space="0"/>
              <w:top w:val="single" w:color="000000" w:sz="2" w:space="0"/>
            </w:tcBorders>
          </w:tcPr>
          <w:p>
            <w:pPr>
              <w:pStyle w:val="TableText"/>
              <w:ind w:right="16"/>
              <w:spacing w:before="133" w:line="220" w:lineRule="auto"/>
              <w:jc w:val="right"/>
              <w:rPr>
                <w:sz w:val="18"/>
                <w:szCs w:val="18"/>
              </w:rPr>
            </w:pPr>
            <w:r>
              <w:rPr>
                <w:rFonts w:ascii="Times New Roman" w:hAnsi="Times New Roman" w:eastAsia="Times New Roman" w:cs="Times New Roman"/>
                <w:sz w:val="18"/>
                <w:szCs w:val="18"/>
                <w:spacing w:val="-5"/>
              </w:rPr>
              <w:t>2020</w:t>
            </w:r>
            <w:r>
              <w:rPr>
                <w:rFonts w:ascii="Times New Roman" w:hAnsi="Times New Roman" w:eastAsia="Times New Roman" w:cs="Times New Roman"/>
                <w:sz w:val="18"/>
                <w:szCs w:val="18"/>
                <w:spacing w:val="11"/>
              </w:rPr>
              <w:t xml:space="preserve"> </w:t>
            </w:r>
            <w:r>
              <w:rPr>
                <w:sz w:val="18"/>
                <w:szCs w:val="18"/>
                <w:spacing w:val="-5"/>
              </w:rPr>
              <w:t>年</w:t>
            </w:r>
            <w:r>
              <w:rPr>
                <w:sz w:val="18"/>
                <w:szCs w:val="18"/>
                <w:spacing w:val="-26"/>
              </w:rPr>
              <w:t xml:space="preserve"> </w:t>
            </w:r>
            <w:r>
              <w:rPr>
                <w:rFonts w:ascii="Times New Roman" w:hAnsi="Times New Roman" w:eastAsia="Times New Roman" w:cs="Times New Roman"/>
                <w:sz w:val="18"/>
                <w:szCs w:val="18"/>
                <w:spacing w:val="-5"/>
              </w:rPr>
              <w:t>12</w:t>
            </w:r>
            <w:r>
              <w:rPr>
                <w:rFonts w:ascii="Times New Roman" w:hAnsi="Times New Roman" w:eastAsia="Times New Roman" w:cs="Times New Roman"/>
                <w:sz w:val="18"/>
                <w:szCs w:val="18"/>
                <w:spacing w:val="13"/>
              </w:rPr>
              <w:t xml:space="preserve"> </w:t>
            </w:r>
            <w:r>
              <w:rPr>
                <w:sz w:val="18"/>
                <w:szCs w:val="18"/>
                <w:spacing w:val="-5"/>
              </w:rPr>
              <w:t>月</w:t>
            </w:r>
            <w:r>
              <w:rPr>
                <w:sz w:val="18"/>
                <w:szCs w:val="18"/>
                <w:spacing w:val="-37"/>
              </w:rPr>
              <w:t xml:space="preserve"> </w:t>
            </w:r>
            <w:r>
              <w:rPr>
                <w:rFonts w:ascii="Times New Roman" w:hAnsi="Times New Roman" w:eastAsia="Times New Roman" w:cs="Times New Roman"/>
                <w:sz w:val="18"/>
                <w:szCs w:val="18"/>
                <w:spacing w:val="-5"/>
              </w:rPr>
              <w:t>31</w:t>
            </w:r>
            <w:r>
              <w:rPr>
                <w:rFonts w:ascii="Times New Roman" w:hAnsi="Times New Roman" w:eastAsia="Times New Roman" w:cs="Times New Roman"/>
                <w:sz w:val="18"/>
                <w:szCs w:val="18"/>
                <w:spacing w:val="40"/>
              </w:rPr>
              <w:t xml:space="preserve"> </w:t>
            </w:r>
            <w:r>
              <w:rPr>
                <w:sz w:val="18"/>
                <w:szCs w:val="18"/>
                <w:spacing w:val="-5"/>
              </w:rPr>
              <w:t>日</w:t>
            </w:r>
          </w:p>
        </w:tc>
      </w:tr>
      <w:tr>
        <w:trPr>
          <w:trHeight w:val="400" w:hRule="atLeast"/>
        </w:trPr>
        <w:tc>
          <w:tcPr>
            <w:tcW w:w="2086" w:type="dxa"/>
            <w:vAlign w:val="top"/>
            <w:tcBorders>
              <w:bottom w:val="single" w:color="000000" w:sz="2" w:space="0"/>
              <w:top w:val="single" w:color="000000" w:sz="2" w:space="0"/>
            </w:tcBorders>
          </w:tcPr>
          <w:p>
            <w:pPr>
              <w:pStyle w:val="TableText"/>
              <w:ind w:left="79"/>
              <w:spacing w:before="102" w:line="250" w:lineRule="exact"/>
              <w:rPr>
                <w:rFonts w:ascii="Times New Roman" w:hAnsi="Times New Roman" w:eastAsia="Times New Roman" w:cs="Times New Roman"/>
                <w:sz w:val="18"/>
                <w:szCs w:val="18"/>
              </w:rPr>
            </w:pPr>
            <w:r>
              <w:rPr>
                <w:sz w:val="18"/>
                <w:szCs w:val="18"/>
                <w:spacing w:val="-1"/>
                <w:position w:val="2"/>
              </w:rPr>
              <w:t>流动性比例</w:t>
            </w:r>
            <w:r>
              <w:rPr>
                <w:rFonts w:ascii="Times New Roman" w:hAnsi="Times New Roman" w:eastAsia="Times New Roman" w:cs="Times New Roman"/>
                <w:sz w:val="18"/>
                <w:szCs w:val="18"/>
                <w:spacing w:val="-1"/>
                <w:position w:val="2"/>
              </w:rPr>
              <w:t>(%)</w:t>
            </w:r>
          </w:p>
        </w:tc>
        <w:tc>
          <w:tcPr>
            <w:tcW w:w="1697" w:type="dxa"/>
            <w:vAlign w:val="top"/>
            <w:tcBorders>
              <w:bottom w:val="single" w:color="000000" w:sz="2" w:space="0"/>
              <w:top w:val="single" w:color="000000" w:sz="2" w:space="0"/>
            </w:tcBorders>
          </w:tcPr>
          <w:p>
            <w:pPr>
              <w:pStyle w:val="TableText"/>
              <w:ind w:left="1246"/>
              <w:spacing w:before="128" w:line="237" w:lineRule="auto"/>
              <w:rPr>
                <w:rFonts w:ascii="Times New Roman" w:hAnsi="Times New Roman" w:eastAsia="Times New Roman" w:cs="Times New Roman"/>
                <w:sz w:val="18"/>
                <w:szCs w:val="18"/>
              </w:rPr>
            </w:pPr>
            <w:r>
              <w:rPr>
                <w:sz w:val="18"/>
                <w:szCs w:val="18"/>
                <w:spacing w:val="-8"/>
              </w:rPr>
              <w:t>≥</w:t>
            </w:r>
            <w:r>
              <w:rPr>
                <w:rFonts w:ascii="Times New Roman" w:hAnsi="Times New Roman" w:eastAsia="Times New Roman" w:cs="Times New Roman"/>
                <w:sz w:val="18"/>
                <w:szCs w:val="18"/>
                <w:spacing w:val="-8"/>
              </w:rPr>
              <w:t>25</w:t>
            </w:r>
          </w:p>
        </w:tc>
        <w:tc>
          <w:tcPr>
            <w:tcW w:w="2014" w:type="dxa"/>
            <w:vAlign w:val="top"/>
            <w:tcBorders>
              <w:bottom w:val="single" w:color="000000" w:sz="2" w:space="0"/>
              <w:top w:val="single" w:color="000000" w:sz="2" w:space="0"/>
            </w:tcBorders>
          </w:tcPr>
          <w:p>
            <w:pPr>
              <w:ind w:left="1502"/>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69.76</w:t>
            </w:r>
          </w:p>
        </w:tc>
        <w:tc>
          <w:tcPr>
            <w:tcW w:w="2013" w:type="dxa"/>
            <w:vAlign w:val="top"/>
            <w:tcBorders>
              <w:bottom w:val="single" w:color="000000" w:sz="2" w:space="0"/>
              <w:top w:val="single" w:color="000000" w:sz="2" w:space="0"/>
            </w:tcBorders>
          </w:tcPr>
          <w:p>
            <w:pPr>
              <w:ind w:left="1510"/>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67.11</w:t>
            </w:r>
          </w:p>
        </w:tc>
        <w:tc>
          <w:tcPr>
            <w:tcW w:w="1959" w:type="dxa"/>
            <w:vAlign w:val="top"/>
            <w:tcBorders>
              <w:bottom w:val="single" w:color="000000" w:sz="2" w:space="0"/>
              <w:top w:val="single" w:color="000000" w:sz="2" w:space="0"/>
            </w:tcBorders>
          </w:tcPr>
          <w:p>
            <w:pPr>
              <w:ind w:left="1504"/>
              <w:spacing w:before="161" w:line="18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69.24</w:t>
            </w:r>
          </w:p>
        </w:tc>
      </w:tr>
    </w:tbl>
    <w:p>
      <w:pPr>
        <w:ind w:left="79"/>
        <w:spacing w:before="37" w:line="220" w:lineRule="auto"/>
        <w:rPr>
          <w:rFonts w:ascii="SimSun" w:hAnsi="SimSun" w:eastAsia="SimSun" w:cs="SimSun"/>
          <w:sz w:val="18"/>
          <w:szCs w:val="18"/>
        </w:rPr>
      </w:pPr>
      <w:r>
        <w:rPr>
          <w:rFonts w:ascii="SimSun" w:hAnsi="SimSun" w:eastAsia="SimSun" w:cs="SimSun"/>
          <w:sz w:val="18"/>
          <w:szCs w:val="18"/>
          <w:spacing w:val="3"/>
        </w:rPr>
        <w:t>注:根据银保监会监管口径计算。</w:t>
      </w:r>
    </w:p>
    <w:p>
      <w:pPr>
        <w:ind w:left="80" w:firstLine="421"/>
        <w:spacing w:before="213" w:line="293" w:lineRule="auto"/>
        <w:jc w:val="both"/>
        <w:rPr>
          <w:rFonts w:ascii="SimSun" w:hAnsi="SimSun" w:eastAsia="SimSun" w:cs="SimSun"/>
          <w:sz w:val="21"/>
          <w:szCs w:val="21"/>
        </w:rPr>
      </w:pPr>
      <w:r>
        <w:rPr>
          <w:rFonts w:ascii="SimSun" w:hAnsi="SimSun" w:eastAsia="SimSun" w:cs="SimSun"/>
          <w:sz w:val="21"/>
          <w:szCs w:val="21"/>
          <w:spacing w:val="-1"/>
        </w:rPr>
        <w:t>本集团</w:t>
      </w:r>
      <w:r>
        <w:rPr>
          <w:rFonts w:ascii="SimSun" w:hAnsi="SimSun" w:eastAsia="SimSun" w:cs="SimSun"/>
          <w:sz w:val="21"/>
          <w:szCs w:val="21"/>
          <w:spacing w:val="-36"/>
        </w:rPr>
        <w:t xml:space="preserve"> </w:t>
      </w:r>
      <w:r>
        <w:rPr>
          <w:rFonts w:ascii="Times New Roman" w:hAnsi="Times New Roman" w:eastAsia="Times New Roman" w:cs="Times New Roman"/>
          <w:sz w:val="21"/>
          <w:szCs w:val="21"/>
          <w:spacing w:val="-1"/>
        </w:rPr>
        <w:t>2022 </w:t>
      </w:r>
      <w:r>
        <w:rPr>
          <w:rFonts w:ascii="SimSun" w:hAnsi="SimSun" w:eastAsia="SimSun" w:cs="SimSun"/>
          <w:sz w:val="21"/>
          <w:szCs w:val="21"/>
          <w:spacing w:val="-1"/>
        </w:rPr>
        <w:t>年第四季度流动性覆盖率日均值为</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1"/>
        </w:rPr>
        <w:t>122.00%</w:t>
      </w:r>
      <w:r>
        <w:rPr>
          <w:rFonts w:ascii="SimSun" w:hAnsi="SimSun" w:eastAsia="SimSun" w:cs="SimSun"/>
          <w:sz w:val="21"/>
          <w:szCs w:val="21"/>
          <w:spacing w:val="-1"/>
        </w:rPr>
        <w:t>(季内日均值指季内每日数值的简单算术平均 </w:t>
      </w:r>
      <w:r>
        <w:rPr>
          <w:rFonts w:ascii="SimSun" w:hAnsi="SimSun" w:eastAsia="SimSun" w:cs="SimSun"/>
          <w:sz w:val="21"/>
          <w:szCs w:val="21"/>
          <w:spacing w:val="-2"/>
        </w:rPr>
        <w:t>值, 计算该平均值所依据的每日数值的个数为</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2"/>
        </w:rPr>
        <w:t>92 </w:t>
      </w:r>
      <w:r>
        <w:rPr>
          <w:rFonts w:ascii="SimSun" w:hAnsi="SimSun" w:eastAsia="SimSun" w:cs="SimSun"/>
          <w:sz w:val="21"/>
          <w:szCs w:val="21"/>
          <w:spacing w:val="-2"/>
        </w:rPr>
        <w:t>个), 较上季度下降</w:t>
      </w:r>
      <w:r>
        <w:rPr>
          <w:rFonts w:ascii="SimSun" w:hAnsi="SimSun" w:eastAsia="SimSun" w:cs="SimSun"/>
          <w:sz w:val="21"/>
          <w:szCs w:val="21"/>
          <w:spacing w:val="-49"/>
        </w:rPr>
        <w:t xml:space="preserve"> </w:t>
      </w:r>
      <w:r>
        <w:rPr>
          <w:rFonts w:ascii="Times New Roman" w:hAnsi="Times New Roman" w:eastAsia="Times New Roman" w:cs="Times New Roman"/>
          <w:sz w:val="21"/>
          <w:szCs w:val="21"/>
          <w:spacing w:val="-2"/>
        </w:rPr>
        <w:t>4.13 </w:t>
      </w:r>
      <w:r>
        <w:rPr>
          <w:rFonts w:ascii="SimSun" w:hAnsi="SimSun" w:eastAsia="SimSun" w:cs="SimSun"/>
          <w:sz w:val="21"/>
          <w:szCs w:val="21"/>
          <w:spacing w:val="-2"/>
        </w:rPr>
        <w:t>个百分点, 主要是由于净现金流 </w:t>
      </w:r>
      <w:r>
        <w:rPr>
          <w:rFonts w:ascii="SimSun" w:hAnsi="SimSun" w:eastAsia="SimSun" w:cs="SimSun"/>
          <w:sz w:val="21"/>
          <w:szCs w:val="21"/>
          <w:spacing w:val="3"/>
        </w:rPr>
        <w:t>出增加;本集团合格优质流动性资产主要包括现金、存放于中央银行且在压力情景下可以提取的准备金、</w:t>
      </w:r>
      <w:r>
        <w:rPr>
          <w:rFonts w:ascii="SimSun" w:hAnsi="SimSun" w:eastAsia="SimSun" w:cs="SimSun"/>
          <w:sz w:val="21"/>
          <w:szCs w:val="21"/>
          <w:spacing w:val="9"/>
        </w:rPr>
        <w:t xml:space="preserve"> </w:t>
      </w:r>
      <w:r>
        <w:rPr>
          <w:rFonts w:ascii="SimSun" w:hAnsi="SimSun" w:eastAsia="SimSun" w:cs="SimSun"/>
          <w:sz w:val="21"/>
          <w:szCs w:val="21"/>
          <w:spacing w:val="-1"/>
        </w:rPr>
        <w:t>以及满足《商业银行流动性风险管理办法》中一级和二级资产定义的债券。</w:t>
      </w:r>
    </w:p>
    <w:p>
      <w:pPr>
        <w:pStyle w:val="BodyText"/>
        <w:rPr/>
      </w:pPr>
      <w:r/>
    </w:p>
    <w:p>
      <w:pPr>
        <w:ind w:left="79" w:right="66" w:firstLine="422"/>
        <w:spacing w:before="69" w:line="284" w:lineRule="auto"/>
        <w:jc w:val="both"/>
        <w:rPr>
          <w:rFonts w:ascii="SimSun" w:hAnsi="SimSun" w:eastAsia="SimSun" w:cs="SimSun"/>
          <w:sz w:val="21"/>
          <w:szCs w:val="21"/>
        </w:rPr>
      </w:pPr>
      <w:r>
        <w:rPr>
          <w:rFonts w:ascii="SimSun" w:hAnsi="SimSun" w:eastAsia="SimSun" w:cs="SimSun"/>
          <w:sz w:val="21"/>
          <w:szCs w:val="21"/>
          <w:spacing w:val="-3"/>
        </w:rPr>
        <w:t>本集团</w:t>
      </w:r>
      <w:r>
        <w:rPr>
          <w:rFonts w:ascii="SimSun" w:hAnsi="SimSun" w:eastAsia="SimSun" w:cs="SimSun"/>
          <w:sz w:val="21"/>
          <w:szCs w:val="21"/>
          <w:spacing w:val="-36"/>
        </w:rPr>
        <w:t xml:space="preserve"> </w:t>
      </w:r>
      <w:r>
        <w:rPr>
          <w:rFonts w:ascii="Times New Roman" w:hAnsi="Times New Roman" w:eastAsia="Times New Roman" w:cs="Times New Roman"/>
          <w:sz w:val="21"/>
          <w:szCs w:val="21"/>
          <w:spacing w:val="-3"/>
        </w:rPr>
        <w:t>2022</w:t>
      </w:r>
      <w:r>
        <w:rPr>
          <w:rFonts w:ascii="Times New Roman" w:hAnsi="Times New Roman" w:eastAsia="Times New Roman" w:cs="Times New Roman"/>
          <w:sz w:val="21"/>
          <w:szCs w:val="21"/>
          <w:spacing w:val="22"/>
        </w:rPr>
        <w:t xml:space="preserve"> </w:t>
      </w:r>
      <w:r>
        <w:rPr>
          <w:rFonts w:ascii="SimSun" w:hAnsi="SimSun" w:eastAsia="SimSun" w:cs="SimSun"/>
          <w:sz w:val="21"/>
          <w:szCs w:val="21"/>
          <w:spacing w:val="-3"/>
        </w:rPr>
        <w:t>年第三季度净稳定资金比例季末值为 </w:t>
      </w:r>
      <w:r>
        <w:rPr>
          <w:rFonts w:ascii="Times New Roman" w:hAnsi="Times New Roman" w:eastAsia="Times New Roman" w:cs="Times New Roman"/>
          <w:sz w:val="21"/>
          <w:szCs w:val="21"/>
          <w:spacing w:val="-3"/>
        </w:rPr>
        <w:t>107.41%</w:t>
      </w:r>
      <w:r>
        <w:rPr>
          <w:rFonts w:ascii="SimSun" w:hAnsi="SimSun" w:eastAsia="SimSun" w:cs="SimSun"/>
          <w:sz w:val="21"/>
          <w:szCs w:val="21"/>
          <w:spacing w:val="-3"/>
        </w:rPr>
        <w:t>,</w:t>
      </w:r>
      <w:r>
        <w:rPr>
          <w:rFonts w:ascii="SimSun" w:hAnsi="SimSun" w:eastAsia="SimSun" w:cs="SimSun"/>
          <w:sz w:val="21"/>
          <w:szCs w:val="21"/>
          <w:spacing w:val="28"/>
        </w:rPr>
        <w:t xml:space="preserve"> </w:t>
      </w:r>
      <w:r>
        <w:rPr>
          <w:rFonts w:ascii="SimSun" w:hAnsi="SimSun" w:eastAsia="SimSun" w:cs="SimSun"/>
          <w:sz w:val="21"/>
          <w:szCs w:val="21"/>
          <w:spacing w:val="-3"/>
        </w:rPr>
        <w:t>较上季度下降 </w:t>
      </w:r>
      <w:r>
        <w:rPr>
          <w:rFonts w:ascii="Times New Roman" w:hAnsi="Times New Roman" w:eastAsia="Times New Roman" w:cs="Times New Roman"/>
          <w:sz w:val="21"/>
          <w:szCs w:val="21"/>
          <w:spacing w:val="-3"/>
        </w:rPr>
        <w:t>1.61</w:t>
      </w:r>
      <w:r>
        <w:rPr>
          <w:rFonts w:ascii="Times New Roman" w:hAnsi="Times New Roman" w:eastAsia="Times New Roman" w:cs="Times New Roman"/>
          <w:sz w:val="21"/>
          <w:szCs w:val="21"/>
          <w:spacing w:val="21"/>
          <w:w w:val="101"/>
        </w:rPr>
        <w:t xml:space="preserve"> </w:t>
      </w:r>
      <w:r>
        <w:rPr>
          <w:rFonts w:ascii="SimSun" w:hAnsi="SimSun" w:eastAsia="SimSun" w:cs="SimSun"/>
          <w:sz w:val="21"/>
          <w:szCs w:val="21"/>
          <w:spacing w:val="-3"/>
        </w:rPr>
        <w:t>个</w:t>
      </w:r>
      <w:r>
        <w:rPr>
          <w:rFonts w:ascii="SimSun" w:hAnsi="SimSun" w:eastAsia="SimSun" w:cs="SimSun"/>
          <w:sz w:val="21"/>
          <w:szCs w:val="21"/>
          <w:spacing w:val="-4"/>
        </w:rPr>
        <w:t>百分点,</w:t>
      </w:r>
      <w:r>
        <w:rPr>
          <w:rFonts w:ascii="SimSun" w:hAnsi="SimSun" w:eastAsia="SimSun" w:cs="SimSun"/>
          <w:sz w:val="21"/>
          <w:szCs w:val="21"/>
          <w:spacing w:val="31"/>
        </w:rPr>
        <w:t xml:space="preserve"> </w:t>
      </w:r>
      <w:r>
        <w:rPr>
          <w:rFonts w:ascii="SimSun" w:hAnsi="SimSun" w:eastAsia="SimSun" w:cs="SimSun"/>
          <w:sz w:val="21"/>
          <w:szCs w:val="21"/>
          <w:spacing w:val="-4"/>
        </w:rPr>
        <w:t>主要是由</w:t>
      </w:r>
      <w:r>
        <w:rPr>
          <w:rFonts w:ascii="SimSun" w:hAnsi="SimSun" w:eastAsia="SimSun" w:cs="SimSun"/>
          <w:sz w:val="21"/>
          <w:szCs w:val="21"/>
        </w:rPr>
        <w:t xml:space="preserve"> </w:t>
      </w:r>
      <w:r>
        <w:rPr>
          <w:rFonts w:ascii="SimSun" w:hAnsi="SimSun" w:eastAsia="SimSun" w:cs="SimSun"/>
          <w:sz w:val="21"/>
          <w:szCs w:val="21"/>
          <w:spacing w:val="-1"/>
        </w:rPr>
        <w:t>于向零售和小企业客户、非金融机构、主权、中央银行</w:t>
      </w:r>
      <w:r>
        <w:rPr>
          <w:rFonts w:ascii="SimSun" w:hAnsi="SimSun" w:eastAsia="SimSun" w:cs="SimSun"/>
          <w:sz w:val="21"/>
          <w:szCs w:val="21"/>
          <w:spacing w:val="-2"/>
        </w:rPr>
        <w:t>和公共部门实体等发放的贷款增加; </w:t>
      </w:r>
      <w:r>
        <w:rPr>
          <w:rFonts w:ascii="Times New Roman" w:hAnsi="Times New Roman" w:eastAsia="Times New Roman" w:cs="Times New Roman"/>
          <w:sz w:val="21"/>
          <w:szCs w:val="21"/>
          <w:spacing w:val="-2"/>
        </w:rPr>
        <w:t>2022 </w:t>
      </w:r>
      <w:r>
        <w:rPr>
          <w:rFonts w:ascii="SimSun" w:hAnsi="SimSun" w:eastAsia="SimSun" w:cs="SimSun"/>
          <w:sz w:val="21"/>
          <w:szCs w:val="21"/>
          <w:spacing w:val="-2"/>
        </w:rPr>
        <w:t>年第四季</w:t>
      </w:r>
      <w:r>
        <w:rPr>
          <w:rFonts w:ascii="SimSun" w:hAnsi="SimSun" w:eastAsia="SimSun" w:cs="SimSun"/>
          <w:sz w:val="21"/>
          <w:szCs w:val="21"/>
        </w:rPr>
        <w:t xml:space="preserve"> </w:t>
      </w:r>
      <w:r>
        <w:rPr>
          <w:rFonts w:ascii="SimSun" w:hAnsi="SimSun" w:eastAsia="SimSun" w:cs="SimSun"/>
          <w:sz w:val="21"/>
          <w:szCs w:val="21"/>
        </w:rPr>
        <w:t>度净稳定资金比例季末值为</w:t>
      </w:r>
      <w:r>
        <w:rPr>
          <w:rFonts w:ascii="SimSun" w:hAnsi="SimSun" w:eastAsia="SimSun" w:cs="SimSun"/>
          <w:sz w:val="21"/>
          <w:szCs w:val="21"/>
          <w:spacing w:val="-21"/>
        </w:rPr>
        <w:t xml:space="preserve"> </w:t>
      </w:r>
      <w:r>
        <w:rPr>
          <w:rFonts w:ascii="Times New Roman" w:hAnsi="Times New Roman" w:eastAsia="Times New Roman" w:cs="Times New Roman"/>
          <w:sz w:val="21"/>
          <w:szCs w:val="21"/>
        </w:rPr>
        <w:t>109.16%</w:t>
      </w:r>
      <w:r>
        <w:rPr>
          <w:rFonts w:ascii="SimSun" w:hAnsi="SimSun" w:eastAsia="SimSun" w:cs="SimSun"/>
          <w:sz w:val="21"/>
          <w:szCs w:val="21"/>
        </w:rPr>
        <w:t>,较上季度上升</w:t>
      </w:r>
      <w:r>
        <w:rPr>
          <w:rFonts w:ascii="SimSun" w:hAnsi="SimSun" w:eastAsia="SimSun" w:cs="SimSun"/>
          <w:sz w:val="21"/>
          <w:szCs w:val="21"/>
          <w:spacing w:val="-28"/>
        </w:rPr>
        <w:t xml:space="preserve"> </w:t>
      </w:r>
      <w:r>
        <w:rPr>
          <w:rFonts w:ascii="Times New Roman" w:hAnsi="Times New Roman" w:eastAsia="Times New Roman" w:cs="Times New Roman"/>
          <w:sz w:val="21"/>
          <w:szCs w:val="21"/>
        </w:rPr>
        <w:t>1.75 </w:t>
      </w:r>
      <w:r>
        <w:rPr>
          <w:rFonts w:ascii="SimSun" w:hAnsi="SimSun" w:eastAsia="SimSun" w:cs="SimSun"/>
          <w:sz w:val="21"/>
          <w:szCs w:val="21"/>
        </w:rPr>
        <w:t>个百分点,</w:t>
      </w:r>
      <w:r>
        <w:rPr>
          <w:rFonts w:ascii="SimSun" w:hAnsi="SimSun" w:eastAsia="SimSun" w:cs="SimSun"/>
          <w:sz w:val="21"/>
          <w:szCs w:val="21"/>
          <w:spacing w:val="31"/>
        </w:rPr>
        <w:t xml:space="preserve"> </w:t>
      </w:r>
      <w:r>
        <w:rPr>
          <w:rFonts w:ascii="SimSun" w:hAnsi="SimSun" w:eastAsia="SimSun" w:cs="SimSun"/>
          <w:sz w:val="21"/>
          <w:szCs w:val="21"/>
        </w:rPr>
        <w:t>主要是由于批发融资增加。</w:t>
      </w:r>
    </w:p>
    <w:p>
      <w:pPr>
        <w:ind w:left="100" w:right="66" w:firstLine="396"/>
        <w:spacing w:before="309" w:line="269" w:lineRule="auto"/>
        <w:rPr>
          <w:rFonts w:ascii="SimSun" w:hAnsi="SimSun" w:eastAsia="SimSun" w:cs="SimSun"/>
          <w:sz w:val="21"/>
          <w:szCs w:val="21"/>
        </w:rPr>
      </w:pPr>
      <w:r>
        <w:rPr>
          <w:rFonts w:ascii="Times New Roman" w:hAnsi="Times New Roman" w:eastAsia="Times New Roman" w:cs="Times New Roman"/>
          <w:sz w:val="21"/>
          <w:szCs w:val="21"/>
          <w:spacing w:val="-2"/>
        </w:rPr>
        <w:t>2022</w:t>
      </w:r>
      <w:r>
        <w:rPr>
          <w:rFonts w:ascii="Times New Roman" w:hAnsi="Times New Roman" w:eastAsia="Times New Roman" w:cs="Times New Roman"/>
          <w:sz w:val="21"/>
          <w:szCs w:val="21"/>
          <w:spacing w:val="55"/>
        </w:rPr>
        <w:t xml:space="preserve"> </w:t>
      </w:r>
      <w:r>
        <w:rPr>
          <w:rFonts w:ascii="SimSun" w:hAnsi="SimSun" w:eastAsia="SimSun" w:cs="SimSun"/>
          <w:sz w:val="21"/>
          <w:szCs w:val="21"/>
          <w:spacing w:val="-2"/>
        </w:rPr>
        <w:t>年第四季度流动性覆盖率及各明细项目的平均值、</w:t>
      </w:r>
      <w:r>
        <w:rPr>
          <w:rFonts w:ascii="SimSun" w:hAnsi="SimSun" w:eastAsia="SimSun" w:cs="SimSun"/>
          <w:sz w:val="21"/>
          <w:szCs w:val="21"/>
          <w:spacing w:val="-32"/>
        </w:rPr>
        <w:t xml:space="preserve"> </w:t>
      </w:r>
      <w:r>
        <w:rPr>
          <w:rFonts w:ascii="Times New Roman" w:hAnsi="Times New Roman" w:eastAsia="Times New Roman" w:cs="Times New Roman"/>
          <w:sz w:val="21"/>
          <w:szCs w:val="21"/>
          <w:spacing w:val="-2"/>
        </w:rPr>
        <w:t>2022</w:t>
      </w:r>
      <w:r>
        <w:rPr>
          <w:rFonts w:ascii="Times New Roman" w:hAnsi="Times New Roman" w:eastAsia="Times New Roman" w:cs="Times New Roman"/>
          <w:sz w:val="21"/>
          <w:szCs w:val="21"/>
          <w:spacing w:val="50"/>
        </w:rPr>
        <w:t xml:space="preserve"> </w:t>
      </w:r>
      <w:r>
        <w:rPr>
          <w:rFonts w:ascii="SimSun" w:hAnsi="SimSun" w:eastAsia="SimSun" w:cs="SimSun"/>
          <w:sz w:val="21"/>
          <w:szCs w:val="21"/>
          <w:spacing w:val="-2"/>
        </w:rPr>
        <w:t>年第三、第四季度净稳定资金比例及各</w:t>
      </w:r>
      <w:r>
        <w:rPr>
          <w:rFonts w:ascii="SimSun" w:hAnsi="SimSun" w:eastAsia="SimSun" w:cs="SimSun"/>
          <w:sz w:val="21"/>
          <w:szCs w:val="21"/>
        </w:rPr>
        <w:t xml:space="preserve"> </w:t>
      </w:r>
      <w:r>
        <w:rPr>
          <w:rFonts w:ascii="SimSun" w:hAnsi="SimSun" w:eastAsia="SimSun" w:cs="SimSun"/>
          <w:sz w:val="21"/>
          <w:szCs w:val="21"/>
          <w:spacing w:val="5"/>
        </w:rPr>
        <w:t>明细项目请见附录"杠杆率、流动性覆盖率和净稳定资金比例信息补充资料"章节。</w:t>
      </w:r>
    </w:p>
    <w:p>
      <w:pPr>
        <w:ind w:left="614"/>
        <w:spacing w:before="309" w:line="221" w:lineRule="auto"/>
        <w:rPr>
          <w:rFonts w:ascii="SimSun" w:hAnsi="SimSun" w:eastAsia="SimSun" w:cs="SimSun"/>
          <w:sz w:val="21"/>
          <w:szCs w:val="21"/>
        </w:rPr>
      </w:pPr>
      <w:r>
        <w:rPr>
          <w:rFonts w:ascii="SimSun" w:hAnsi="SimSun" w:eastAsia="SimSun" w:cs="SimSun"/>
          <w:sz w:val="21"/>
          <w:szCs w:val="21"/>
          <w:b/>
          <w:bCs/>
          <w:spacing w:val="9"/>
        </w:rPr>
        <w:t>(六)操作风险管理</w:t>
      </w:r>
    </w:p>
    <w:p>
      <w:pPr>
        <w:ind w:left="79" w:right="66" w:firstLine="422"/>
        <w:spacing w:before="309" w:line="293" w:lineRule="auto"/>
        <w:jc w:val="both"/>
        <w:rPr>
          <w:rFonts w:ascii="SimSun" w:hAnsi="SimSun" w:eastAsia="SimSun" w:cs="SimSun"/>
          <w:sz w:val="21"/>
          <w:szCs w:val="21"/>
        </w:rPr>
      </w:pPr>
      <w:r>
        <w:rPr>
          <w:rFonts w:ascii="SimSun" w:hAnsi="SimSun" w:eastAsia="SimSun" w:cs="SimSun"/>
          <w:sz w:val="21"/>
          <w:szCs w:val="21"/>
        </w:rPr>
        <w:t>本集团建立与全行业务性质、规模和产品复</w:t>
      </w:r>
      <w:r>
        <w:rPr>
          <w:rFonts w:ascii="SimSun" w:hAnsi="SimSun" w:eastAsia="SimSun" w:cs="SimSun"/>
          <w:sz w:val="21"/>
          <w:szCs w:val="21"/>
          <w:spacing w:val="-1"/>
        </w:rPr>
        <w:t>杂程度相适应的完整操作风险管理体系, 规范操作风险与</w:t>
      </w:r>
      <w:r>
        <w:rPr>
          <w:rFonts w:ascii="SimSun" w:hAnsi="SimSun" w:eastAsia="SimSun" w:cs="SimSun"/>
          <w:sz w:val="21"/>
          <w:szCs w:val="21"/>
        </w:rPr>
        <w:t xml:space="preserve"> </w:t>
      </w:r>
      <w:r>
        <w:rPr>
          <w:rFonts w:ascii="SimSun" w:hAnsi="SimSun" w:eastAsia="SimSun" w:cs="SimSun"/>
          <w:sz w:val="21"/>
          <w:szCs w:val="21"/>
        </w:rPr>
        <w:t>控制自我评估、损失数据收集、关键风险指标</w:t>
      </w:r>
      <w:r>
        <w:rPr>
          <w:rFonts w:ascii="SimSun" w:hAnsi="SimSun" w:eastAsia="SimSun" w:cs="SimSun"/>
          <w:sz w:val="21"/>
          <w:szCs w:val="21"/>
          <w:spacing w:val="-1"/>
        </w:rPr>
        <w:t>监控及操作风险事件管理的工作流程。报告期内, 进一步完</w:t>
      </w:r>
      <w:r>
        <w:rPr>
          <w:rFonts w:ascii="SimSun" w:hAnsi="SimSun" w:eastAsia="SimSun" w:cs="SimSun"/>
          <w:sz w:val="21"/>
          <w:szCs w:val="21"/>
        </w:rPr>
        <w:t xml:space="preserve"> </w:t>
      </w:r>
      <w:r>
        <w:rPr>
          <w:rFonts w:ascii="SimSun" w:hAnsi="SimSun" w:eastAsia="SimSun" w:cs="SimSun"/>
          <w:sz w:val="21"/>
          <w:szCs w:val="21"/>
          <w:spacing w:val="-2"/>
        </w:rPr>
        <w:t>善操作风险分类和矩阵评估机制,</w:t>
      </w:r>
      <w:r>
        <w:rPr>
          <w:rFonts w:ascii="SimSun" w:hAnsi="SimSun" w:eastAsia="SimSun" w:cs="SimSun"/>
          <w:sz w:val="21"/>
          <w:szCs w:val="21"/>
          <w:spacing w:val="-31"/>
        </w:rPr>
        <w:t xml:space="preserve"> </w:t>
      </w:r>
      <w:r>
        <w:rPr>
          <w:rFonts w:ascii="SimSun" w:hAnsi="SimSun" w:eastAsia="SimSun" w:cs="SimSun"/>
          <w:sz w:val="21"/>
          <w:szCs w:val="21"/>
          <w:spacing w:val="-2"/>
        </w:rPr>
        <w:t>加强对子公司操作风险一体化管理,</w:t>
      </w:r>
      <w:r>
        <w:rPr>
          <w:rFonts w:ascii="SimSun" w:hAnsi="SimSun" w:eastAsia="SimSun" w:cs="SimSun"/>
          <w:sz w:val="21"/>
          <w:szCs w:val="21"/>
          <w:spacing w:val="-26"/>
        </w:rPr>
        <w:t xml:space="preserve"> </w:t>
      </w:r>
      <w:r>
        <w:rPr>
          <w:rFonts w:ascii="SimSun" w:hAnsi="SimSun" w:eastAsia="SimSun" w:cs="SimSun"/>
          <w:sz w:val="21"/>
          <w:szCs w:val="21"/>
          <w:spacing w:val="-2"/>
        </w:rPr>
        <w:t>强化对重点领域操作风险监测评估;</w:t>
      </w:r>
      <w:r>
        <w:rPr>
          <w:rFonts w:ascii="SimSun" w:hAnsi="SimSun" w:eastAsia="SimSun" w:cs="SimSun"/>
          <w:sz w:val="21"/>
          <w:szCs w:val="21"/>
        </w:rPr>
        <w:t xml:space="preserve"> </w:t>
      </w:r>
      <w:r>
        <w:rPr>
          <w:rFonts w:ascii="SimSun" w:hAnsi="SimSun" w:eastAsia="SimSun" w:cs="SimSun"/>
          <w:sz w:val="21"/>
          <w:szCs w:val="21"/>
          <w:spacing w:val="-1"/>
        </w:rPr>
        <w:t>强化集团业务连续性和外包风险管理。</w:t>
      </w:r>
    </w:p>
    <w:p>
      <w:pPr>
        <w:spacing w:line="293" w:lineRule="auto"/>
        <w:sectPr>
          <w:footerReference w:type="default" r:id="rId107"/>
          <w:pgSz w:w="11907" w:h="16839"/>
          <w:pgMar w:top="1196" w:right="1062" w:bottom="1375" w:left="1060" w:header="0" w:footer="1211" w:gutter="0"/>
        </w:sectPr>
        <w:rPr>
          <w:rFonts w:ascii="SimSun" w:hAnsi="SimSun" w:eastAsia="SimSun" w:cs="SimSun"/>
          <w:sz w:val="21"/>
          <w:szCs w:val="21"/>
        </w:rPr>
      </w:pPr>
    </w:p>
    <w:p>
      <w:pPr>
        <w:ind w:left="534"/>
        <w:spacing w:before="42" w:line="221" w:lineRule="auto"/>
        <w:rPr>
          <w:rFonts w:ascii="SimSun" w:hAnsi="SimSun" w:eastAsia="SimSun" w:cs="SimSun"/>
          <w:sz w:val="21"/>
          <w:szCs w:val="21"/>
        </w:rPr>
      </w:pPr>
      <w:r>
        <w:rPr>
          <w:rFonts w:ascii="SimSun" w:hAnsi="SimSun" w:eastAsia="SimSun" w:cs="SimSun"/>
          <w:sz w:val="21"/>
          <w:szCs w:val="21"/>
          <w:b/>
          <w:bCs/>
          <w:spacing w:val="7"/>
        </w:rPr>
        <w:t>(七)法律合规与反洗钱</w:t>
      </w:r>
    </w:p>
    <w:p>
      <w:pPr>
        <w:ind w:firstLine="417"/>
        <w:spacing w:before="309" w:line="284" w:lineRule="auto"/>
        <w:jc w:val="both"/>
        <w:rPr>
          <w:rFonts w:ascii="SimSun" w:hAnsi="SimSun" w:eastAsia="SimSun" w:cs="SimSun"/>
          <w:sz w:val="21"/>
          <w:szCs w:val="21"/>
        </w:rPr>
      </w:pPr>
      <w:r>
        <w:rPr>
          <w:rFonts w:ascii="SimSun" w:hAnsi="SimSun" w:eastAsia="SimSun" w:cs="SimSun"/>
          <w:sz w:val="21"/>
          <w:szCs w:val="21"/>
        </w:rPr>
        <w:t>报告期内, 本集团加强法律合规管理制度建设并推动</w:t>
      </w:r>
      <w:r>
        <w:rPr>
          <w:rFonts w:ascii="SimSun" w:hAnsi="SimSun" w:eastAsia="SimSun" w:cs="SimSun"/>
          <w:sz w:val="21"/>
          <w:szCs w:val="21"/>
          <w:spacing w:val="-1"/>
        </w:rPr>
        <w:t>实施, 推进法治宣传教育和合规文化建设, 法律</w:t>
      </w:r>
      <w:r>
        <w:rPr>
          <w:rFonts w:ascii="SimSun" w:hAnsi="SimSun" w:eastAsia="SimSun" w:cs="SimSun"/>
          <w:sz w:val="21"/>
          <w:szCs w:val="21"/>
        </w:rPr>
        <w:t xml:space="preserve"> </w:t>
      </w:r>
      <w:r>
        <w:rPr>
          <w:rFonts w:ascii="SimSun" w:hAnsi="SimSun" w:eastAsia="SimSun" w:cs="SimSun"/>
          <w:sz w:val="21"/>
          <w:szCs w:val="21"/>
          <w:spacing w:val="-1"/>
        </w:rPr>
        <w:t>合规管理总体平稳。报告期内, 本集团完善反洗钱制度、流程和系统, 推进机构洗钱风险自评</w:t>
      </w:r>
      <w:r>
        <w:rPr>
          <w:rFonts w:ascii="SimSun" w:hAnsi="SimSun" w:eastAsia="SimSun" w:cs="SimSun"/>
          <w:sz w:val="21"/>
          <w:szCs w:val="21"/>
          <w:spacing w:val="-2"/>
        </w:rPr>
        <w:t>估,</w:t>
      </w:r>
      <w:r>
        <w:rPr>
          <w:rFonts w:ascii="SimSun" w:hAnsi="SimSun" w:eastAsia="SimSun" w:cs="SimSun"/>
          <w:sz w:val="21"/>
          <w:szCs w:val="21"/>
          <w:spacing w:val="27"/>
        </w:rPr>
        <w:t xml:space="preserve"> </w:t>
      </w:r>
      <w:r>
        <w:rPr>
          <w:rFonts w:ascii="SimSun" w:hAnsi="SimSun" w:eastAsia="SimSun" w:cs="SimSun"/>
          <w:sz w:val="21"/>
          <w:szCs w:val="21"/>
          <w:spacing w:val="-2"/>
        </w:rPr>
        <w:t>加强客</w:t>
      </w:r>
      <w:r>
        <w:rPr>
          <w:rFonts w:ascii="SimSun" w:hAnsi="SimSun" w:eastAsia="SimSun" w:cs="SimSun"/>
          <w:sz w:val="21"/>
          <w:szCs w:val="21"/>
        </w:rPr>
        <w:t xml:space="preserve"> </w:t>
      </w:r>
      <w:r>
        <w:rPr>
          <w:rFonts w:ascii="SimSun" w:hAnsi="SimSun" w:eastAsia="SimSun" w:cs="SimSun"/>
          <w:sz w:val="21"/>
          <w:szCs w:val="21"/>
          <w:spacing w:val="4"/>
        </w:rPr>
        <w:t>户身份识别,提升大额交易和可疑交易报告质效, 加强反洗钱系统建设,不断提升反洗钱管理能力。</w:t>
      </w:r>
    </w:p>
    <w:p>
      <w:pPr>
        <w:pStyle w:val="BodyText"/>
        <w:rPr/>
      </w:pPr>
      <w:r/>
    </w:p>
    <w:p>
      <w:pPr>
        <w:ind w:left="534"/>
        <w:spacing w:before="68" w:line="221" w:lineRule="auto"/>
        <w:rPr>
          <w:rFonts w:ascii="SimSun" w:hAnsi="SimSun" w:eastAsia="SimSun" w:cs="SimSun"/>
          <w:sz w:val="21"/>
          <w:szCs w:val="21"/>
        </w:rPr>
      </w:pPr>
      <w:r>
        <w:rPr>
          <w:rFonts w:ascii="SimSun" w:hAnsi="SimSun" w:eastAsia="SimSun" w:cs="SimSun"/>
          <w:sz w:val="21"/>
          <w:szCs w:val="21"/>
          <w:b/>
          <w:bCs/>
          <w:spacing w:val="9"/>
        </w:rPr>
        <w:t>(八)声誉风险管理</w:t>
      </w:r>
    </w:p>
    <w:p>
      <w:pPr>
        <w:ind w:firstLine="421"/>
        <w:spacing w:before="308" w:line="292" w:lineRule="auto"/>
        <w:jc w:val="both"/>
        <w:rPr>
          <w:rFonts w:ascii="SimSun" w:hAnsi="SimSun" w:eastAsia="SimSun" w:cs="SimSun"/>
          <w:sz w:val="21"/>
          <w:szCs w:val="21"/>
        </w:rPr>
      </w:pPr>
      <w:r>
        <w:rPr>
          <w:rFonts w:ascii="SimSun" w:hAnsi="SimSun" w:eastAsia="SimSun" w:cs="SimSun"/>
          <w:sz w:val="21"/>
          <w:szCs w:val="21"/>
          <w:spacing w:val="-2"/>
        </w:rPr>
        <w:t>本集团贯彻落实《银行保险机构声誉风险管理办法(试行)》, 治理架构层面</w:t>
      </w:r>
      <w:r>
        <w:rPr>
          <w:rFonts w:ascii="SimSun" w:hAnsi="SimSun" w:eastAsia="SimSun" w:cs="SimSun"/>
          <w:sz w:val="21"/>
          <w:szCs w:val="21"/>
          <w:spacing w:val="-3"/>
        </w:rPr>
        <w:t>, 进一步完善"两会一层" </w:t>
      </w:r>
      <w:r>
        <w:rPr>
          <w:rFonts w:ascii="SimSun" w:hAnsi="SimSun" w:eastAsia="SimSun" w:cs="SimSun"/>
          <w:sz w:val="21"/>
          <w:szCs w:val="21"/>
          <w:spacing w:val="-3"/>
        </w:rPr>
        <w:t>声誉风险治理;</w:t>
      </w:r>
      <w:r>
        <w:rPr>
          <w:rFonts w:ascii="SimSun" w:hAnsi="SimSun" w:eastAsia="SimSun" w:cs="SimSun"/>
          <w:sz w:val="21"/>
          <w:szCs w:val="21"/>
          <w:spacing w:val="25"/>
        </w:rPr>
        <w:t xml:space="preserve"> </w:t>
      </w:r>
      <w:r>
        <w:rPr>
          <w:rFonts w:ascii="SimSun" w:hAnsi="SimSun" w:eastAsia="SimSun" w:cs="SimSun"/>
          <w:sz w:val="21"/>
          <w:szCs w:val="21"/>
          <w:spacing w:val="-3"/>
        </w:rPr>
        <w:t>制度层面,</w:t>
      </w:r>
      <w:r>
        <w:rPr>
          <w:rFonts w:ascii="SimSun" w:hAnsi="SimSun" w:eastAsia="SimSun" w:cs="SimSun"/>
          <w:sz w:val="21"/>
          <w:szCs w:val="21"/>
          <w:spacing w:val="26"/>
        </w:rPr>
        <w:t xml:space="preserve"> </w:t>
      </w:r>
      <w:r>
        <w:rPr>
          <w:rFonts w:ascii="SimSun" w:hAnsi="SimSun" w:eastAsia="SimSun" w:cs="SimSun"/>
          <w:sz w:val="21"/>
          <w:szCs w:val="21"/>
          <w:spacing w:val="-3"/>
        </w:rPr>
        <w:t>加强集团一体化管理,</w:t>
      </w:r>
      <w:r>
        <w:rPr>
          <w:rFonts w:ascii="SimSun" w:hAnsi="SimSun" w:eastAsia="SimSun" w:cs="SimSun"/>
          <w:sz w:val="21"/>
          <w:szCs w:val="21"/>
          <w:spacing w:val="27"/>
        </w:rPr>
        <w:t xml:space="preserve"> </w:t>
      </w:r>
      <w:r>
        <w:rPr>
          <w:rFonts w:ascii="SimSun" w:hAnsi="SimSun" w:eastAsia="SimSun" w:cs="SimSun"/>
          <w:sz w:val="21"/>
          <w:szCs w:val="21"/>
          <w:spacing w:val="-3"/>
        </w:rPr>
        <w:t>持续完善集团声</w:t>
      </w:r>
      <w:r>
        <w:rPr>
          <w:rFonts w:ascii="SimSun" w:hAnsi="SimSun" w:eastAsia="SimSun" w:cs="SimSun"/>
          <w:sz w:val="21"/>
          <w:szCs w:val="21"/>
          <w:spacing w:val="-4"/>
        </w:rPr>
        <w:t>誉风险管理制度体系;</w:t>
      </w:r>
      <w:r>
        <w:rPr>
          <w:rFonts w:ascii="SimSun" w:hAnsi="SimSun" w:eastAsia="SimSun" w:cs="SimSun"/>
          <w:sz w:val="21"/>
          <w:szCs w:val="21"/>
          <w:spacing w:val="26"/>
        </w:rPr>
        <w:t xml:space="preserve"> </w:t>
      </w:r>
      <w:r>
        <w:rPr>
          <w:rFonts w:ascii="SimSun" w:hAnsi="SimSun" w:eastAsia="SimSun" w:cs="SimSun"/>
          <w:sz w:val="21"/>
          <w:szCs w:val="21"/>
          <w:spacing w:val="-4"/>
        </w:rPr>
        <w:t>执行层面,</w:t>
      </w:r>
      <w:r>
        <w:rPr>
          <w:rFonts w:ascii="SimSun" w:hAnsi="SimSun" w:eastAsia="SimSun" w:cs="SimSun"/>
          <w:sz w:val="21"/>
          <w:szCs w:val="21"/>
          <w:spacing w:val="26"/>
        </w:rPr>
        <w:t xml:space="preserve"> </w:t>
      </w:r>
      <w:r>
        <w:rPr>
          <w:rFonts w:ascii="SimSun" w:hAnsi="SimSun" w:eastAsia="SimSun" w:cs="SimSun"/>
          <w:sz w:val="21"/>
          <w:szCs w:val="21"/>
          <w:spacing w:val="-4"/>
        </w:rPr>
        <w:t>落实</w:t>
      </w:r>
      <w:r>
        <w:rPr>
          <w:rFonts w:ascii="SimSun" w:hAnsi="SimSun" w:eastAsia="SimSun" w:cs="SimSun"/>
          <w:sz w:val="21"/>
          <w:szCs w:val="21"/>
        </w:rPr>
        <w:t xml:space="preserve"> </w:t>
      </w:r>
      <w:r>
        <w:rPr>
          <w:rFonts w:ascii="SimSun" w:hAnsi="SimSun" w:eastAsia="SimSun" w:cs="SimSun"/>
          <w:sz w:val="21"/>
          <w:szCs w:val="21"/>
          <w:spacing w:val="-2"/>
        </w:rPr>
        <w:t>事前评估、事中应对、事后总结的全流程闭环管理,</w:t>
      </w:r>
      <w:r>
        <w:rPr>
          <w:rFonts w:ascii="SimSun" w:hAnsi="SimSun" w:eastAsia="SimSun" w:cs="SimSun"/>
          <w:sz w:val="21"/>
          <w:szCs w:val="21"/>
          <w:spacing w:val="36"/>
        </w:rPr>
        <w:t xml:space="preserve"> </w:t>
      </w:r>
      <w:r>
        <w:rPr>
          <w:rFonts w:ascii="SimSun" w:hAnsi="SimSun" w:eastAsia="SimSun" w:cs="SimSun"/>
          <w:sz w:val="21"/>
          <w:szCs w:val="21"/>
          <w:spacing w:val="-2"/>
        </w:rPr>
        <w:t>提升声誉风险管理水平。报告期内,</w:t>
      </w:r>
      <w:r>
        <w:rPr>
          <w:rFonts w:ascii="SimSun" w:hAnsi="SimSun" w:eastAsia="SimSun" w:cs="SimSun"/>
          <w:sz w:val="21"/>
          <w:szCs w:val="21"/>
          <w:spacing w:val="31"/>
        </w:rPr>
        <w:t xml:space="preserve"> </w:t>
      </w:r>
      <w:r>
        <w:rPr>
          <w:rFonts w:ascii="SimSun" w:hAnsi="SimSun" w:eastAsia="SimSun" w:cs="SimSun"/>
          <w:sz w:val="21"/>
          <w:szCs w:val="21"/>
          <w:spacing w:val="-2"/>
        </w:rPr>
        <w:t>声誉风险管理体</w:t>
      </w:r>
      <w:r>
        <w:rPr>
          <w:rFonts w:ascii="SimSun" w:hAnsi="SimSun" w:eastAsia="SimSun" w:cs="SimSun"/>
          <w:sz w:val="21"/>
          <w:szCs w:val="21"/>
        </w:rPr>
        <w:t xml:space="preserve"> </w:t>
      </w:r>
      <w:r>
        <w:rPr>
          <w:rFonts w:ascii="SimSun" w:hAnsi="SimSun" w:eastAsia="SimSun" w:cs="SimSun"/>
          <w:sz w:val="21"/>
          <w:szCs w:val="21"/>
          <w:spacing w:val="6"/>
        </w:rPr>
        <w:t>系运行有效,声誉风险管控得当。</w:t>
      </w:r>
    </w:p>
    <w:p>
      <w:pPr>
        <w:pStyle w:val="BodyText"/>
        <w:spacing w:line="244" w:lineRule="auto"/>
        <w:rPr/>
      </w:pPr>
      <w:r/>
    </w:p>
    <w:p>
      <w:pPr>
        <w:ind w:left="534"/>
        <w:spacing w:before="68" w:line="221" w:lineRule="auto"/>
        <w:rPr>
          <w:rFonts w:ascii="SimSun" w:hAnsi="SimSun" w:eastAsia="SimSun" w:cs="SimSun"/>
          <w:sz w:val="21"/>
          <w:szCs w:val="21"/>
        </w:rPr>
      </w:pPr>
      <w:r>
        <w:rPr>
          <w:rFonts w:ascii="SimSun" w:hAnsi="SimSun" w:eastAsia="SimSun" w:cs="SimSun"/>
          <w:sz w:val="21"/>
          <w:szCs w:val="21"/>
          <w:b/>
          <w:bCs/>
          <w:spacing w:val="5"/>
        </w:rPr>
        <w:t>(九)跨业跨境与国别风险管理</w:t>
      </w:r>
    </w:p>
    <w:p>
      <w:pPr>
        <w:ind w:firstLine="421"/>
        <w:spacing w:before="304" w:line="303" w:lineRule="auto"/>
        <w:jc w:val="both"/>
        <w:rPr>
          <w:rFonts w:ascii="SimSun" w:hAnsi="SimSun" w:eastAsia="SimSun" w:cs="SimSun"/>
          <w:sz w:val="21"/>
          <w:szCs w:val="21"/>
        </w:rPr>
      </w:pPr>
      <w:r>
        <w:rPr>
          <w:rFonts w:ascii="SimSun" w:hAnsi="SimSun" w:eastAsia="SimSun" w:cs="SimSun"/>
          <w:sz w:val="21"/>
          <w:szCs w:val="21"/>
          <w:spacing w:val="1"/>
        </w:rPr>
        <w:t>本集团建立了"统一管理、分工明确、工具齐全、</w:t>
      </w:r>
      <w:r>
        <w:rPr>
          <w:rFonts w:ascii="Times New Roman" w:hAnsi="Times New Roman" w:eastAsia="Times New Roman" w:cs="Times New Roman"/>
          <w:sz w:val="21"/>
          <w:szCs w:val="21"/>
        </w:rPr>
        <w:t>IT</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支持、风险量化、实质并表"</w:t>
      </w:r>
      <w:r>
        <w:rPr>
          <w:rFonts w:ascii="SimSun" w:hAnsi="SimSun" w:eastAsia="SimSun" w:cs="SimSun"/>
          <w:sz w:val="21"/>
          <w:szCs w:val="21"/>
          <w:spacing w:val="-5"/>
        </w:rPr>
        <w:t xml:space="preserve"> </w:t>
      </w:r>
      <w:r>
        <w:rPr>
          <w:rFonts w:ascii="SimSun" w:hAnsi="SimSun" w:eastAsia="SimSun" w:cs="SimSun"/>
          <w:sz w:val="21"/>
          <w:szCs w:val="21"/>
          <w:spacing w:val="1"/>
        </w:rPr>
        <w:t>的跨业跨境风险管</w:t>
      </w:r>
      <w:r>
        <w:rPr>
          <w:rFonts w:ascii="SimSun" w:hAnsi="SimSun" w:eastAsia="SimSun" w:cs="SimSun"/>
          <w:sz w:val="21"/>
          <w:szCs w:val="21"/>
        </w:rPr>
        <w:t xml:space="preserve"> </w:t>
      </w:r>
      <w:r>
        <w:rPr>
          <w:rFonts w:ascii="SimSun" w:hAnsi="SimSun" w:eastAsia="SimSun" w:cs="SimSun"/>
          <w:sz w:val="21"/>
          <w:szCs w:val="21"/>
          <w:spacing w:val="-2"/>
        </w:rPr>
        <w:t>理体系,</w:t>
      </w:r>
      <w:r>
        <w:rPr>
          <w:rFonts w:ascii="SimSun" w:hAnsi="SimSun" w:eastAsia="SimSun" w:cs="SimSun"/>
          <w:sz w:val="21"/>
          <w:szCs w:val="21"/>
          <w:spacing w:val="41"/>
        </w:rPr>
        <w:t xml:space="preserve"> </w:t>
      </w:r>
      <w:r>
        <w:rPr>
          <w:rFonts w:ascii="SimSun" w:hAnsi="SimSun" w:eastAsia="SimSun" w:cs="SimSun"/>
          <w:sz w:val="21"/>
          <w:szCs w:val="21"/>
          <w:spacing w:val="-2"/>
        </w:rPr>
        <w:t>各子公司、境外行风险管理兼顾集团统一要求和各自监管当局特别要求。报告期内,</w:t>
      </w:r>
      <w:r>
        <w:rPr>
          <w:rFonts w:ascii="SimSun" w:hAnsi="SimSun" w:eastAsia="SimSun" w:cs="SimSun"/>
          <w:sz w:val="21"/>
          <w:szCs w:val="21"/>
          <w:spacing w:val="26"/>
        </w:rPr>
        <w:t xml:space="preserve"> </w:t>
      </w:r>
      <w:r>
        <w:rPr>
          <w:rFonts w:ascii="SimSun" w:hAnsi="SimSun" w:eastAsia="SimSun" w:cs="SimSun"/>
          <w:sz w:val="21"/>
          <w:szCs w:val="21"/>
          <w:spacing w:val="-2"/>
        </w:rPr>
        <w:t>针对全球新</w:t>
      </w:r>
      <w:r>
        <w:rPr>
          <w:rFonts w:ascii="SimSun" w:hAnsi="SimSun" w:eastAsia="SimSun" w:cs="SimSun"/>
          <w:sz w:val="21"/>
          <w:szCs w:val="21"/>
        </w:rPr>
        <w:t xml:space="preserve"> </w:t>
      </w:r>
      <w:r>
        <w:rPr>
          <w:rFonts w:ascii="SimSun" w:hAnsi="SimSun" w:eastAsia="SimSun" w:cs="SimSun"/>
          <w:sz w:val="21"/>
          <w:szCs w:val="21"/>
          <w:spacing w:val="-3"/>
        </w:rPr>
        <w:t>冠肺炎疫情和外部形势变化带来的不确定性,</w:t>
      </w:r>
      <w:r>
        <w:rPr>
          <w:rFonts w:ascii="SimSun" w:hAnsi="SimSun" w:eastAsia="SimSun" w:cs="SimSun"/>
          <w:sz w:val="21"/>
          <w:szCs w:val="21"/>
          <w:spacing w:val="26"/>
        </w:rPr>
        <w:t xml:space="preserve"> </w:t>
      </w:r>
      <w:r>
        <w:rPr>
          <w:rFonts w:ascii="SimSun" w:hAnsi="SimSun" w:eastAsia="SimSun" w:cs="SimSun"/>
          <w:sz w:val="21"/>
          <w:szCs w:val="21"/>
          <w:spacing w:val="-3"/>
        </w:rPr>
        <w:t>加强境外机构风险管理,</w:t>
      </w:r>
      <w:r>
        <w:rPr>
          <w:rFonts w:ascii="SimSun" w:hAnsi="SimSun" w:eastAsia="SimSun" w:cs="SimSun"/>
          <w:sz w:val="21"/>
          <w:szCs w:val="21"/>
          <w:spacing w:val="28"/>
        </w:rPr>
        <w:t xml:space="preserve"> </w:t>
      </w:r>
      <w:r>
        <w:rPr>
          <w:rFonts w:ascii="SimSun" w:hAnsi="SimSun" w:eastAsia="SimSun" w:cs="SimSun"/>
          <w:sz w:val="21"/>
          <w:szCs w:val="21"/>
          <w:spacing w:val="-3"/>
        </w:rPr>
        <w:t>完善制度体系,</w:t>
      </w:r>
      <w:r>
        <w:rPr>
          <w:rFonts w:ascii="SimSun" w:hAnsi="SimSun" w:eastAsia="SimSun" w:cs="SimSun"/>
          <w:sz w:val="21"/>
          <w:szCs w:val="21"/>
          <w:spacing w:val="25"/>
        </w:rPr>
        <w:t xml:space="preserve"> </w:t>
      </w:r>
      <w:r>
        <w:rPr>
          <w:rFonts w:ascii="SimSun" w:hAnsi="SimSun" w:eastAsia="SimSun" w:cs="SimSun"/>
          <w:sz w:val="21"/>
          <w:szCs w:val="21"/>
          <w:spacing w:val="-3"/>
        </w:rPr>
        <w:t>优化评估机制,</w:t>
      </w:r>
      <w:r>
        <w:rPr>
          <w:rFonts w:ascii="SimSun" w:hAnsi="SimSun" w:eastAsia="SimSun" w:cs="SimSun"/>
          <w:sz w:val="21"/>
          <w:szCs w:val="21"/>
          <w:spacing w:val="32"/>
        </w:rPr>
        <w:t xml:space="preserve"> </w:t>
      </w:r>
      <w:r>
        <w:rPr>
          <w:rFonts w:ascii="SimSun" w:hAnsi="SimSun" w:eastAsia="SimSun" w:cs="SimSun"/>
          <w:sz w:val="21"/>
          <w:szCs w:val="21"/>
          <w:spacing w:val="-3"/>
        </w:rPr>
        <w:t>强</w:t>
      </w:r>
      <w:r>
        <w:rPr>
          <w:rFonts w:ascii="SimSun" w:hAnsi="SimSun" w:eastAsia="SimSun" w:cs="SimSun"/>
          <w:sz w:val="21"/>
          <w:szCs w:val="21"/>
        </w:rPr>
        <w:t xml:space="preserve"> </w:t>
      </w:r>
      <w:r>
        <w:rPr>
          <w:rFonts w:ascii="SimSun" w:hAnsi="SimSun" w:eastAsia="SimSun" w:cs="SimSun"/>
          <w:sz w:val="21"/>
          <w:szCs w:val="21"/>
        </w:rPr>
        <w:t>化各类应急预案制定和演练, 保障业务平稳</w:t>
      </w:r>
      <w:r>
        <w:rPr>
          <w:rFonts w:ascii="SimSun" w:hAnsi="SimSun" w:eastAsia="SimSun" w:cs="SimSun"/>
          <w:sz w:val="21"/>
          <w:szCs w:val="21"/>
          <w:spacing w:val="-1"/>
        </w:rPr>
        <w:t>运营。加强境外机构员工防疫、流动性、业务连续性和资产质</w:t>
      </w:r>
      <w:r>
        <w:rPr>
          <w:rFonts w:ascii="SimSun" w:hAnsi="SimSun" w:eastAsia="SimSun" w:cs="SimSun"/>
          <w:sz w:val="21"/>
          <w:szCs w:val="21"/>
        </w:rPr>
        <w:t xml:space="preserve"> </w:t>
      </w:r>
      <w:r>
        <w:rPr>
          <w:rFonts w:ascii="SimSun" w:hAnsi="SimSun" w:eastAsia="SimSun" w:cs="SimSun"/>
          <w:sz w:val="21"/>
          <w:szCs w:val="21"/>
          <w:spacing w:val="-2"/>
        </w:rPr>
        <w:t>量等重点领域工作。强化并表管理,</w:t>
      </w:r>
      <w:r>
        <w:rPr>
          <w:rFonts w:ascii="SimSun" w:hAnsi="SimSun" w:eastAsia="SimSun" w:cs="SimSun"/>
          <w:sz w:val="21"/>
          <w:szCs w:val="21"/>
          <w:spacing w:val="37"/>
        </w:rPr>
        <w:t xml:space="preserve"> </w:t>
      </w:r>
      <w:r>
        <w:rPr>
          <w:rFonts w:ascii="SimSun" w:hAnsi="SimSun" w:eastAsia="SimSun" w:cs="SimSun"/>
          <w:sz w:val="21"/>
          <w:szCs w:val="21"/>
          <w:spacing w:val="-2"/>
        </w:rPr>
        <w:t>加强集团统一风险管理,</w:t>
      </w:r>
      <w:r>
        <w:rPr>
          <w:rFonts w:ascii="SimSun" w:hAnsi="SimSun" w:eastAsia="SimSun" w:cs="SimSun"/>
          <w:sz w:val="21"/>
          <w:szCs w:val="21"/>
          <w:spacing w:val="27"/>
        </w:rPr>
        <w:t xml:space="preserve"> </w:t>
      </w:r>
      <w:r>
        <w:rPr>
          <w:rFonts w:ascii="SimSun" w:hAnsi="SimSun" w:eastAsia="SimSun" w:cs="SimSun"/>
          <w:sz w:val="21"/>
          <w:szCs w:val="21"/>
          <w:spacing w:val="-2"/>
        </w:rPr>
        <w:t>细化各级附属机构全生命周期管理, 优化风</w:t>
      </w:r>
      <w:r>
        <w:rPr>
          <w:rFonts w:ascii="SimSun" w:hAnsi="SimSun" w:eastAsia="SimSun" w:cs="SimSun"/>
          <w:sz w:val="21"/>
          <w:szCs w:val="21"/>
        </w:rPr>
        <w:t xml:space="preserve"> </w:t>
      </w:r>
      <w:r>
        <w:rPr>
          <w:rFonts w:ascii="SimSun" w:hAnsi="SimSun" w:eastAsia="SimSun" w:cs="SimSun"/>
          <w:sz w:val="21"/>
          <w:szCs w:val="21"/>
          <w:spacing w:val="-1"/>
        </w:rPr>
        <w:t>险信息报告机制。加强国别风险管理, 加大国别风险敞口监测频率,</w:t>
      </w:r>
      <w:r>
        <w:rPr>
          <w:rFonts w:ascii="SimSun" w:hAnsi="SimSun" w:eastAsia="SimSun" w:cs="SimSun"/>
          <w:sz w:val="21"/>
          <w:szCs w:val="21"/>
          <w:spacing w:val="29"/>
        </w:rPr>
        <w:t xml:space="preserve"> </w:t>
      </w:r>
      <w:r>
        <w:rPr>
          <w:rFonts w:ascii="SimSun" w:hAnsi="SimSun" w:eastAsia="SimSun" w:cs="SimSun"/>
          <w:sz w:val="21"/>
          <w:szCs w:val="21"/>
          <w:spacing w:val="-1"/>
        </w:rPr>
        <w:t>强化国别风险</w:t>
      </w:r>
      <w:r>
        <w:rPr>
          <w:rFonts w:ascii="SimSun" w:hAnsi="SimSun" w:eastAsia="SimSun" w:cs="SimSun"/>
          <w:sz w:val="21"/>
          <w:szCs w:val="21"/>
          <w:spacing w:val="-2"/>
        </w:rPr>
        <w:t>限额管理, 开展国别风</w:t>
      </w:r>
      <w:r>
        <w:rPr>
          <w:rFonts w:ascii="SimSun" w:hAnsi="SimSun" w:eastAsia="SimSun" w:cs="SimSun"/>
          <w:sz w:val="21"/>
          <w:szCs w:val="21"/>
        </w:rPr>
        <w:t xml:space="preserve"> </w:t>
      </w:r>
      <w:r>
        <w:rPr>
          <w:rFonts w:ascii="SimSun" w:hAnsi="SimSun" w:eastAsia="SimSun" w:cs="SimSun"/>
          <w:sz w:val="21"/>
          <w:szCs w:val="21"/>
          <w:spacing w:val="1"/>
        </w:rPr>
        <w:t>险分析和评级,</w:t>
      </w:r>
      <w:r>
        <w:rPr>
          <w:rFonts w:ascii="SimSun" w:hAnsi="SimSun" w:eastAsia="SimSun" w:cs="SimSun"/>
          <w:sz w:val="21"/>
          <w:szCs w:val="21"/>
          <w:spacing w:val="45"/>
        </w:rPr>
        <w:t xml:space="preserve"> </w:t>
      </w:r>
      <w:r>
        <w:rPr>
          <w:rFonts w:ascii="SimSun" w:hAnsi="SimSun" w:eastAsia="SimSun" w:cs="SimSun"/>
          <w:sz w:val="21"/>
          <w:szCs w:val="21"/>
          <w:spacing w:val="1"/>
        </w:rPr>
        <w:t>持续关注并及时响应国别风险事件,将国别风险管理要求贯穿相关业务发展全过程。</w:t>
      </w:r>
    </w:p>
    <w:p>
      <w:pPr>
        <w:pStyle w:val="BodyText"/>
        <w:rPr/>
      </w:pPr>
      <w:r/>
    </w:p>
    <w:p>
      <w:pPr>
        <w:ind w:left="534"/>
        <w:spacing w:before="69" w:line="221" w:lineRule="auto"/>
        <w:rPr>
          <w:rFonts w:ascii="SimSun" w:hAnsi="SimSun" w:eastAsia="SimSun" w:cs="SimSun"/>
          <w:sz w:val="21"/>
          <w:szCs w:val="21"/>
        </w:rPr>
      </w:pPr>
      <w:r>
        <w:rPr>
          <w:rFonts w:ascii="SimSun" w:hAnsi="SimSun" w:eastAsia="SimSun" w:cs="SimSun"/>
          <w:sz w:val="21"/>
          <w:szCs w:val="21"/>
          <w:b/>
          <w:bCs/>
          <w:spacing w:val="7"/>
        </w:rPr>
        <w:t>(十)大额风险暴露管理</w:t>
      </w:r>
    </w:p>
    <w:p>
      <w:pPr>
        <w:ind w:right="2" w:firstLine="421"/>
        <w:spacing w:before="309" w:line="285" w:lineRule="auto"/>
        <w:jc w:val="both"/>
        <w:rPr>
          <w:rFonts w:ascii="SimSun" w:hAnsi="SimSun" w:eastAsia="SimSun" w:cs="SimSun"/>
          <w:sz w:val="21"/>
          <w:szCs w:val="21"/>
        </w:rPr>
      </w:pPr>
      <w:r>
        <w:rPr>
          <w:rFonts w:ascii="SimSun" w:hAnsi="SimSun" w:eastAsia="SimSun" w:cs="SimSun"/>
          <w:sz w:val="21"/>
          <w:szCs w:val="21"/>
          <w:spacing w:val="-2"/>
        </w:rPr>
        <w:t>本集团认真落实银保监会《商业银行大额风险暴露管理办法》要求,</w:t>
      </w:r>
      <w:r>
        <w:rPr>
          <w:rFonts w:ascii="SimSun" w:hAnsi="SimSun" w:eastAsia="SimSun" w:cs="SimSun"/>
          <w:sz w:val="21"/>
          <w:szCs w:val="21"/>
          <w:spacing w:val="33"/>
        </w:rPr>
        <w:t xml:space="preserve"> </w:t>
      </w:r>
      <w:r>
        <w:rPr>
          <w:rFonts w:ascii="SimSun" w:hAnsi="SimSun" w:eastAsia="SimSun" w:cs="SimSun"/>
          <w:sz w:val="21"/>
          <w:szCs w:val="21"/>
          <w:spacing w:val="-2"/>
        </w:rPr>
        <w:t>推进管理系统建设,</w:t>
      </w:r>
      <w:r>
        <w:rPr>
          <w:rFonts w:ascii="SimSun" w:hAnsi="SimSun" w:eastAsia="SimSun" w:cs="SimSun"/>
          <w:sz w:val="21"/>
          <w:szCs w:val="21"/>
          <w:spacing w:val="27"/>
        </w:rPr>
        <w:t xml:space="preserve"> </w:t>
      </w:r>
      <w:r>
        <w:rPr>
          <w:rFonts w:ascii="SimSun" w:hAnsi="SimSun" w:eastAsia="SimSun" w:cs="SimSun"/>
          <w:sz w:val="21"/>
          <w:szCs w:val="21"/>
          <w:spacing w:val="-2"/>
        </w:rPr>
        <w:t>持续监测大</w:t>
      </w:r>
      <w:r>
        <w:rPr>
          <w:rFonts w:ascii="SimSun" w:hAnsi="SimSun" w:eastAsia="SimSun" w:cs="SimSun"/>
          <w:sz w:val="21"/>
          <w:szCs w:val="21"/>
        </w:rPr>
        <w:t xml:space="preserve"> </w:t>
      </w:r>
      <w:r>
        <w:rPr>
          <w:rFonts w:ascii="SimSun" w:hAnsi="SimSun" w:eastAsia="SimSun" w:cs="SimSun"/>
          <w:sz w:val="21"/>
          <w:szCs w:val="21"/>
        </w:rPr>
        <w:t>额风险暴露情况, 严格落实各项限额管理, 提</w:t>
      </w:r>
      <w:r>
        <w:rPr>
          <w:rFonts w:ascii="SimSun" w:hAnsi="SimSun" w:eastAsia="SimSun" w:cs="SimSun"/>
          <w:sz w:val="21"/>
          <w:szCs w:val="21"/>
          <w:spacing w:val="-1"/>
        </w:rPr>
        <w:t>升集团防范系统性区域性风险的能力。报告期内, 本集团大</w:t>
      </w:r>
      <w:r>
        <w:rPr>
          <w:rFonts w:ascii="SimSun" w:hAnsi="SimSun" w:eastAsia="SimSun" w:cs="SimSun"/>
          <w:sz w:val="21"/>
          <w:szCs w:val="21"/>
        </w:rPr>
        <w:t xml:space="preserve"> </w:t>
      </w:r>
      <w:r>
        <w:rPr>
          <w:rFonts w:ascii="SimSun" w:hAnsi="SimSun" w:eastAsia="SimSun" w:cs="SimSun"/>
          <w:sz w:val="21"/>
          <w:szCs w:val="21"/>
          <w:spacing w:val="-1"/>
        </w:rPr>
        <w:t>额风险暴露各项指标均符合监管要求。</w:t>
      </w:r>
    </w:p>
    <w:p>
      <w:pPr>
        <w:ind w:left="534"/>
        <w:spacing w:before="309" w:line="221" w:lineRule="auto"/>
        <w:rPr>
          <w:rFonts w:ascii="SimSun" w:hAnsi="SimSun" w:eastAsia="SimSun" w:cs="SimSun"/>
          <w:sz w:val="21"/>
          <w:szCs w:val="21"/>
        </w:rPr>
      </w:pPr>
      <w:r>
        <w:rPr>
          <w:rFonts w:ascii="SimSun" w:hAnsi="SimSun" w:eastAsia="SimSun" w:cs="SimSun"/>
          <w:sz w:val="21"/>
          <w:szCs w:val="21"/>
          <w:b/>
          <w:bCs/>
          <w:spacing w:val="5"/>
        </w:rPr>
        <w:t>(十一)气候和环境风险管理</w:t>
      </w:r>
    </w:p>
    <w:p>
      <w:pPr>
        <w:ind w:firstLine="420"/>
        <w:spacing w:before="306" w:line="285" w:lineRule="auto"/>
        <w:jc w:val="both"/>
        <w:rPr>
          <w:rFonts w:ascii="SimSun" w:hAnsi="SimSun" w:eastAsia="SimSun" w:cs="SimSun"/>
          <w:sz w:val="21"/>
          <w:szCs w:val="21"/>
        </w:rPr>
      </w:pPr>
      <w:r>
        <w:rPr>
          <w:rFonts w:ascii="SimSun" w:hAnsi="SimSun" w:eastAsia="SimSun" w:cs="SimSun"/>
          <w:sz w:val="21"/>
          <w:szCs w:val="21"/>
        </w:rPr>
        <w:t>本集团积极支持 "碳达峰、碳中和" 目标, </w:t>
      </w:r>
      <w:r>
        <w:rPr>
          <w:rFonts w:ascii="SimSun" w:hAnsi="SimSun" w:eastAsia="SimSun" w:cs="SimSun"/>
          <w:sz w:val="21"/>
          <w:szCs w:val="21"/>
          <w:spacing w:val="-1"/>
        </w:rPr>
        <w:t>推动气候和环境风险进一步融入全面风险管理体系, 根据</w:t>
      </w:r>
      <w:r>
        <w:rPr>
          <w:rFonts w:ascii="SimSun" w:hAnsi="SimSun" w:eastAsia="SimSun" w:cs="SimSun"/>
          <w:sz w:val="21"/>
          <w:szCs w:val="21"/>
        </w:rPr>
        <w:t xml:space="preserve"> </w:t>
      </w:r>
      <w:r>
        <w:rPr>
          <w:rFonts w:ascii="SimSun" w:hAnsi="SimSun" w:eastAsia="SimSun" w:cs="SimSun"/>
          <w:sz w:val="21"/>
          <w:szCs w:val="21"/>
          <w:spacing w:val="-2"/>
        </w:rPr>
        <w:t>董事会确定的风险偏好,</w:t>
      </w:r>
      <w:r>
        <w:rPr>
          <w:rFonts w:ascii="SimSun" w:hAnsi="SimSun" w:eastAsia="SimSun" w:cs="SimSun"/>
          <w:sz w:val="21"/>
          <w:szCs w:val="21"/>
          <w:spacing w:val="39"/>
        </w:rPr>
        <w:t xml:space="preserve"> </w:t>
      </w:r>
      <w:r>
        <w:rPr>
          <w:rFonts w:ascii="SimSun" w:hAnsi="SimSun" w:eastAsia="SimSun" w:cs="SimSun"/>
          <w:sz w:val="21"/>
          <w:szCs w:val="21"/>
          <w:spacing w:val="-2"/>
        </w:rPr>
        <w:t>持续完善治理架构、强化制度约束、加强风险评估、优化管控手段,</w:t>
      </w:r>
      <w:r>
        <w:rPr>
          <w:rFonts w:ascii="SimSun" w:hAnsi="SimSun" w:eastAsia="SimSun" w:cs="SimSun"/>
          <w:sz w:val="21"/>
          <w:szCs w:val="21"/>
          <w:spacing w:val="27"/>
        </w:rPr>
        <w:t xml:space="preserve"> </w:t>
      </w:r>
      <w:r>
        <w:rPr>
          <w:rFonts w:ascii="SimSun" w:hAnsi="SimSun" w:eastAsia="SimSun" w:cs="SimSun"/>
          <w:sz w:val="21"/>
          <w:szCs w:val="21"/>
          <w:spacing w:val="-2"/>
        </w:rPr>
        <w:t>有效应对气</w:t>
      </w:r>
      <w:r>
        <w:rPr>
          <w:rFonts w:ascii="SimSun" w:hAnsi="SimSun" w:eastAsia="SimSun" w:cs="SimSun"/>
          <w:sz w:val="21"/>
          <w:szCs w:val="21"/>
        </w:rPr>
        <w:t xml:space="preserve"> </w:t>
      </w:r>
      <w:r>
        <w:rPr>
          <w:rFonts w:ascii="SimSun" w:hAnsi="SimSun" w:eastAsia="SimSun" w:cs="SimSun"/>
          <w:sz w:val="21"/>
          <w:szCs w:val="21"/>
          <w:spacing w:val="-1"/>
        </w:rPr>
        <w:t>候变化和社会经济低碳转型带来的新挑战。</w:t>
      </w:r>
    </w:p>
    <w:p>
      <w:pPr>
        <w:pStyle w:val="BodyText"/>
        <w:spacing w:line="243" w:lineRule="auto"/>
        <w:rPr/>
      </w:pPr>
      <w:r/>
    </w:p>
    <w:p>
      <w:pPr>
        <w:ind w:firstLine="418"/>
        <w:spacing w:before="69" w:line="297" w:lineRule="auto"/>
        <w:jc w:val="both"/>
        <w:rPr>
          <w:rFonts w:ascii="SimSun" w:hAnsi="SimSun" w:eastAsia="SimSun" w:cs="SimSun"/>
          <w:sz w:val="21"/>
          <w:szCs w:val="21"/>
        </w:rPr>
      </w:pPr>
      <w:r>
        <w:rPr>
          <w:rFonts w:ascii="SimSun" w:hAnsi="SimSun" w:eastAsia="SimSun" w:cs="SimSun"/>
          <w:sz w:val="21"/>
          <w:szCs w:val="21"/>
        </w:rPr>
        <w:t>报告期内, 本行丰富了投融资端企业碳排放量数据</w:t>
      </w:r>
      <w:r>
        <w:rPr>
          <w:rFonts w:ascii="SimSun" w:hAnsi="SimSun" w:eastAsia="SimSun" w:cs="SimSun"/>
          <w:sz w:val="21"/>
          <w:szCs w:val="21"/>
          <w:spacing w:val="-1"/>
        </w:rPr>
        <w:t>统计涉及的行业维度, 持续做好碳减排支持工具相</w:t>
      </w:r>
      <w:r>
        <w:rPr>
          <w:rFonts w:ascii="SimSun" w:hAnsi="SimSun" w:eastAsia="SimSun" w:cs="SimSun"/>
          <w:sz w:val="21"/>
          <w:szCs w:val="21"/>
        </w:rPr>
        <w:t xml:space="preserve"> </w:t>
      </w:r>
      <w:r>
        <w:rPr>
          <w:rFonts w:ascii="SimSun" w:hAnsi="SimSun" w:eastAsia="SimSun" w:cs="SimSun"/>
          <w:sz w:val="21"/>
          <w:szCs w:val="21"/>
          <w:spacing w:val="-1"/>
        </w:rPr>
        <w:t>关项目环境效益测算。</w:t>
      </w:r>
      <w:r>
        <w:rPr>
          <w:rFonts w:ascii="Times New Roman" w:hAnsi="Times New Roman" w:eastAsia="Times New Roman" w:cs="Times New Roman"/>
          <w:sz w:val="21"/>
          <w:szCs w:val="21"/>
          <w:spacing w:val="-1"/>
        </w:rPr>
        <w:t>2022 </w:t>
      </w:r>
      <w:r>
        <w:rPr>
          <w:rFonts w:ascii="SimSun" w:hAnsi="SimSun" w:eastAsia="SimSun" w:cs="SimSun"/>
          <w:sz w:val="21"/>
          <w:szCs w:val="21"/>
          <w:spacing w:val="-1"/>
        </w:rPr>
        <w:t>年, 本行</w:t>
      </w:r>
      <w:r>
        <w:rPr>
          <w:rFonts w:ascii="SimSun" w:hAnsi="SimSun" w:eastAsia="SimSun" w:cs="SimSun"/>
          <w:sz w:val="21"/>
          <w:szCs w:val="21"/>
          <w:spacing w:val="-2"/>
        </w:rPr>
        <w:t>对电力、钢铁、建材、有色金属冶炼、民航、石化、化工和造纸等八</w:t>
      </w:r>
      <w:r>
        <w:rPr>
          <w:rFonts w:ascii="SimSun" w:hAnsi="SimSun" w:eastAsia="SimSun" w:cs="SimSun"/>
          <w:sz w:val="21"/>
          <w:szCs w:val="21"/>
        </w:rPr>
        <w:t xml:space="preserve"> </w:t>
      </w:r>
      <w:r>
        <w:rPr>
          <w:rFonts w:ascii="SimSun" w:hAnsi="SimSun" w:eastAsia="SimSun" w:cs="SimSun"/>
          <w:sz w:val="21"/>
          <w:szCs w:val="21"/>
        </w:rPr>
        <w:t>个高碳行业开展了气候风险敏感性压力测试, 分</w:t>
      </w:r>
      <w:r>
        <w:rPr>
          <w:rFonts w:ascii="SimSun" w:hAnsi="SimSun" w:eastAsia="SimSun" w:cs="SimSun"/>
          <w:sz w:val="21"/>
          <w:szCs w:val="21"/>
          <w:spacing w:val="-1"/>
        </w:rPr>
        <w:t>析社会经济绿色低碳转型对本行资产质量的潜在影响。结</w:t>
      </w:r>
      <w:r>
        <w:rPr>
          <w:rFonts w:ascii="SimSun" w:hAnsi="SimSun" w:eastAsia="SimSun" w:cs="SimSun"/>
          <w:sz w:val="21"/>
          <w:szCs w:val="21"/>
        </w:rPr>
        <w:t xml:space="preserve"> </w:t>
      </w:r>
      <w:r>
        <w:rPr>
          <w:rFonts w:ascii="SimSun" w:hAnsi="SimSun" w:eastAsia="SimSun" w:cs="SimSun"/>
          <w:sz w:val="21"/>
          <w:szCs w:val="21"/>
        </w:rPr>
        <w:t>果显示, 本行八个高碳行业客户的信用风险在相关压</w:t>
      </w:r>
      <w:r>
        <w:rPr>
          <w:rFonts w:ascii="SimSun" w:hAnsi="SimSun" w:eastAsia="SimSun" w:cs="SimSun"/>
          <w:sz w:val="21"/>
          <w:szCs w:val="21"/>
          <w:spacing w:val="-1"/>
        </w:rPr>
        <w:t>力情景下有所上升, 但整体风险可控, 对本行资本充</w:t>
      </w:r>
      <w:r>
        <w:rPr>
          <w:rFonts w:ascii="SimSun" w:hAnsi="SimSun" w:eastAsia="SimSun" w:cs="SimSun"/>
          <w:sz w:val="21"/>
          <w:szCs w:val="21"/>
        </w:rPr>
        <w:t xml:space="preserve"> </w:t>
      </w:r>
      <w:r>
        <w:rPr>
          <w:rFonts w:ascii="SimSun" w:hAnsi="SimSun" w:eastAsia="SimSun" w:cs="SimSun"/>
          <w:sz w:val="21"/>
          <w:szCs w:val="21"/>
          <w:spacing w:val="-1"/>
        </w:rPr>
        <w:t>足水平影响有限。</w:t>
      </w:r>
    </w:p>
    <w:p>
      <w:pPr>
        <w:ind w:left="426"/>
        <w:spacing w:before="308" w:line="223" w:lineRule="auto"/>
        <w:outlineLvl w:val="0"/>
        <w:rPr>
          <w:rFonts w:ascii="SimSun" w:hAnsi="SimSun" w:eastAsia="SimSun" w:cs="SimSun"/>
          <w:sz w:val="21"/>
          <w:szCs w:val="21"/>
        </w:rPr>
      </w:pPr>
      <w:bookmarkStart w:name="bookmark15" w:id="15"/>
      <w:bookmarkEnd w:id="15"/>
      <w:r>
        <w:rPr>
          <w:rFonts w:ascii="SimSun" w:hAnsi="SimSun" w:eastAsia="SimSun" w:cs="SimSun"/>
          <w:sz w:val="21"/>
          <w:szCs w:val="21"/>
          <w:b/>
          <w:bCs/>
          <w:spacing w:val="-4"/>
        </w:rPr>
        <w:t>五、展望</w:t>
      </w:r>
    </w:p>
    <w:p>
      <w:pPr>
        <w:spacing w:before="306" w:line="218" w:lineRule="auto"/>
        <w:jc w:val="right"/>
        <w:rPr>
          <w:rFonts w:ascii="SimSun" w:hAnsi="SimSun" w:eastAsia="SimSun" w:cs="SimSun"/>
          <w:sz w:val="21"/>
          <w:szCs w:val="21"/>
        </w:rPr>
      </w:pPr>
      <w:r>
        <w:rPr>
          <w:rFonts w:ascii="Times New Roman" w:hAnsi="Times New Roman" w:eastAsia="Times New Roman" w:cs="Times New Roman"/>
          <w:sz w:val="21"/>
          <w:szCs w:val="21"/>
          <w:spacing w:val="-3"/>
        </w:rPr>
        <w:t>2023 </w:t>
      </w:r>
      <w:r>
        <w:rPr>
          <w:rFonts w:ascii="SimSun" w:hAnsi="SimSun" w:eastAsia="SimSun" w:cs="SimSun"/>
          <w:sz w:val="21"/>
          <w:szCs w:val="21"/>
          <w:spacing w:val="-3"/>
        </w:rPr>
        <w:t>年,</w:t>
      </w:r>
      <w:r>
        <w:rPr>
          <w:rFonts w:ascii="SimSun" w:hAnsi="SimSun" w:eastAsia="SimSun" w:cs="SimSun"/>
          <w:sz w:val="21"/>
          <w:szCs w:val="21"/>
          <w:spacing w:val="33"/>
        </w:rPr>
        <w:t xml:space="preserve"> </w:t>
      </w:r>
      <w:r>
        <w:rPr>
          <w:rFonts w:ascii="SimSun" w:hAnsi="SimSun" w:eastAsia="SimSun" w:cs="SimSun"/>
          <w:sz w:val="21"/>
          <w:szCs w:val="21"/>
          <w:spacing w:val="-3"/>
        </w:rPr>
        <w:t>国际形势依然复杂严峻, 世界经济增长动能</w:t>
      </w:r>
      <w:r>
        <w:rPr>
          <w:rFonts w:ascii="SimSun" w:hAnsi="SimSun" w:eastAsia="SimSun" w:cs="SimSun"/>
          <w:sz w:val="21"/>
          <w:szCs w:val="21"/>
          <w:spacing w:val="-4"/>
        </w:rPr>
        <w:t>趋缓,</w:t>
      </w:r>
      <w:r>
        <w:rPr>
          <w:rFonts w:ascii="SimSun" w:hAnsi="SimSun" w:eastAsia="SimSun" w:cs="SimSun"/>
          <w:sz w:val="21"/>
          <w:szCs w:val="21"/>
          <w:spacing w:val="25"/>
        </w:rPr>
        <w:t xml:space="preserve"> </w:t>
      </w:r>
      <w:r>
        <w:rPr>
          <w:rFonts w:ascii="SimSun" w:hAnsi="SimSun" w:eastAsia="SimSun" w:cs="SimSun"/>
          <w:sz w:val="21"/>
          <w:szCs w:val="21"/>
          <w:spacing w:val="-4"/>
        </w:rPr>
        <w:t>陷入滞胀风险上升,</w:t>
      </w:r>
      <w:r>
        <w:rPr>
          <w:rFonts w:ascii="SimSun" w:hAnsi="SimSun" w:eastAsia="SimSun" w:cs="SimSun"/>
          <w:sz w:val="21"/>
          <w:szCs w:val="21"/>
          <w:spacing w:val="33"/>
        </w:rPr>
        <w:t xml:space="preserve"> </w:t>
      </w:r>
      <w:r>
        <w:rPr>
          <w:rFonts w:ascii="SimSun" w:hAnsi="SimSun" w:eastAsia="SimSun" w:cs="SimSun"/>
          <w:sz w:val="21"/>
          <w:szCs w:val="21"/>
          <w:spacing w:val="-4"/>
        </w:rPr>
        <w:t>国内经济恢复基础尚</w:t>
      </w:r>
    </w:p>
    <w:p>
      <w:pPr>
        <w:spacing w:line="218" w:lineRule="auto"/>
        <w:sectPr>
          <w:footerReference w:type="default" r:id="rId110"/>
          <w:pgSz w:w="11907" w:h="16839"/>
          <w:pgMar w:top="1196" w:right="1128" w:bottom="1374" w:left="1141" w:header="0" w:footer="1211" w:gutter="0"/>
        </w:sectPr>
        <w:rPr>
          <w:rFonts w:ascii="SimSun" w:hAnsi="SimSun" w:eastAsia="SimSun" w:cs="SimSun"/>
          <w:sz w:val="21"/>
          <w:szCs w:val="21"/>
        </w:rPr>
      </w:pPr>
    </w:p>
    <w:p>
      <w:pPr>
        <w:ind w:left="4"/>
        <w:spacing w:before="42" w:line="284" w:lineRule="auto"/>
        <w:jc w:val="both"/>
        <w:rPr>
          <w:rFonts w:ascii="SimSun" w:hAnsi="SimSun" w:eastAsia="SimSun" w:cs="SimSun"/>
          <w:sz w:val="21"/>
          <w:szCs w:val="21"/>
        </w:rPr>
      </w:pPr>
      <w:r>
        <w:rPr>
          <w:rFonts w:ascii="SimSun" w:hAnsi="SimSun" w:eastAsia="SimSun" w:cs="SimSun"/>
          <w:sz w:val="21"/>
          <w:szCs w:val="21"/>
          <w:spacing w:val="-2"/>
        </w:rPr>
        <w:t>不牢固,</w:t>
      </w:r>
      <w:r>
        <w:rPr>
          <w:rFonts w:ascii="SimSun" w:hAnsi="SimSun" w:eastAsia="SimSun" w:cs="SimSun"/>
          <w:sz w:val="21"/>
          <w:szCs w:val="21"/>
          <w:spacing w:val="36"/>
        </w:rPr>
        <w:t xml:space="preserve"> </w:t>
      </w:r>
      <w:r>
        <w:rPr>
          <w:rFonts w:ascii="SimSun" w:hAnsi="SimSun" w:eastAsia="SimSun" w:cs="SimSun"/>
          <w:sz w:val="21"/>
          <w:szCs w:val="21"/>
          <w:spacing w:val="-2"/>
        </w:rPr>
        <w:t>需求收缩、供给冲击、预期转弱三重压力仍然较大。但我国经济韧性强、潜力大、活力足,</w:t>
      </w:r>
      <w:r>
        <w:rPr>
          <w:rFonts w:ascii="SimSun" w:hAnsi="SimSun" w:eastAsia="SimSun" w:cs="SimSun"/>
          <w:sz w:val="21"/>
          <w:szCs w:val="21"/>
          <w:spacing w:val="28"/>
        </w:rPr>
        <w:t xml:space="preserve"> </w:t>
      </w:r>
      <w:r>
        <w:rPr>
          <w:rFonts w:ascii="SimSun" w:hAnsi="SimSun" w:eastAsia="SimSun" w:cs="SimSun"/>
          <w:sz w:val="21"/>
          <w:szCs w:val="21"/>
          <w:spacing w:val="-3"/>
        </w:rPr>
        <w:t>长期</w:t>
      </w:r>
      <w:r>
        <w:rPr>
          <w:rFonts w:ascii="SimSun" w:hAnsi="SimSun" w:eastAsia="SimSun" w:cs="SimSun"/>
          <w:sz w:val="21"/>
          <w:szCs w:val="21"/>
        </w:rPr>
        <w:t xml:space="preserve"> </w:t>
      </w:r>
      <w:r>
        <w:rPr>
          <w:rFonts w:ascii="SimSun" w:hAnsi="SimSun" w:eastAsia="SimSun" w:cs="SimSun"/>
          <w:sz w:val="21"/>
          <w:szCs w:val="21"/>
          <w:spacing w:val="-2"/>
        </w:rPr>
        <w:t>向好经济面没有改变。随着各项政策不断落实落细,</w:t>
      </w:r>
      <w:r>
        <w:rPr>
          <w:rFonts w:ascii="SimSun" w:hAnsi="SimSun" w:eastAsia="SimSun" w:cs="SimSun"/>
          <w:sz w:val="21"/>
          <w:szCs w:val="21"/>
          <w:spacing w:val="45"/>
        </w:rPr>
        <w:t xml:space="preserve"> </w:t>
      </w:r>
      <w:r>
        <w:rPr>
          <w:rFonts w:ascii="SimSun" w:hAnsi="SimSun" w:eastAsia="SimSun" w:cs="SimSun"/>
          <w:sz w:val="21"/>
          <w:szCs w:val="21"/>
          <w:spacing w:val="-2"/>
        </w:rPr>
        <w:t>国内生产生活秩序有望加快恢复,</w:t>
      </w:r>
      <w:r>
        <w:rPr>
          <w:rFonts w:ascii="SimSun" w:hAnsi="SimSun" w:eastAsia="SimSun" w:cs="SimSun"/>
          <w:sz w:val="21"/>
          <w:szCs w:val="21"/>
          <w:spacing w:val="25"/>
        </w:rPr>
        <w:t xml:space="preserve"> </w:t>
      </w:r>
      <w:r>
        <w:rPr>
          <w:rFonts w:ascii="SimSun" w:hAnsi="SimSun" w:eastAsia="SimSun" w:cs="SimSun"/>
          <w:sz w:val="21"/>
          <w:szCs w:val="21"/>
          <w:spacing w:val="-2"/>
        </w:rPr>
        <w:t>经济</w:t>
      </w:r>
      <w:r>
        <w:rPr>
          <w:rFonts w:ascii="SimSun" w:hAnsi="SimSun" w:eastAsia="SimSun" w:cs="SimSun"/>
          <w:sz w:val="21"/>
          <w:szCs w:val="21"/>
          <w:spacing w:val="-3"/>
        </w:rPr>
        <w:t>增长内生动力</w:t>
      </w:r>
      <w:r>
        <w:rPr>
          <w:rFonts w:ascii="SimSun" w:hAnsi="SimSun" w:eastAsia="SimSun" w:cs="SimSun"/>
          <w:sz w:val="21"/>
          <w:szCs w:val="21"/>
        </w:rPr>
        <w:t xml:space="preserve"> </w:t>
      </w:r>
      <w:r>
        <w:rPr>
          <w:rFonts w:ascii="SimSun" w:hAnsi="SimSun" w:eastAsia="SimSun" w:cs="SimSun"/>
          <w:sz w:val="21"/>
          <w:szCs w:val="21"/>
          <w:spacing w:val="-3"/>
        </w:rPr>
        <w:t>不断积聚增强,</w:t>
      </w:r>
      <w:r>
        <w:rPr>
          <w:rFonts w:ascii="SimSun" w:hAnsi="SimSun" w:eastAsia="SimSun" w:cs="SimSun"/>
          <w:sz w:val="21"/>
          <w:szCs w:val="21"/>
          <w:spacing w:val="37"/>
        </w:rPr>
        <w:t xml:space="preserve"> </w:t>
      </w:r>
      <w:r>
        <w:rPr>
          <w:rFonts w:ascii="SimSun" w:hAnsi="SimSun" w:eastAsia="SimSun" w:cs="SimSun"/>
          <w:sz w:val="21"/>
          <w:szCs w:val="21"/>
          <w:spacing w:val="-3"/>
        </w:rPr>
        <w:t>整体经济运行有望总体回升。</w:t>
      </w:r>
    </w:p>
    <w:p>
      <w:pPr>
        <w:pStyle w:val="BodyText"/>
        <w:spacing w:line="243" w:lineRule="auto"/>
        <w:rPr/>
      </w:pPr>
      <w:r/>
    </w:p>
    <w:p>
      <w:pPr>
        <w:ind w:firstLine="416"/>
        <w:spacing w:before="68" w:line="292" w:lineRule="auto"/>
        <w:rPr>
          <w:rFonts w:ascii="SimSun" w:hAnsi="SimSun" w:eastAsia="SimSun" w:cs="SimSun"/>
          <w:sz w:val="21"/>
          <w:szCs w:val="21"/>
        </w:rPr>
      </w:pPr>
      <w:r>
        <w:rPr>
          <w:rFonts w:ascii="Times New Roman" w:hAnsi="Times New Roman" w:eastAsia="Times New Roman" w:cs="Times New Roman"/>
          <w:sz w:val="21"/>
          <w:szCs w:val="21"/>
          <w:spacing w:val="-1"/>
        </w:rPr>
        <w:t>2023 </w:t>
      </w:r>
      <w:r>
        <w:rPr>
          <w:rFonts w:ascii="SimSun" w:hAnsi="SimSun" w:eastAsia="SimSun" w:cs="SimSun"/>
          <w:sz w:val="21"/>
          <w:szCs w:val="21"/>
          <w:spacing w:val="-1"/>
        </w:rPr>
        <w:t>年是全面贯彻落实党的二十大精神的开局之年,</w:t>
      </w:r>
      <w:r>
        <w:rPr>
          <w:rFonts w:ascii="SimSun" w:hAnsi="SimSun" w:eastAsia="SimSun" w:cs="SimSun"/>
          <w:sz w:val="21"/>
          <w:szCs w:val="21"/>
          <w:spacing w:val="-29"/>
        </w:rPr>
        <w:t xml:space="preserve"> </w:t>
      </w:r>
      <w:r>
        <w:rPr>
          <w:rFonts w:ascii="SimSun" w:hAnsi="SimSun" w:eastAsia="SimSun" w:cs="SimSun"/>
          <w:sz w:val="21"/>
          <w:szCs w:val="21"/>
          <w:spacing w:val="-1"/>
        </w:rPr>
        <w:t>本集团将继续以习近平新时代中国特色社会主义</w:t>
      </w:r>
      <w:r>
        <w:rPr>
          <w:rFonts w:ascii="SimSun" w:hAnsi="SimSun" w:eastAsia="SimSun" w:cs="SimSun"/>
          <w:sz w:val="21"/>
          <w:szCs w:val="21"/>
        </w:rPr>
        <w:t xml:space="preserve"> </w:t>
      </w:r>
      <w:r>
        <w:rPr>
          <w:rFonts w:ascii="SimSun" w:hAnsi="SimSun" w:eastAsia="SimSun" w:cs="SimSun"/>
          <w:sz w:val="21"/>
          <w:szCs w:val="21"/>
          <w:spacing w:val="-2"/>
        </w:rPr>
        <w:t>思想为指导,</w:t>
      </w:r>
      <w:r>
        <w:rPr>
          <w:rFonts w:ascii="SimSun" w:hAnsi="SimSun" w:eastAsia="SimSun" w:cs="SimSun"/>
          <w:sz w:val="21"/>
          <w:szCs w:val="21"/>
          <w:spacing w:val="26"/>
        </w:rPr>
        <w:t xml:space="preserve"> </w:t>
      </w:r>
      <w:r>
        <w:rPr>
          <w:rFonts w:ascii="SimSun" w:hAnsi="SimSun" w:eastAsia="SimSun" w:cs="SimSun"/>
          <w:sz w:val="21"/>
          <w:szCs w:val="21"/>
          <w:spacing w:val="-2"/>
        </w:rPr>
        <w:t>积极落实中央经济工作会议精神,</w:t>
      </w:r>
      <w:r>
        <w:rPr>
          <w:rFonts w:ascii="SimSun" w:hAnsi="SimSun" w:eastAsia="SimSun" w:cs="SimSun"/>
          <w:sz w:val="21"/>
          <w:szCs w:val="21"/>
          <w:spacing w:val="30"/>
        </w:rPr>
        <w:t xml:space="preserve"> </w:t>
      </w:r>
      <w:r>
        <w:rPr>
          <w:rFonts w:ascii="SimSun" w:hAnsi="SimSun" w:eastAsia="SimSun" w:cs="SimSun"/>
          <w:sz w:val="21"/>
          <w:szCs w:val="21"/>
          <w:spacing w:val="-2"/>
        </w:rPr>
        <w:t>坚持稳中求进工作总基</w:t>
      </w:r>
      <w:r>
        <w:rPr>
          <w:rFonts w:ascii="SimSun" w:hAnsi="SimSun" w:eastAsia="SimSun" w:cs="SimSun"/>
          <w:sz w:val="21"/>
          <w:szCs w:val="21"/>
          <w:spacing w:val="-3"/>
        </w:rPr>
        <w:t>调,</w:t>
      </w:r>
      <w:r>
        <w:rPr>
          <w:rFonts w:ascii="SimSun" w:hAnsi="SimSun" w:eastAsia="SimSun" w:cs="SimSun"/>
          <w:sz w:val="21"/>
          <w:szCs w:val="21"/>
          <w:spacing w:val="26"/>
        </w:rPr>
        <w:t xml:space="preserve"> </w:t>
      </w:r>
      <w:r>
        <w:rPr>
          <w:rFonts w:ascii="SimSun" w:hAnsi="SimSun" w:eastAsia="SimSun" w:cs="SimSun"/>
          <w:sz w:val="21"/>
          <w:szCs w:val="21"/>
          <w:spacing w:val="-3"/>
        </w:rPr>
        <w:t>完整、准确、全面贯彻新发展</w:t>
      </w:r>
      <w:r>
        <w:rPr>
          <w:rFonts w:ascii="SimSun" w:hAnsi="SimSun" w:eastAsia="SimSun" w:cs="SimSun"/>
          <w:sz w:val="21"/>
          <w:szCs w:val="21"/>
        </w:rPr>
        <w:t xml:space="preserve"> </w:t>
      </w:r>
      <w:r>
        <w:rPr>
          <w:rFonts w:ascii="SimSun" w:hAnsi="SimSun" w:eastAsia="SimSun" w:cs="SimSun"/>
          <w:sz w:val="21"/>
          <w:szCs w:val="21"/>
          <w:spacing w:val="-1"/>
        </w:rPr>
        <w:t>理念, 服务构建新发展格局, 不断提升服务实体经济高质量发展质效, 深入推进交行"十四五"规划</w:t>
      </w:r>
      <w:r>
        <w:rPr>
          <w:rFonts w:ascii="SimSun" w:hAnsi="SimSun" w:eastAsia="SimSun" w:cs="SimSun"/>
          <w:sz w:val="21"/>
          <w:szCs w:val="21"/>
          <w:spacing w:val="-2"/>
        </w:rPr>
        <w:t>实施,</w:t>
      </w:r>
      <w:r>
        <w:rPr>
          <w:rFonts w:ascii="SimSun" w:hAnsi="SimSun" w:eastAsia="SimSun" w:cs="SimSun"/>
          <w:sz w:val="21"/>
          <w:szCs w:val="21"/>
        </w:rPr>
        <w:t xml:space="preserve">  </w:t>
      </w:r>
      <w:r>
        <w:rPr>
          <w:rFonts w:ascii="SimSun" w:hAnsi="SimSun" w:eastAsia="SimSun" w:cs="SimSun"/>
          <w:sz w:val="21"/>
          <w:szCs w:val="21"/>
          <w:spacing w:val="-1"/>
        </w:rPr>
        <w:t>加快建设具有特色优势的世界一流银行集团,</w:t>
      </w:r>
      <w:r>
        <w:rPr>
          <w:rFonts w:ascii="SimSun" w:hAnsi="SimSun" w:eastAsia="SimSun" w:cs="SimSun"/>
          <w:sz w:val="21"/>
          <w:szCs w:val="21"/>
          <w:spacing w:val="29"/>
        </w:rPr>
        <w:t xml:space="preserve"> </w:t>
      </w:r>
      <w:r>
        <w:rPr>
          <w:rFonts w:ascii="SimSun" w:hAnsi="SimSun" w:eastAsia="SimSun" w:cs="SimSun"/>
          <w:sz w:val="21"/>
          <w:szCs w:val="21"/>
          <w:spacing w:val="-1"/>
        </w:rPr>
        <w:t>重点从以下方面开展工作:</w:t>
      </w:r>
    </w:p>
    <w:p>
      <w:pPr>
        <w:pStyle w:val="BodyText"/>
        <w:spacing w:line="241" w:lineRule="auto"/>
        <w:rPr/>
      </w:pPr>
      <w:r/>
    </w:p>
    <w:p>
      <w:pPr>
        <w:ind w:left="1" w:right="2" w:firstLine="422"/>
        <w:spacing w:before="68" w:line="292" w:lineRule="auto"/>
        <w:jc w:val="both"/>
        <w:rPr>
          <w:rFonts w:ascii="SimSun" w:hAnsi="SimSun" w:eastAsia="SimSun" w:cs="SimSun"/>
          <w:sz w:val="21"/>
          <w:szCs w:val="21"/>
        </w:rPr>
      </w:pPr>
      <w:r>
        <w:rPr>
          <w:rFonts w:ascii="SimSun" w:hAnsi="SimSun" w:eastAsia="SimSun" w:cs="SimSun"/>
          <w:sz w:val="21"/>
          <w:szCs w:val="21"/>
          <w:b/>
          <w:bCs/>
          <w:spacing w:val="-1"/>
        </w:rPr>
        <w:t>服务实体经济高质量发展。</w:t>
      </w:r>
      <w:r>
        <w:rPr>
          <w:rFonts w:ascii="SimSun" w:hAnsi="SimSun" w:eastAsia="SimSun" w:cs="SimSun"/>
          <w:sz w:val="21"/>
          <w:szCs w:val="21"/>
          <w:spacing w:val="-1"/>
        </w:rPr>
        <w:t>抢抓制造业重点产业链供应链、新型能源体系</w:t>
      </w:r>
      <w:r>
        <w:rPr>
          <w:rFonts w:ascii="SimSun" w:hAnsi="SimSun" w:eastAsia="SimSun" w:cs="SimSun"/>
          <w:sz w:val="21"/>
          <w:szCs w:val="21"/>
          <w:spacing w:val="-2"/>
        </w:rPr>
        <w:t>、绿色低碳、数字经济等新</w:t>
      </w:r>
      <w:r>
        <w:rPr>
          <w:rFonts w:ascii="SimSun" w:hAnsi="SimSun" w:eastAsia="SimSun" w:cs="SimSun"/>
          <w:sz w:val="21"/>
          <w:szCs w:val="21"/>
        </w:rPr>
        <w:t xml:space="preserve"> </w:t>
      </w:r>
      <w:r>
        <w:rPr>
          <w:rFonts w:ascii="SimSun" w:hAnsi="SimSun" w:eastAsia="SimSun" w:cs="SimSun"/>
          <w:sz w:val="21"/>
          <w:szCs w:val="21"/>
          <w:spacing w:val="10"/>
        </w:rPr>
        <w:t>动能领域发展机遇,迭代优化科技金融展业模式, 更好服务支</w:t>
      </w:r>
      <w:r>
        <w:rPr>
          <w:rFonts w:ascii="SimSun" w:hAnsi="SimSun" w:eastAsia="SimSun" w:cs="SimSun"/>
          <w:sz w:val="21"/>
          <w:szCs w:val="21"/>
          <w:spacing w:val="9"/>
        </w:rPr>
        <w:t>撑"科技</w:t>
      </w:r>
      <w:r>
        <w:rPr>
          <w:rFonts w:ascii="Times New Roman" w:hAnsi="Times New Roman" w:eastAsia="Times New Roman" w:cs="Times New Roman"/>
          <w:sz w:val="21"/>
          <w:szCs w:val="21"/>
          <w:spacing w:val="9"/>
        </w:rPr>
        <w:t>-</w:t>
      </w:r>
      <w:r>
        <w:rPr>
          <w:rFonts w:ascii="SimSun" w:hAnsi="SimSun" w:eastAsia="SimSun" w:cs="SimSun"/>
          <w:sz w:val="21"/>
          <w:szCs w:val="21"/>
          <w:spacing w:val="9"/>
        </w:rPr>
        <w:t>产业</w:t>
      </w:r>
      <w:r>
        <w:rPr>
          <w:rFonts w:ascii="Times New Roman" w:hAnsi="Times New Roman" w:eastAsia="Times New Roman" w:cs="Times New Roman"/>
          <w:sz w:val="21"/>
          <w:szCs w:val="21"/>
          <w:spacing w:val="9"/>
        </w:rPr>
        <w:t>-</w:t>
      </w:r>
      <w:r>
        <w:rPr>
          <w:rFonts w:ascii="SimSun" w:hAnsi="SimSun" w:eastAsia="SimSun" w:cs="SimSun"/>
          <w:sz w:val="21"/>
          <w:szCs w:val="21"/>
          <w:spacing w:val="9"/>
        </w:rPr>
        <w:t>金融"良性循环,助力加快</w:t>
      </w:r>
      <w:r>
        <w:rPr>
          <w:rFonts w:ascii="SimSun" w:hAnsi="SimSun" w:eastAsia="SimSun" w:cs="SimSun"/>
          <w:sz w:val="21"/>
          <w:szCs w:val="21"/>
        </w:rPr>
        <w:t xml:space="preserve"> </w:t>
      </w:r>
      <w:r>
        <w:rPr>
          <w:rFonts w:ascii="SimSun" w:hAnsi="SimSun" w:eastAsia="SimSun" w:cs="SimSun"/>
          <w:sz w:val="21"/>
          <w:szCs w:val="21"/>
          <w:spacing w:val="-2"/>
        </w:rPr>
        <w:t>建设现代化产业体系。抢抓居民住房、汽车等大宗消费,</w:t>
      </w:r>
      <w:r>
        <w:rPr>
          <w:rFonts w:ascii="SimSun" w:hAnsi="SimSun" w:eastAsia="SimSun" w:cs="SimSun"/>
          <w:sz w:val="21"/>
          <w:szCs w:val="21"/>
          <w:spacing w:val="26"/>
        </w:rPr>
        <w:t xml:space="preserve"> </w:t>
      </w:r>
      <w:r>
        <w:rPr>
          <w:rFonts w:ascii="SimSun" w:hAnsi="SimSun" w:eastAsia="SimSun" w:cs="SimSun"/>
          <w:sz w:val="21"/>
          <w:szCs w:val="21"/>
          <w:spacing w:val="-2"/>
        </w:rPr>
        <w:t>教育、医疗、养老服务</w:t>
      </w:r>
      <w:r>
        <w:rPr>
          <w:rFonts w:ascii="SimSun" w:hAnsi="SimSun" w:eastAsia="SimSun" w:cs="SimSun"/>
          <w:sz w:val="21"/>
          <w:szCs w:val="21"/>
          <w:spacing w:val="-3"/>
        </w:rPr>
        <w:t>等服务消费,</w:t>
      </w:r>
      <w:r>
        <w:rPr>
          <w:rFonts w:ascii="SimSun" w:hAnsi="SimSun" w:eastAsia="SimSun" w:cs="SimSun"/>
          <w:sz w:val="21"/>
          <w:szCs w:val="21"/>
          <w:spacing w:val="48"/>
        </w:rPr>
        <w:t xml:space="preserve"> </w:t>
      </w:r>
      <w:r>
        <w:rPr>
          <w:rFonts w:ascii="SimSun" w:hAnsi="SimSun" w:eastAsia="SimSun" w:cs="SimSun"/>
          <w:sz w:val="21"/>
          <w:szCs w:val="21"/>
          <w:spacing w:val="-3"/>
        </w:rPr>
        <w:t>以及新市民</w:t>
      </w:r>
      <w:r>
        <w:rPr>
          <w:rFonts w:ascii="SimSun" w:hAnsi="SimSun" w:eastAsia="SimSun" w:cs="SimSun"/>
          <w:sz w:val="21"/>
          <w:szCs w:val="21"/>
        </w:rPr>
        <w:t xml:space="preserve"> </w:t>
      </w:r>
      <w:r>
        <w:rPr>
          <w:rFonts w:ascii="SimSun" w:hAnsi="SimSun" w:eastAsia="SimSun" w:cs="SimSun"/>
          <w:sz w:val="21"/>
          <w:szCs w:val="21"/>
          <w:spacing w:val="-2"/>
        </w:rPr>
        <w:t>等重点消费需求释放的新机遇,</w:t>
      </w:r>
      <w:r>
        <w:rPr>
          <w:rFonts w:ascii="SimSun" w:hAnsi="SimSun" w:eastAsia="SimSun" w:cs="SimSun"/>
          <w:sz w:val="21"/>
          <w:szCs w:val="21"/>
          <w:spacing w:val="31"/>
        </w:rPr>
        <w:t xml:space="preserve"> </w:t>
      </w:r>
      <w:r>
        <w:rPr>
          <w:rFonts w:ascii="SimSun" w:hAnsi="SimSun" w:eastAsia="SimSun" w:cs="SimSun"/>
          <w:sz w:val="21"/>
          <w:szCs w:val="21"/>
          <w:spacing w:val="-2"/>
        </w:rPr>
        <w:t>大力发展消费金融业务,</w:t>
      </w:r>
      <w:r>
        <w:rPr>
          <w:rFonts w:ascii="SimSun" w:hAnsi="SimSun" w:eastAsia="SimSun" w:cs="SimSun"/>
          <w:sz w:val="21"/>
          <w:szCs w:val="21"/>
          <w:spacing w:val="32"/>
        </w:rPr>
        <w:t xml:space="preserve"> </w:t>
      </w:r>
      <w:r>
        <w:rPr>
          <w:rFonts w:ascii="SimSun" w:hAnsi="SimSun" w:eastAsia="SimSun" w:cs="SimSun"/>
          <w:sz w:val="21"/>
          <w:szCs w:val="21"/>
          <w:spacing w:val="-2"/>
        </w:rPr>
        <w:t>更好服务人民美好生</w:t>
      </w:r>
      <w:r>
        <w:rPr>
          <w:rFonts w:ascii="SimSun" w:hAnsi="SimSun" w:eastAsia="SimSun" w:cs="SimSun"/>
          <w:sz w:val="21"/>
          <w:szCs w:val="21"/>
          <w:spacing w:val="-3"/>
        </w:rPr>
        <w:t>活需要。</w:t>
      </w:r>
    </w:p>
    <w:p>
      <w:pPr>
        <w:pStyle w:val="BodyText"/>
        <w:rPr/>
      </w:pPr>
      <w:r/>
    </w:p>
    <w:p>
      <w:pPr>
        <w:ind w:right="2" w:firstLine="426"/>
        <w:spacing w:before="68" w:line="297" w:lineRule="auto"/>
        <w:jc w:val="both"/>
        <w:rPr>
          <w:rFonts w:ascii="SimSun" w:hAnsi="SimSun" w:eastAsia="SimSun" w:cs="SimSun"/>
          <w:sz w:val="21"/>
          <w:szCs w:val="21"/>
        </w:rPr>
      </w:pPr>
      <w:r>
        <w:rPr>
          <w:rFonts w:ascii="SimSun" w:hAnsi="SimSun" w:eastAsia="SimSun" w:cs="SimSun"/>
          <w:sz w:val="21"/>
          <w:szCs w:val="21"/>
          <w:b/>
          <w:bCs/>
          <w:spacing w:val="1"/>
        </w:rPr>
        <w:t>纵深推进业务特色打造。</w:t>
      </w:r>
      <w:r>
        <w:rPr>
          <w:rFonts w:ascii="SimSun" w:hAnsi="SimSun" w:eastAsia="SimSun" w:cs="SimSun"/>
          <w:sz w:val="21"/>
          <w:szCs w:val="21"/>
          <w:spacing w:val="1"/>
        </w:rPr>
        <w:t>围绕普惠金融、贸易金融、科技</w:t>
      </w:r>
      <w:r>
        <w:rPr>
          <w:rFonts w:ascii="SimSun" w:hAnsi="SimSun" w:eastAsia="SimSun" w:cs="SimSun"/>
          <w:sz w:val="21"/>
          <w:szCs w:val="21"/>
        </w:rPr>
        <w:t>金融、财富金融四大特色及绿色金融底色, </w:t>
      </w:r>
      <w:r>
        <w:rPr>
          <w:rFonts w:ascii="SimSun" w:hAnsi="SimSun" w:eastAsia="SimSun" w:cs="SimSun"/>
          <w:sz w:val="21"/>
          <w:szCs w:val="21"/>
          <w:spacing w:val="-2"/>
        </w:rPr>
        <w:t>推动业务结构优化。提升金融服务的覆盖面和可得性,</w:t>
      </w:r>
      <w:r>
        <w:rPr>
          <w:rFonts w:ascii="SimSun" w:hAnsi="SimSun" w:eastAsia="SimSun" w:cs="SimSun"/>
          <w:sz w:val="21"/>
          <w:szCs w:val="21"/>
          <w:spacing w:val="35"/>
        </w:rPr>
        <w:t xml:space="preserve"> </w:t>
      </w:r>
      <w:r>
        <w:rPr>
          <w:rFonts w:ascii="SimSun" w:hAnsi="SimSun" w:eastAsia="SimSun" w:cs="SimSun"/>
          <w:sz w:val="21"/>
          <w:szCs w:val="21"/>
          <w:spacing w:val="-2"/>
        </w:rPr>
        <w:t>拓展核心负债和营收增长空间;</w:t>
      </w:r>
      <w:r>
        <w:rPr>
          <w:rFonts w:ascii="SimSun" w:hAnsi="SimSun" w:eastAsia="SimSun" w:cs="SimSun"/>
          <w:sz w:val="21"/>
          <w:szCs w:val="21"/>
          <w:spacing w:val="30"/>
        </w:rPr>
        <w:t xml:space="preserve"> </w:t>
      </w:r>
      <w:r>
        <w:rPr>
          <w:rFonts w:ascii="SimSun" w:hAnsi="SimSun" w:eastAsia="SimSun" w:cs="SimSun"/>
          <w:sz w:val="21"/>
          <w:szCs w:val="21"/>
          <w:spacing w:val="-2"/>
        </w:rPr>
        <w:t>打通境内外、本外</w:t>
      </w:r>
      <w:r>
        <w:rPr>
          <w:rFonts w:ascii="SimSun" w:hAnsi="SimSun" w:eastAsia="SimSun" w:cs="SimSun"/>
          <w:sz w:val="21"/>
          <w:szCs w:val="21"/>
        </w:rPr>
        <w:t xml:space="preserve"> </w:t>
      </w:r>
      <w:r>
        <w:rPr>
          <w:rFonts w:ascii="SimSun" w:hAnsi="SimSun" w:eastAsia="SimSun" w:cs="SimSun"/>
          <w:sz w:val="21"/>
          <w:szCs w:val="21"/>
          <w:spacing w:val="-2"/>
        </w:rPr>
        <w:t>币、离在岸一体化金融服务,</w:t>
      </w:r>
      <w:r>
        <w:rPr>
          <w:rFonts w:ascii="SimSun" w:hAnsi="SimSun" w:eastAsia="SimSun" w:cs="SimSun"/>
          <w:sz w:val="21"/>
          <w:szCs w:val="21"/>
          <w:spacing w:val="29"/>
        </w:rPr>
        <w:t xml:space="preserve"> </w:t>
      </w:r>
      <w:r>
        <w:rPr>
          <w:rFonts w:ascii="SimSun" w:hAnsi="SimSun" w:eastAsia="SimSun" w:cs="SimSun"/>
          <w:sz w:val="21"/>
          <w:szCs w:val="21"/>
          <w:spacing w:val="-2"/>
        </w:rPr>
        <w:t>强化链金融综合能效,</w:t>
      </w:r>
      <w:r>
        <w:rPr>
          <w:rFonts w:ascii="SimSun" w:hAnsi="SimSun" w:eastAsia="SimSun" w:cs="SimSun"/>
          <w:sz w:val="21"/>
          <w:szCs w:val="21"/>
          <w:spacing w:val="28"/>
        </w:rPr>
        <w:t xml:space="preserve"> </w:t>
      </w:r>
      <w:r>
        <w:rPr>
          <w:rFonts w:ascii="SimSun" w:hAnsi="SimSun" w:eastAsia="SimSun" w:cs="SimSun"/>
          <w:sz w:val="21"/>
          <w:szCs w:val="21"/>
          <w:spacing w:val="-3"/>
        </w:rPr>
        <w:t>有效对接国家稳链补链强链部署;</w:t>
      </w:r>
      <w:r>
        <w:rPr>
          <w:rFonts w:ascii="SimSun" w:hAnsi="SimSun" w:eastAsia="SimSun" w:cs="SimSun"/>
          <w:sz w:val="21"/>
          <w:szCs w:val="21"/>
          <w:spacing w:val="28"/>
        </w:rPr>
        <w:t xml:space="preserve"> </w:t>
      </w:r>
      <w:r>
        <w:rPr>
          <w:rFonts w:ascii="SimSun" w:hAnsi="SimSun" w:eastAsia="SimSun" w:cs="SimSun"/>
          <w:sz w:val="21"/>
          <w:szCs w:val="21"/>
          <w:spacing w:val="-3"/>
        </w:rPr>
        <w:t>充分发挥交银集团</w:t>
      </w:r>
      <w:r>
        <w:rPr>
          <w:rFonts w:ascii="SimSun" w:hAnsi="SimSun" w:eastAsia="SimSun" w:cs="SimSun"/>
          <w:sz w:val="21"/>
          <w:szCs w:val="21"/>
        </w:rPr>
        <w:t xml:space="preserve"> </w:t>
      </w:r>
      <w:r>
        <w:rPr>
          <w:rFonts w:ascii="SimSun" w:hAnsi="SimSun" w:eastAsia="SimSun" w:cs="SimSun"/>
          <w:sz w:val="21"/>
          <w:szCs w:val="21"/>
          <w:spacing w:val="-2"/>
        </w:rPr>
        <w:t>综合经营优势,</w:t>
      </w:r>
      <w:r>
        <w:rPr>
          <w:rFonts w:ascii="SimSun" w:hAnsi="SimSun" w:eastAsia="SimSun" w:cs="SimSun"/>
          <w:sz w:val="21"/>
          <w:szCs w:val="21"/>
          <w:spacing w:val="32"/>
        </w:rPr>
        <w:t xml:space="preserve"> </w:t>
      </w:r>
      <w:r>
        <w:rPr>
          <w:rFonts w:ascii="SimSun" w:hAnsi="SimSun" w:eastAsia="SimSun" w:cs="SimSun"/>
          <w:sz w:val="21"/>
          <w:szCs w:val="21"/>
          <w:spacing w:val="-2"/>
        </w:rPr>
        <w:t>更好服务战略性新兴产业、先进制造业高质量发展, 积极调整优化全行资产结构;</w:t>
      </w:r>
      <w:r>
        <w:rPr>
          <w:rFonts w:ascii="SimSun" w:hAnsi="SimSun" w:eastAsia="SimSun" w:cs="SimSun"/>
          <w:sz w:val="21"/>
          <w:szCs w:val="21"/>
          <w:spacing w:val="32"/>
        </w:rPr>
        <w:t xml:space="preserve"> </w:t>
      </w:r>
      <w:r>
        <w:rPr>
          <w:rFonts w:ascii="SimSun" w:hAnsi="SimSun" w:eastAsia="SimSun" w:cs="SimSun"/>
          <w:sz w:val="21"/>
          <w:szCs w:val="21"/>
          <w:spacing w:val="-2"/>
        </w:rPr>
        <w:t>聚焦代</w:t>
      </w:r>
      <w:r>
        <w:rPr>
          <w:rFonts w:ascii="SimSun" w:hAnsi="SimSun" w:eastAsia="SimSun" w:cs="SimSun"/>
          <w:sz w:val="21"/>
          <w:szCs w:val="21"/>
        </w:rPr>
        <w:t xml:space="preserve"> </w:t>
      </w:r>
      <w:r>
        <w:rPr>
          <w:rFonts w:ascii="SimSun" w:hAnsi="SimSun" w:eastAsia="SimSun" w:cs="SimSun"/>
          <w:sz w:val="21"/>
          <w:szCs w:val="21"/>
          <w:spacing w:val="3"/>
        </w:rPr>
        <w:t>发、财管、养老等重点客群市场,持续完善财富金融综合服务体系。</w:t>
      </w:r>
    </w:p>
    <w:p>
      <w:pPr>
        <w:pStyle w:val="BodyText"/>
        <w:spacing w:line="243" w:lineRule="auto"/>
        <w:rPr/>
      </w:pPr>
      <w:r/>
    </w:p>
    <w:p>
      <w:pPr>
        <w:ind w:firstLine="423"/>
        <w:spacing w:before="68" w:line="292" w:lineRule="auto"/>
        <w:jc w:val="both"/>
        <w:rPr>
          <w:rFonts w:ascii="SimSun" w:hAnsi="SimSun" w:eastAsia="SimSun" w:cs="SimSun"/>
          <w:sz w:val="21"/>
          <w:szCs w:val="21"/>
        </w:rPr>
      </w:pPr>
      <w:r>
        <w:rPr>
          <w:rFonts w:ascii="SimSun" w:hAnsi="SimSun" w:eastAsia="SimSun" w:cs="SimSun"/>
          <w:sz w:val="21"/>
          <w:szCs w:val="21"/>
          <w:b/>
          <w:bCs/>
          <w:spacing w:val="-4"/>
        </w:rPr>
        <w:t>加快上海主场优势建设。</w:t>
      </w:r>
      <w:r>
        <w:rPr>
          <w:rFonts w:ascii="SimSun" w:hAnsi="SimSun" w:eastAsia="SimSun" w:cs="SimSun"/>
          <w:sz w:val="21"/>
          <w:szCs w:val="21"/>
          <w:spacing w:val="-4"/>
        </w:rPr>
        <w:t xml:space="preserve"> 围绕服务党中央赋予上海的战略任务, 强化上海主场的创新策源功能,</w:t>
      </w:r>
      <w:r>
        <w:rPr>
          <w:rFonts w:ascii="SimSun" w:hAnsi="SimSun" w:eastAsia="SimSun" w:cs="SimSun"/>
          <w:sz w:val="21"/>
          <w:szCs w:val="21"/>
          <w:spacing w:val="27"/>
        </w:rPr>
        <w:t xml:space="preserve"> </w:t>
      </w:r>
      <w:r>
        <w:rPr>
          <w:rFonts w:ascii="SimSun" w:hAnsi="SimSun" w:eastAsia="SimSun" w:cs="SimSun"/>
          <w:sz w:val="21"/>
          <w:szCs w:val="21"/>
          <w:spacing w:val="-4"/>
        </w:rPr>
        <w:t>聚焦</w:t>
      </w:r>
      <w:r>
        <w:rPr>
          <w:rFonts w:ascii="SimSun" w:hAnsi="SimSun" w:eastAsia="SimSun" w:cs="SimSun"/>
          <w:sz w:val="21"/>
          <w:szCs w:val="21"/>
        </w:rPr>
        <w:t xml:space="preserve"> </w:t>
      </w:r>
      <w:r>
        <w:rPr>
          <w:rFonts w:ascii="SimSun" w:hAnsi="SimSun" w:eastAsia="SimSun" w:cs="SimSun"/>
          <w:sz w:val="21"/>
          <w:szCs w:val="21"/>
        </w:rPr>
        <w:t>重点领域创新强化金融服务功能, 迭代优化科技金融创</w:t>
      </w:r>
      <w:r>
        <w:rPr>
          <w:rFonts w:ascii="SimSun" w:hAnsi="SimSun" w:eastAsia="SimSun" w:cs="SimSun"/>
          <w:sz w:val="21"/>
          <w:szCs w:val="21"/>
          <w:spacing w:val="-1"/>
        </w:rPr>
        <w:t>新体系, 推进升级金融要素市场服务功能, 积极挖</w:t>
      </w:r>
      <w:r>
        <w:rPr>
          <w:rFonts w:ascii="SimSun" w:hAnsi="SimSun" w:eastAsia="SimSun" w:cs="SimSun"/>
          <w:sz w:val="21"/>
          <w:szCs w:val="21"/>
        </w:rPr>
        <w:t xml:space="preserve"> </w:t>
      </w:r>
      <w:r>
        <w:rPr>
          <w:rFonts w:ascii="SimSun" w:hAnsi="SimSun" w:eastAsia="SimSun" w:cs="SimSun"/>
          <w:sz w:val="21"/>
          <w:szCs w:val="21"/>
          <w:spacing w:val="-1"/>
        </w:rPr>
        <w:t>掘服务贸易、数字贸易、离岸贸易等领域发展新机遇,</w:t>
      </w:r>
      <w:r>
        <w:rPr>
          <w:rFonts w:ascii="SimSun" w:hAnsi="SimSun" w:eastAsia="SimSun" w:cs="SimSun"/>
          <w:sz w:val="21"/>
          <w:szCs w:val="21"/>
          <w:spacing w:val="25"/>
        </w:rPr>
        <w:t xml:space="preserve"> </w:t>
      </w:r>
      <w:r>
        <w:rPr>
          <w:rFonts w:ascii="SimSun" w:hAnsi="SimSun" w:eastAsia="SimSun" w:cs="SimSun"/>
          <w:sz w:val="21"/>
          <w:szCs w:val="21"/>
          <w:spacing w:val="-1"/>
        </w:rPr>
        <w:t>主动对接多层次多样化民生需求, 着力</w:t>
      </w:r>
      <w:r>
        <w:rPr>
          <w:rFonts w:ascii="SimSun" w:hAnsi="SimSun" w:eastAsia="SimSun" w:cs="SimSun"/>
          <w:sz w:val="21"/>
          <w:szCs w:val="21"/>
          <w:spacing w:val="-2"/>
        </w:rPr>
        <w:t>做强上海主</w:t>
      </w:r>
      <w:r>
        <w:rPr>
          <w:rFonts w:ascii="SimSun" w:hAnsi="SimSun" w:eastAsia="SimSun" w:cs="SimSun"/>
          <w:sz w:val="21"/>
          <w:szCs w:val="21"/>
        </w:rPr>
        <w:t xml:space="preserve"> </w:t>
      </w:r>
      <w:r>
        <w:rPr>
          <w:rFonts w:ascii="SimSun" w:hAnsi="SimSun" w:eastAsia="SimSun" w:cs="SimSun"/>
          <w:sz w:val="21"/>
          <w:szCs w:val="21"/>
          <w:spacing w:val="-1"/>
        </w:rPr>
        <w:t>场优势。同时,</w:t>
      </w:r>
      <w:r>
        <w:rPr>
          <w:rFonts w:ascii="SimSun" w:hAnsi="SimSun" w:eastAsia="SimSun" w:cs="SimSun"/>
          <w:sz w:val="21"/>
          <w:szCs w:val="21"/>
          <w:spacing w:val="29"/>
        </w:rPr>
        <w:t xml:space="preserve"> </w:t>
      </w:r>
      <w:r>
        <w:rPr>
          <w:rFonts w:ascii="SimSun" w:hAnsi="SimSun" w:eastAsia="SimSun" w:cs="SimSun"/>
          <w:sz w:val="21"/>
          <w:szCs w:val="21"/>
          <w:spacing w:val="-1"/>
        </w:rPr>
        <w:t>做实龙头牵引作用,</w:t>
      </w:r>
      <w:r>
        <w:rPr>
          <w:rFonts w:ascii="SimSun" w:hAnsi="SimSun" w:eastAsia="SimSun" w:cs="SimSun"/>
          <w:sz w:val="21"/>
          <w:szCs w:val="21"/>
          <w:spacing w:val="28"/>
        </w:rPr>
        <w:t xml:space="preserve"> </w:t>
      </w:r>
      <w:r>
        <w:rPr>
          <w:rFonts w:ascii="SimSun" w:hAnsi="SimSun" w:eastAsia="SimSun" w:cs="SimSun"/>
          <w:sz w:val="21"/>
          <w:szCs w:val="21"/>
          <w:spacing w:val="-1"/>
        </w:rPr>
        <w:t>在其他区域因地制宜</w:t>
      </w:r>
      <w:r>
        <w:rPr>
          <w:rFonts w:ascii="SimSun" w:hAnsi="SimSun" w:eastAsia="SimSun" w:cs="SimSun"/>
          <w:sz w:val="21"/>
          <w:szCs w:val="21"/>
          <w:spacing w:val="-2"/>
        </w:rPr>
        <w:t>加快复制推广上海主场的经验模式。</w:t>
      </w:r>
    </w:p>
    <w:p>
      <w:pPr>
        <w:pStyle w:val="BodyText"/>
        <w:rPr/>
      </w:pPr>
      <w:r/>
    </w:p>
    <w:p>
      <w:pPr>
        <w:ind w:firstLine="422"/>
        <w:spacing w:before="69" w:line="292" w:lineRule="auto"/>
        <w:jc w:val="both"/>
        <w:rPr>
          <w:rFonts w:ascii="SimSun" w:hAnsi="SimSun" w:eastAsia="SimSun" w:cs="SimSun"/>
          <w:sz w:val="21"/>
          <w:szCs w:val="21"/>
        </w:rPr>
      </w:pPr>
      <w:r>
        <w:rPr>
          <w:rFonts w:ascii="SimSun" w:hAnsi="SimSun" w:eastAsia="SimSun" w:cs="SimSun"/>
          <w:sz w:val="21"/>
          <w:szCs w:val="21"/>
          <w:b/>
          <w:bCs/>
          <w:spacing w:val="-1"/>
        </w:rPr>
        <w:t>深入推进集团数字化转型。</w:t>
      </w:r>
      <w:r>
        <w:rPr>
          <w:rFonts w:ascii="SimSun" w:hAnsi="SimSun" w:eastAsia="SimSun" w:cs="SimSun"/>
          <w:sz w:val="21"/>
          <w:szCs w:val="21"/>
          <w:spacing w:val="-1"/>
        </w:rPr>
        <w:t>以零售转型为突破口, 深化数字化经营。聚焦手机银</w:t>
      </w:r>
      <w:r>
        <w:rPr>
          <w:rFonts w:ascii="SimSun" w:hAnsi="SimSun" w:eastAsia="SimSun" w:cs="SimSun"/>
          <w:sz w:val="21"/>
          <w:szCs w:val="21"/>
          <w:spacing w:val="-2"/>
        </w:rPr>
        <w:t>行、网银主阵地, 加</w:t>
      </w:r>
      <w:r>
        <w:rPr>
          <w:rFonts w:ascii="SimSun" w:hAnsi="SimSun" w:eastAsia="SimSun" w:cs="SimSun"/>
          <w:sz w:val="21"/>
          <w:szCs w:val="21"/>
        </w:rPr>
        <w:t xml:space="preserve"> </w:t>
      </w:r>
      <w:r>
        <w:rPr>
          <w:rFonts w:ascii="SimSun" w:hAnsi="SimSun" w:eastAsia="SimSun" w:cs="SimSun"/>
          <w:sz w:val="21"/>
          <w:szCs w:val="21"/>
        </w:rPr>
        <w:t>大开放银行场景建设和经营力度, 依托数字化平台</w:t>
      </w:r>
      <w:r>
        <w:rPr>
          <w:rFonts w:ascii="SimSun" w:hAnsi="SimSun" w:eastAsia="SimSun" w:cs="SimSun"/>
          <w:sz w:val="21"/>
          <w:szCs w:val="21"/>
          <w:spacing w:val="-1"/>
        </w:rPr>
        <w:t>工具优化升级个人信贷业务流程, 稳步提升零售转型价</w:t>
      </w:r>
      <w:r>
        <w:rPr>
          <w:rFonts w:ascii="SimSun" w:hAnsi="SimSun" w:eastAsia="SimSun" w:cs="SimSun"/>
          <w:sz w:val="21"/>
          <w:szCs w:val="21"/>
        </w:rPr>
        <w:t xml:space="preserve"> </w:t>
      </w:r>
      <w:r>
        <w:rPr>
          <w:rFonts w:ascii="SimSun" w:hAnsi="SimSun" w:eastAsia="SimSun" w:cs="SimSun"/>
          <w:sz w:val="21"/>
          <w:szCs w:val="21"/>
          <w:spacing w:val="-1"/>
        </w:rPr>
        <w:t>值贡献。加快推进网点综合化转型, 提升网点经营效能, 转变网点服务模式,</w:t>
      </w:r>
      <w:r>
        <w:rPr>
          <w:rFonts w:ascii="SimSun" w:hAnsi="SimSun" w:eastAsia="SimSun" w:cs="SimSun"/>
          <w:sz w:val="21"/>
          <w:szCs w:val="21"/>
          <w:spacing w:val="27"/>
        </w:rPr>
        <w:t xml:space="preserve"> </w:t>
      </w:r>
      <w:r>
        <w:rPr>
          <w:rFonts w:ascii="SimSun" w:hAnsi="SimSun" w:eastAsia="SimSun" w:cs="SimSun"/>
          <w:sz w:val="21"/>
          <w:szCs w:val="21"/>
          <w:spacing w:val="-1"/>
        </w:rPr>
        <w:t>推动网点全功能、</w:t>
      </w:r>
      <w:r>
        <w:rPr>
          <w:rFonts w:ascii="SimSun" w:hAnsi="SimSun" w:eastAsia="SimSun" w:cs="SimSun"/>
          <w:sz w:val="21"/>
          <w:szCs w:val="21"/>
          <w:spacing w:val="-2"/>
        </w:rPr>
        <w:t>全产品覆</w:t>
      </w:r>
      <w:r>
        <w:rPr>
          <w:rFonts w:ascii="SimSun" w:hAnsi="SimSun" w:eastAsia="SimSun" w:cs="SimSun"/>
          <w:sz w:val="21"/>
          <w:szCs w:val="21"/>
        </w:rPr>
        <w:t xml:space="preserve"> </w:t>
      </w:r>
      <w:r>
        <w:rPr>
          <w:rFonts w:ascii="SimSun" w:hAnsi="SimSun" w:eastAsia="SimSun" w:cs="SimSun"/>
          <w:sz w:val="21"/>
          <w:szCs w:val="21"/>
          <w:spacing w:val="8"/>
        </w:rPr>
        <w:t>盖,强化物理网点和"云上交行"协同联动, 推动形成线上线下一体化综合</w:t>
      </w:r>
      <w:r>
        <w:rPr>
          <w:rFonts w:ascii="SimSun" w:hAnsi="SimSun" w:eastAsia="SimSun" w:cs="SimSun"/>
          <w:sz w:val="21"/>
          <w:szCs w:val="21"/>
          <w:spacing w:val="7"/>
        </w:rPr>
        <w:t>化服务体系。</w:t>
      </w:r>
    </w:p>
    <w:p>
      <w:pPr>
        <w:pStyle w:val="BodyText"/>
        <w:spacing w:line="241" w:lineRule="auto"/>
        <w:rPr/>
      </w:pPr>
      <w:r/>
    </w:p>
    <w:p>
      <w:pPr>
        <w:ind w:left="1" w:firstLine="424"/>
        <w:spacing w:before="69" w:line="292" w:lineRule="auto"/>
        <w:jc w:val="both"/>
        <w:rPr>
          <w:rFonts w:ascii="SimSun" w:hAnsi="SimSun" w:eastAsia="SimSun" w:cs="SimSun"/>
          <w:sz w:val="21"/>
          <w:szCs w:val="21"/>
        </w:rPr>
      </w:pPr>
      <w:r>
        <w:rPr>
          <w:rFonts w:ascii="SimSun" w:hAnsi="SimSun" w:eastAsia="SimSun" w:cs="SimSun"/>
          <w:sz w:val="21"/>
          <w:szCs w:val="21"/>
          <w:b/>
          <w:bCs/>
          <w:spacing w:val="-3"/>
        </w:rPr>
        <w:t>持续提升风险管控能力。</w:t>
      </w:r>
      <w:r>
        <w:rPr>
          <w:rFonts w:ascii="SimSun" w:hAnsi="SimSun" w:eastAsia="SimSun" w:cs="SimSun"/>
          <w:sz w:val="21"/>
          <w:szCs w:val="21"/>
          <w:spacing w:val="-24"/>
        </w:rPr>
        <w:t xml:space="preserve"> </w:t>
      </w:r>
      <w:r>
        <w:rPr>
          <w:rFonts w:ascii="SimSun" w:hAnsi="SimSun" w:eastAsia="SimSun" w:cs="SimSun"/>
          <w:sz w:val="21"/>
          <w:szCs w:val="21"/>
          <w:spacing w:val="-3"/>
        </w:rPr>
        <w:t>持续强化集团统一风险管理, 做好集团层面信用风险扎口管理、重大项目协</w:t>
      </w:r>
      <w:r>
        <w:rPr>
          <w:rFonts w:ascii="SimSun" w:hAnsi="SimSun" w:eastAsia="SimSun" w:cs="SimSun"/>
          <w:sz w:val="21"/>
          <w:szCs w:val="21"/>
        </w:rPr>
        <w:t xml:space="preserve"> </w:t>
      </w:r>
      <w:r>
        <w:rPr>
          <w:rFonts w:ascii="SimSun" w:hAnsi="SimSun" w:eastAsia="SimSun" w:cs="SimSun"/>
          <w:sz w:val="21"/>
          <w:szCs w:val="21"/>
        </w:rPr>
        <w:t>同处置、本外币境内外一体化市场风险和流动</w:t>
      </w:r>
      <w:r>
        <w:rPr>
          <w:rFonts w:ascii="SimSun" w:hAnsi="SimSun" w:eastAsia="SimSun" w:cs="SimSun"/>
          <w:sz w:val="21"/>
          <w:szCs w:val="21"/>
          <w:spacing w:val="-1"/>
        </w:rPr>
        <w:t>性风险管理、交叉金融风险、表外业务风险管理等工作。持</w:t>
      </w:r>
      <w:r>
        <w:rPr>
          <w:rFonts w:ascii="SimSun" w:hAnsi="SimSun" w:eastAsia="SimSun" w:cs="SimSun"/>
          <w:sz w:val="21"/>
          <w:szCs w:val="21"/>
        </w:rPr>
        <w:t xml:space="preserve"> </w:t>
      </w:r>
      <w:r>
        <w:rPr>
          <w:rFonts w:ascii="SimSun" w:hAnsi="SimSun" w:eastAsia="SimSun" w:cs="SimSun"/>
          <w:sz w:val="21"/>
          <w:szCs w:val="21"/>
          <w:spacing w:val="-1"/>
        </w:rPr>
        <w:t>续强化重点领域风险管控,</w:t>
      </w:r>
      <w:r>
        <w:rPr>
          <w:rFonts w:ascii="SimSun" w:hAnsi="SimSun" w:eastAsia="SimSun" w:cs="SimSun"/>
          <w:sz w:val="21"/>
          <w:szCs w:val="21"/>
          <w:spacing w:val="25"/>
        </w:rPr>
        <w:t xml:space="preserve"> </w:t>
      </w:r>
      <w:r>
        <w:rPr>
          <w:rFonts w:ascii="SimSun" w:hAnsi="SimSun" w:eastAsia="SimSun" w:cs="SimSun"/>
          <w:sz w:val="21"/>
          <w:szCs w:val="21"/>
          <w:spacing w:val="-1"/>
        </w:rPr>
        <w:t>妥善做好重点房企风险化解, 注重防范地方政策债务风险, 重视普惠小</w:t>
      </w:r>
      <w:r>
        <w:rPr>
          <w:rFonts w:ascii="SimSun" w:hAnsi="SimSun" w:eastAsia="SimSun" w:cs="SimSun"/>
          <w:sz w:val="21"/>
          <w:szCs w:val="21"/>
          <w:spacing w:val="-2"/>
        </w:rPr>
        <w:t>微客群</w:t>
      </w:r>
      <w:r>
        <w:rPr>
          <w:rFonts w:ascii="SimSun" w:hAnsi="SimSun" w:eastAsia="SimSun" w:cs="SimSun"/>
          <w:sz w:val="21"/>
          <w:szCs w:val="21"/>
        </w:rPr>
        <w:t xml:space="preserve"> </w:t>
      </w:r>
      <w:r>
        <w:rPr>
          <w:rFonts w:ascii="SimSun" w:hAnsi="SimSun" w:eastAsia="SimSun" w:cs="SimSun"/>
          <w:sz w:val="21"/>
          <w:szCs w:val="21"/>
          <w:spacing w:val="6"/>
        </w:rPr>
        <w:t>风险隐患等,坚决遏制不良反弹,守牢不发生系统性金融风险的底线。</w:t>
      </w:r>
    </w:p>
    <w:p>
      <w:pPr>
        <w:pStyle w:val="BodyText"/>
        <w:spacing w:line="242" w:lineRule="auto"/>
        <w:rPr/>
      </w:pPr>
      <w:r/>
    </w:p>
    <w:p>
      <w:pPr>
        <w:ind w:left="425"/>
        <w:spacing w:before="69" w:line="221" w:lineRule="auto"/>
        <w:outlineLvl w:val="0"/>
        <w:rPr>
          <w:rFonts w:ascii="SimSun" w:hAnsi="SimSun" w:eastAsia="SimSun" w:cs="SimSun"/>
          <w:sz w:val="21"/>
          <w:szCs w:val="21"/>
        </w:rPr>
      </w:pPr>
      <w:bookmarkStart w:name="bookmark16" w:id="16"/>
      <w:bookmarkEnd w:id="16"/>
      <w:r>
        <w:rPr>
          <w:rFonts w:ascii="SimSun" w:hAnsi="SimSun" w:eastAsia="SimSun" w:cs="SimSun"/>
          <w:sz w:val="21"/>
          <w:szCs w:val="21"/>
          <w:b/>
          <w:bCs/>
          <w:spacing w:val="-3"/>
        </w:rPr>
        <w:t>六、资本市场关注的热点问题</w:t>
      </w:r>
    </w:p>
    <w:p>
      <w:pPr>
        <w:ind w:left="535"/>
        <w:spacing w:before="309" w:line="221" w:lineRule="auto"/>
        <w:rPr>
          <w:rFonts w:ascii="SimSun" w:hAnsi="SimSun" w:eastAsia="SimSun" w:cs="SimSun"/>
          <w:sz w:val="21"/>
          <w:szCs w:val="21"/>
        </w:rPr>
      </w:pPr>
      <w:r>
        <w:rPr>
          <w:rFonts w:ascii="SimSun" w:hAnsi="SimSun" w:eastAsia="SimSun" w:cs="SimSun"/>
          <w:sz w:val="21"/>
          <w:szCs w:val="21"/>
          <w:b/>
          <w:bCs/>
          <w:spacing w:val="9"/>
        </w:rPr>
        <w:t>(一)关于息差趋势</w:t>
      </w:r>
    </w:p>
    <w:p>
      <w:pPr>
        <w:ind w:firstLine="416"/>
        <w:spacing w:before="308" w:line="292" w:lineRule="auto"/>
        <w:jc w:val="both"/>
        <w:rPr>
          <w:rFonts w:ascii="SimSun" w:hAnsi="SimSun" w:eastAsia="SimSun" w:cs="SimSun"/>
          <w:sz w:val="21"/>
          <w:szCs w:val="21"/>
        </w:rPr>
      </w:pPr>
      <w:r>
        <w:rPr>
          <w:rFonts w:ascii="Times New Roman" w:hAnsi="Times New Roman" w:eastAsia="Times New Roman" w:cs="Times New Roman"/>
          <w:sz w:val="21"/>
          <w:szCs w:val="21"/>
          <w:spacing w:val="-1"/>
        </w:rPr>
        <w:t>2022 </w:t>
      </w:r>
      <w:r>
        <w:rPr>
          <w:rFonts w:ascii="SimSun" w:hAnsi="SimSun" w:eastAsia="SimSun" w:cs="SimSun"/>
          <w:sz w:val="21"/>
          <w:szCs w:val="21"/>
          <w:spacing w:val="-1"/>
        </w:rPr>
        <w:t>年, 本集团全力做好稳经济大盘和助企纾</w:t>
      </w:r>
      <w:r>
        <w:rPr>
          <w:rFonts w:ascii="SimSun" w:hAnsi="SimSun" w:eastAsia="SimSun" w:cs="SimSun"/>
          <w:sz w:val="21"/>
          <w:szCs w:val="21"/>
          <w:spacing w:val="-2"/>
        </w:rPr>
        <w:t>困金融服务工作, 持续加大服务实体经济力度, 动态调</w:t>
      </w:r>
      <w:r>
        <w:rPr>
          <w:rFonts w:ascii="SimSun" w:hAnsi="SimSun" w:eastAsia="SimSun" w:cs="SimSun"/>
          <w:sz w:val="21"/>
          <w:szCs w:val="21"/>
        </w:rPr>
        <w:t xml:space="preserve"> </w:t>
      </w:r>
      <w:r>
        <w:rPr>
          <w:rFonts w:ascii="SimSun" w:hAnsi="SimSun" w:eastAsia="SimSun" w:cs="SimSun"/>
          <w:sz w:val="21"/>
          <w:szCs w:val="21"/>
          <w:spacing w:val="-2"/>
        </w:rPr>
        <w:t>整优化业务发展策略和资产负债业务结构。受</w:t>
      </w:r>
      <w:r>
        <w:rPr>
          <w:rFonts w:ascii="SimSun" w:hAnsi="SimSun" w:eastAsia="SimSun" w:cs="SimSun"/>
          <w:sz w:val="21"/>
          <w:szCs w:val="21"/>
          <w:spacing w:val="-47"/>
        </w:rPr>
        <w:t xml:space="preserve"> </w:t>
      </w:r>
      <w:r>
        <w:rPr>
          <w:rFonts w:ascii="Times New Roman" w:hAnsi="Times New Roman" w:eastAsia="Times New Roman" w:cs="Times New Roman"/>
          <w:sz w:val="21"/>
          <w:szCs w:val="21"/>
          <w:spacing w:val="-2"/>
        </w:rPr>
        <w:t>LPR </w:t>
      </w:r>
      <w:r>
        <w:rPr>
          <w:rFonts w:ascii="SimSun" w:hAnsi="SimSun" w:eastAsia="SimSun" w:cs="SimSun"/>
          <w:sz w:val="21"/>
          <w:szCs w:val="21"/>
          <w:spacing w:val="-2"/>
        </w:rPr>
        <w:t>下行以及减费让利等多重因素综合影响, 资产端收</w:t>
      </w:r>
      <w:r>
        <w:rPr>
          <w:rFonts w:ascii="SimSun" w:hAnsi="SimSun" w:eastAsia="SimSun" w:cs="SimSun"/>
          <w:sz w:val="21"/>
          <w:szCs w:val="21"/>
          <w:spacing w:val="-3"/>
        </w:rPr>
        <w:t>益率</w:t>
      </w:r>
      <w:r>
        <w:rPr>
          <w:rFonts w:ascii="SimSun" w:hAnsi="SimSun" w:eastAsia="SimSun" w:cs="SimSun"/>
          <w:sz w:val="21"/>
          <w:szCs w:val="21"/>
        </w:rPr>
        <w:t xml:space="preserve"> </w:t>
      </w:r>
      <w:r>
        <w:rPr>
          <w:rFonts w:ascii="SimSun" w:hAnsi="SimSun" w:eastAsia="SimSun" w:cs="SimSun"/>
          <w:sz w:val="21"/>
          <w:szCs w:val="21"/>
          <w:spacing w:val="-2"/>
        </w:rPr>
        <w:t>尤其是客户贷款收益率下行较快;</w:t>
      </w:r>
      <w:r>
        <w:rPr>
          <w:rFonts w:ascii="SimSun" w:hAnsi="SimSun" w:eastAsia="SimSun" w:cs="SimSun"/>
          <w:sz w:val="21"/>
          <w:szCs w:val="21"/>
          <w:spacing w:val="42"/>
        </w:rPr>
        <w:t xml:space="preserve"> </w:t>
      </w:r>
      <w:r>
        <w:rPr>
          <w:rFonts w:ascii="SimSun" w:hAnsi="SimSun" w:eastAsia="SimSun" w:cs="SimSun"/>
          <w:sz w:val="21"/>
          <w:szCs w:val="21"/>
          <w:spacing w:val="-2"/>
        </w:rPr>
        <w:t>同时在宏观经济及资本市场波动的背景下,</w:t>
      </w:r>
      <w:r>
        <w:rPr>
          <w:rFonts w:ascii="SimSun" w:hAnsi="SimSun" w:eastAsia="SimSun" w:cs="SimSun"/>
          <w:sz w:val="21"/>
          <w:szCs w:val="21"/>
          <w:spacing w:val="27"/>
        </w:rPr>
        <w:t xml:space="preserve"> </w:t>
      </w:r>
      <w:r>
        <w:rPr>
          <w:rFonts w:ascii="SimSun" w:hAnsi="SimSun" w:eastAsia="SimSun" w:cs="SimSun"/>
          <w:sz w:val="21"/>
          <w:szCs w:val="21"/>
          <w:spacing w:val="-2"/>
        </w:rPr>
        <w:t>企业居民投资、消费意</w:t>
      </w:r>
      <w:r>
        <w:rPr>
          <w:rFonts w:ascii="SimSun" w:hAnsi="SimSun" w:eastAsia="SimSun" w:cs="SimSun"/>
          <w:sz w:val="21"/>
          <w:szCs w:val="21"/>
          <w:spacing w:val="-3"/>
        </w:rPr>
        <w:t>愿下</w:t>
      </w:r>
      <w:r>
        <w:rPr>
          <w:rFonts w:ascii="SimSun" w:hAnsi="SimSun" w:eastAsia="SimSun" w:cs="SimSun"/>
          <w:sz w:val="21"/>
          <w:szCs w:val="21"/>
        </w:rPr>
        <w:t xml:space="preserve"> </w:t>
      </w:r>
      <w:r>
        <w:rPr>
          <w:rFonts w:ascii="SimSun" w:hAnsi="SimSun" w:eastAsia="SimSun" w:cs="SimSun"/>
          <w:sz w:val="21"/>
          <w:szCs w:val="21"/>
          <w:spacing w:val="-1"/>
        </w:rPr>
        <w:t>滑, 新增存款呈现定期化趋势,</w:t>
      </w:r>
      <w:r>
        <w:rPr>
          <w:rFonts w:ascii="SimSun" w:hAnsi="SimSun" w:eastAsia="SimSun" w:cs="SimSun"/>
          <w:sz w:val="21"/>
          <w:szCs w:val="21"/>
          <w:spacing w:val="27"/>
        </w:rPr>
        <w:t xml:space="preserve"> </w:t>
      </w:r>
      <w:r>
        <w:rPr>
          <w:rFonts w:ascii="SimSun" w:hAnsi="SimSun" w:eastAsia="SimSun" w:cs="SimSun"/>
          <w:sz w:val="21"/>
          <w:szCs w:val="21"/>
          <w:spacing w:val="-1"/>
        </w:rPr>
        <w:t>整体存款成本率略有上行。受资产端和负债端各因素综合</w:t>
      </w:r>
      <w:r>
        <w:rPr>
          <w:rFonts w:ascii="SimSun" w:hAnsi="SimSun" w:eastAsia="SimSun" w:cs="SimSun"/>
          <w:sz w:val="21"/>
          <w:szCs w:val="21"/>
          <w:spacing w:val="-2"/>
        </w:rPr>
        <w:t>影响, 报告期内</w:t>
      </w:r>
    </w:p>
    <w:p>
      <w:pPr>
        <w:spacing w:line="292" w:lineRule="auto"/>
        <w:sectPr>
          <w:footerReference w:type="default" r:id="rId111"/>
          <w:pgSz w:w="11907" w:h="16839"/>
          <w:pgMar w:top="1196" w:right="1128" w:bottom="1375" w:left="1140" w:header="0" w:footer="1211" w:gutter="0"/>
        </w:sectPr>
        <w:rPr>
          <w:rFonts w:ascii="SimSun" w:hAnsi="SimSun" w:eastAsia="SimSun" w:cs="SimSun"/>
          <w:sz w:val="21"/>
          <w:szCs w:val="21"/>
        </w:rPr>
      </w:pPr>
    </w:p>
    <w:p>
      <w:pPr>
        <w:ind w:right="19"/>
        <w:spacing w:before="40" w:line="293" w:lineRule="auto"/>
        <w:jc w:val="both"/>
        <w:rPr>
          <w:rFonts w:ascii="SimSun" w:hAnsi="SimSun" w:eastAsia="SimSun" w:cs="SimSun"/>
          <w:sz w:val="21"/>
          <w:szCs w:val="21"/>
        </w:rPr>
      </w:pPr>
      <w:r>
        <w:rPr>
          <w:rFonts w:ascii="SimSun" w:hAnsi="SimSun" w:eastAsia="SimSun" w:cs="SimSun"/>
          <w:sz w:val="21"/>
          <w:szCs w:val="21"/>
          <w:spacing w:val="-4"/>
        </w:rPr>
        <w:t>集团净利差</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4"/>
        </w:rPr>
        <w:t>1.37%</w:t>
      </w:r>
      <w:r>
        <w:rPr>
          <w:rFonts w:ascii="SimSun" w:hAnsi="SimSun" w:eastAsia="SimSun" w:cs="SimSun"/>
          <w:sz w:val="21"/>
          <w:szCs w:val="21"/>
          <w:spacing w:val="-4"/>
        </w:rPr>
        <w:t>,</w:t>
      </w:r>
      <w:r>
        <w:rPr>
          <w:rFonts w:ascii="SimSun" w:hAnsi="SimSun" w:eastAsia="SimSun" w:cs="SimSun"/>
          <w:sz w:val="21"/>
          <w:szCs w:val="21"/>
          <w:spacing w:val="38"/>
        </w:rPr>
        <w:t xml:space="preserve"> </w:t>
      </w:r>
      <w:r>
        <w:rPr>
          <w:rFonts w:ascii="SimSun" w:hAnsi="SimSun" w:eastAsia="SimSun" w:cs="SimSun"/>
          <w:sz w:val="21"/>
          <w:szCs w:val="21"/>
          <w:spacing w:val="-4"/>
        </w:rPr>
        <w:t>同比下降</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4"/>
        </w:rPr>
        <w:t>10 </w:t>
      </w:r>
      <w:r>
        <w:rPr>
          <w:rFonts w:ascii="SimSun" w:hAnsi="SimSun" w:eastAsia="SimSun" w:cs="SimSun"/>
          <w:sz w:val="21"/>
          <w:szCs w:val="21"/>
          <w:spacing w:val="-4"/>
        </w:rPr>
        <w:t>个基点, 净息差</w:t>
      </w:r>
      <w:r>
        <w:rPr>
          <w:rFonts w:ascii="SimSun" w:hAnsi="SimSun" w:eastAsia="SimSun" w:cs="SimSun"/>
          <w:sz w:val="21"/>
          <w:szCs w:val="21"/>
          <w:spacing w:val="-28"/>
        </w:rPr>
        <w:t xml:space="preserve"> </w:t>
      </w:r>
      <w:r>
        <w:rPr>
          <w:rFonts w:ascii="Times New Roman" w:hAnsi="Times New Roman" w:eastAsia="Times New Roman" w:cs="Times New Roman"/>
          <w:sz w:val="21"/>
          <w:szCs w:val="21"/>
          <w:spacing w:val="-4"/>
        </w:rPr>
        <w:t>1.48%</w:t>
      </w:r>
      <w:r>
        <w:rPr>
          <w:rFonts w:ascii="SimSun" w:hAnsi="SimSun" w:eastAsia="SimSun" w:cs="SimSun"/>
          <w:sz w:val="21"/>
          <w:szCs w:val="21"/>
          <w:spacing w:val="-4"/>
        </w:rPr>
        <w:t>,</w:t>
      </w:r>
      <w:r>
        <w:rPr>
          <w:rFonts w:ascii="SimSun" w:hAnsi="SimSun" w:eastAsia="SimSun" w:cs="SimSun"/>
          <w:sz w:val="21"/>
          <w:szCs w:val="21"/>
          <w:spacing w:val="35"/>
        </w:rPr>
        <w:t xml:space="preserve"> </w:t>
      </w:r>
      <w:r>
        <w:rPr>
          <w:rFonts w:ascii="SimSun" w:hAnsi="SimSun" w:eastAsia="SimSun" w:cs="SimSun"/>
          <w:sz w:val="21"/>
          <w:szCs w:val="21"/>
          <w:spacing w:val="-4"/>
        </w:rPr>
        <w:t>同比下降</w:t>
      </w:r>
      <w:r>
        <w:rPr>
          <w:rFonts w:ascii="SimSun" w:hAnsi="SimSun" w:eastAsia="SimSun" w:cs="SimSun"/>
          <w:sz w:val="21"/>
          <w:szCs w:val="21"/>
          <w:spacing w:val="-39"/>
        </w:rPr>
        <w:t xml:space="preserve"> </w:t>
      </w:r>
      <w:r>
        <w:rPr>
          <w:rFonts w:ascii="Times New Roman" w:hAnsi="Times New Roman" w:eastAsia="Times New Roman" w:cs="Times New Roman"/>
          <w:sz w:val="21"/>
          <w:szCs w:val="21"/>
          <w:spacing w:val="-4"/>
        </w:rPr>
        <w:t>8 </w:t>
      </w:r>
      <w:r>
        <w:rPr>
          <w:rFonts w:ascii="SimSun" w:hAnsi="SimSun" w:eastAsia="SimSun" w:cs="SimSun"/>
          <w:sz w:val="21"/>
          <w:szCs w:val="21"/>
          <w:spacing w:val="-4"/>
        </w:rPr>
        <w:t>个基点。在资产收益</w:t>
      </w:r>
      <w:r>
        <w:rPr>
          <w:rFonts w:ascii="SimSun" w:hAnsi="SimSun" w:eastAsia="SimSun" w:cs="SimSun"/>
          <w:sz w:val="21"/>
          <w:szCs w:val="21"/>
          <w:spacing w:val="-5"/>
        </w:rPr>
        <w:t>率逐步走低的大</w:t>
      </w:r>
      <w:r>
        <w:rPr>
          <w:rFonts w:ascii="SimSun" w:hAnsi="SimSun" w:eastAsia="SimSun" w:cs="SimSun"/>
          <w:sz w:val="21"/>
          <w:szCs w:val="21"/>
        </w:rPr>
        <w:t xml:space="preserve"> </w:t>
      </w:r>
      <w:r>
        <w:rPr>
          <w:rFonts w:ascii="SimSun" w:hAnsi="SimSun" w:eastAsia="SimSun" w:cs="SimSun"/>
          <w:sz w:val="21"/>
          <w:szCs w:val="21"/>
          <w:spacing w:val="-1"/>
        </w:rPr>
        <w:t>环境下, 面对持续承压的息差水平, </w:t>
      </w:r>
      <w:r>
        <w:rPr>
          <w:rFonts w:ascii="Times New Roman" w:hAnsi="Times New Roman" w:eastAsia="Times New Roman" w:cs="Times New Roman"/>
          <w:sz w:val="21"/>
          <w:szCs w:val="21"/>
          <w:spacing w:val="-1"/>
        </w:rPr>
        <w:t>2023 </w:t>
      </w:r>
      <w:r>
        <w:rPr>
          <w:rFonts w:ascii="SimSun" w:hAnsi="SimSun" w:eastAsia="SimSun" w:cs="SimSun"/>
          <w:sz w:val="21"/>
          <w:szCs w:val="21"/>
          <w:spacing w:val="-2"/>
        </w:rPr>
        <w:t>年本集团将在继续做好价格前瞻管理、注重资产负债结构管理的</w:t>
      </w:r>
      <w:r>
        <w:rPr>
          <w:rFonts w:ascii="SimSun" w:hAnsi="SimSun" w:eastAsia="SimSun" w:cs="SimSun"/>
          <w:sz w:val="21"/>
          <w:szCs w:val="21"/>
        </w:rPr>
        <w:t xml:space="preserve"> </w:t>
      </w:r>
      <w:r>
        <w:rPr>
          <w:rFonts w:ascii="SimSun" w:hAnsi="SimSun" w:eastAsia="SimSun" w:cs="SimSun"/>
          <w:sz w:val="21"/>
          <w:szCs w:val="21"/>
          <w:spacing w:val="8"/>
        </w:rPr>
        <w:t>同时,进一步聚焦客户资产负债表和资金轨迹,提升上下游客户资金的体内循环,带动低成本资金沉淀,</w:t>
      </w:r>
      <w:r>
        <w:rPr>
          <w:rFonts w:ascii="SimSun" w:hAnsi="SimSun" w:eastAsia="SimSun" w:cs="SimSun"/>
          <w:sz w:val="21"/>
          <w:szCs w:val="21"/>
          <w:spacing w:val="1"/>
        </w:rPr>
        <w:t xml:space="preserve"> </w:t>
      </w:r>
      <w:r>
        <w:rPr>
          <w:rFonts w:ascii="SimSun" w:hAnsi="SimSun" w:eastAsia="SimSun" w:cs="SimSun"/>
          <w:sz w:val="21"/>
          <w:szCs w:val="21"/>
          <w:spacing w:val="-1"/>
        </w:rPr>
        <w:t>推动集团盈利水平保持基本稳定。</w:t>
      </w:r>
    </w:p>
    <w:p>
      <w:pPr>
        <w:pStyle w:val="BodyText"/>
        <w:rPr/>
      </w:pPr>
      <w:r/>
    </w:p>
    <w:p>
      <w:pPr>
        <w:ind w:left="534"/>
        <w:spacing w:before="68" w:line="221" w:lineRule="auto"/>
        <w:rPr>
          <w:rFonts w:ascii="SimSun" w:hAnsi="SimSun" w:eastAsia="SimSun" w:cs="SimSun"/>
          <w:sz w:val="21"/>
          <w:szCs w:val="21"/>
        </w:rPr>
      </w:pPr>
      <w:r>
        <w:rPr>
          <w:rFonts w:ascii="SimSun" w:hAnsi="SimSun" w:eastAsia="SimSun" w:cs="SimSun"/>
          <w:sz w:val="21"/>
          <w:szCs w:val="21"/>
          <w:b/>
          <w:bCs/>
          <w:spacing w:val="9"/>
        </w:rPr>
        <w:t>(二)关于资本管理</w:t>
      </w:r>
    </w:p>
    <w:p>
      <w:pPr>
        <w:pStyle w:val="BodyText"/>
        <w:spacing w:line="241" w:lineRule="auto"/>
        <w:rPr/>
      </w:pPr>
      <w:r/>
    </w:p>
    <w:p>
      <w:pPr>
        <w:ind w:firstLine="421"/>
        <w:spacing w:before="68" w:line="304" w:lineRule="auto"/>
        <w:jc w:val="both"/>
        <w:rPr>
          <w:rFonts w:ascii="SimSun" w:hAnsi="SimSun" w:eastAsia="SimSun" w:cs="SimSun"/>
          <w:sz w:val="21"/>
          <w:szCs w:val="21"/>
        </w:rPr>
      </w:pPr>
      <w:r>
        <w:rPr>
          <w:rFonts w:ascii="SimSun" w:hAnsi="SimSun" w:eastAsia="SimSun" w:cs="SimSun"/>
          <w:sz w:val="21"/>
          <w:szCs w:val="21"/>
        </w:rPr>
        <w:t>本集团持续完善资本管理体系, 推动资本集</w:t>
      </w:r>
      <w:r>
        <w:rPr>
          <w:rFonts w:ascii="SimSun" w:hAnsi="SimSun" w:eastAsia="SimSun" w:cs="SimSun"/>
          <w:sz w:val="21"/>
          <w:szCs w:val="21"/>
          <w:spacing w:val="-1"/>
        </w:rPr>
        <w:t>约化转型和精细化管理, 促进资本使用效率和回报水平提</w:t>
      </w:r>
      <w:r>
        <w:rPr>
          <w:rFonts w:ascii="SimSun" w:hAnsi="SimSun" w:eastAsia="SimSun" w:cs="SimSun"/>
          <w:sz w:val="21"/>
          <w:szCs w:val="21"/>
        </w:rPr>
        <w:t xml:space="preserve"> </w:t>
      </w:r>
      <w:r>
        <w:rPr>
          <w:rFonts w:ascii="SimSun" w:hAnsi="SimSun" w:eastAsia="SimSun" w:cs="SimSun"/>
          <w:sz w:val="21"/>
          <w:szCs w:val="21"/>
          <w:spacing w:val="-1"/>
        </w:rPr>
        <w:t>高, 为集团高质量发展提供有力支撑。</w:t>
      </w:r>
      <w:r>
        <w:rPr>
          <w:rFonts w:ascii="Times New Roman" w:hAnsi="Times New Roman" w:eastAsia="Times New Roman" w:cs="Times New Roman"/>
          <w:sz w:val="21"/>
          <w:szCs w:val="21"/>
          <w:spacing w:val="-1"/>
        </w:rPr>
        <w:t>2022 </w:t>
      </w:r>
      <w:r>
        <w:rPr>
          <w:rFonts w:ascii="SimSun" w:hAnsi="SimSun" w:eastAsia="SimSun" w:cs="SimSun"/>
          <w:sz w:val="21"/>
          <w:szCs w:val="21"/>
          <w:spacing w:val="-1"/>
        </w:rPr>
        <w:t>年, 本</w:t>
      </w:r>
      <w:r>
        <w:rPr>
          <w:rFonts w:ascii="SimSun" w:hAnsi="SimSun" w:eastAsia="SimSun" w:cs="SimSun"/>
          <w:sz w:val="21"/>
          <w:szCs w:val="21"/>
          <w:spacing w:val="-2"/>
        </w:rPr>
        <w:t>集团以良好的资本充足水平助力全行业务发展, 加大服</w:t>
      </w:r>
      <w:r>
        <w:rPr>
          <w:rFonts w:ascii="SimSun" w:hAnsi="SimSun" w:eastAsia="SimSun" w:cs="SimSun"/>
          <w:sz w:val="21"/>
          <w:szCs w:val="21"/>
        </w:rPr>
        <w:t xml:space="preserve"> </w:t>
      </w:r>
      <w:r>
        <w:rPr>
          <w:rFonts w:ascii="SimSun" w:hAnsi="SimSun" w:eastAsia="SimSun" w:cs="SimSun"/>
          <w:sz w:val="21"/>
          <w:szCs w:val="21"/>
          <w:spacing w:val="12"/>
        </w:rPr>
        <w:t>务实体经济力度,信贷投放持续增加;不断优化完</w:t>
      </w:r>
      <w:r>
        <w:rPr>
          <w:rFonts w:ascii="SimSun" w:hAnsi="SimSun" w:eastAsia="SimSun" w:cs="SimSun"/>
          <w:sz w:val="21"/>
          <w:szCs w:val="21"/>
          <w:spacing w:val="11"/>
        </w:rPr>
        <w:t>善经济资本管理和考核机制,坚持以经济利润(</w:t>
      </w:r>
      <w:r>
        <w:rPr>
          <w:rFonts w:ascii="Times New Roman" w:hAnsi="Times New Roman" w:eastAsia="Times New Roman" w:cs="Times New Roman"/>
          <w:sz w:val="21"/>
          <w:szCs w:val="21"/>
        </w:rPr>
        <w:t>EVA</w:t>
      </w:r>
      <w:r>
        <w:rPr>
          <w:rFonts w:ascii="SimSun" w:hAnsi="SimSun" w:eastAsia="SimSun" w:cs="SimSun"/>
          <w:sz w:val="21"/>
          <w:szCs w:val="21"/>
          <w:spacing w:val="11"/>
        </w:rPr>
        <w:t>)</w:t>
      </w:r>
      <w:r>
        <w:rPr>
          <w:rFonts w:ascii="SimSun" w:hAnsi="SimSun" w:eastAsia="SimSun" w:cs="SimSun"/>
          <w:sz w:val="21"/>
          <w:szCs w:val="21"/>
        </w:rPr>
        <w:t xml:space="preserve"> </w:t>
      </w:r>
      <w:r>
        <w:rPr>
          <w:rFonts w:ascii="SimSun" w:hAnsi="SimSun" w:eastAsia="SimSun" w:cs="SimSun"/>
          <w:sz w:val="21"/>
          <w:szCs w:val="21"/>
          <w:spacing w:val="-2"/>
        </w:rPr>
        <w:t>和资本回报为核心的绩效考核评价体系,</w:t>
      </w:r>
      <w:r>
        <w:rPr>
          <w:rFonts w:ascii="SimSun" w:hAnsi="SimSun" w:eastAsia="SimSun" w:cs="SimSun"/>
          <w:sz w:val="21"/>
          <w:szCs w:val="21"/>
          <w:spacing w:val="38"/>
        </w:rPr>
        <w:t xml:space="preserve"> </w:t>
      </w:r>
      <w:r>
        <w:rPr>
          <w:rFonts w:ascii="SimSun" w:hAnsi="SimSun" w:eastAsia="SimSun" w:cs="SimSun"/>
          <w:sz w:val="21"/>
          <w:szCs w:val="21"/>
          <w:spacing w:val="-2"/>
        </w:rPr>
        <w:t>强化资本约束和回报, 推进轻资本发展;</w:t>
      </w:r>
      <w:r>
        <w:rPr>
          <w:rFonts w:ascii="SimSun" w:hAnsi="SimSun" w:eastAsia="SimSun" w:cs="SimSun"/>
          <w:sz w:val="21"/>
          <w:szCs w:val="21"/>
          <w:spacing w:val="29"/>
        </w:rPr>
        <w:t xml:space="preserve"> </w:t>
      </w:r>
      <w:r>
        <w:rPr>
          <w:rFonts w:ascii="SimSun" w:hAnsi="SimSun" w:eastAsia="SimSun" w:cs="SimSun"/>
          <w:sz w:val="21"/>
          <w:szCs w:val="21"/>
          <w:spacing w:val="-2"/>
        </w:rPr>
        <w:t>持续跟进国际、国内资</w:t>
      </w:r>
      <w:r>
        <w:rPr>
          <w:rFonts w:ascii="SimSun" w:hAnsi="SimSun" w:eastAsia="SimSun" w:cs="SimSun"/>
          <w:sz w:val="21"/>
          <w:szCs w:val="21"/>
        </w:rPr>
        <w:t xml:space="preserve"> </w:t>
      </w:r>
      <w:r>
        <w:rPr>
          <w:rFonts w:ascii="SimSun" w:hAnsi="SimSun" w:eastAsia="SimSun" w:cs="SimSun"/>
          <w:sz w:val="21"/>
          <w:szCs w:val="21"/>
        </w:rPr>
        <w:t>本监管规则, 优化完善内部资本充足评估机制, 动态</w:t>
      </w:r>
      <w:r>
        <w:rPr>
          <w:rFonts w:ascii="SimSun" w:hAnsi="SimSun" w:eastAsia="SimSun" w:cs="SimSun"/>
          <w:sz w:val="21"/>
          <w:szCs w:val="21"/>
          <w:spacing w:val="-1"/>
        </w:rPr>
        <w:t>平衡资本需求与供给, 确保资本水平能够抵御各类风</w:t>
      </w:r>
      <w:r>
        <w:rPr>
          <w:rFonts w:ascii="SimSun" w:hAnsi="SimSun" w:eastAsia="SimSun" w:cs="SimSun"/>
          <w:sz w:val="21"/>
          <w:szCs w:val="21"/>
        </w:rPr>
        <w:t xml:space="preserve"> </w:t>
      </w:r>
      <w:r>
        <w:rPr>
          <w:rFonts w:ascii="SimSun" w:hAnsi="SimSun" w:eastAsia="SimSun" w:cs="SimSun"/>
          <w:sz w:val="21"/>
          <w:szCs w:val="21"/>
          <w:spacing w:val="-2"/>
        </w:rPr>
        <w:t>险。</w:t>
      </w:r>
      <w:r>
        <w:rPr>
          <w:rFonts w:ascii="Times New Roman" w:hAnsi="Times New Roman" w:eastAsia="Times New Roman" w:cs="Times New Roman"/>
          <w:sz w:val="21"/>
          <w:szCs w:val="21"/>
          <w:spacing w:val="-2"/>
        </w:rPr>
        <w:t>2022 </w:t>
      </w:r>
      <w:r>
        <w:rPr>
          <w:rFonts w:ascii="SimSun" w:hAnsi="SimSun" w:eastAsia="SimSun" w:cs="SimSun"/>
          <w:sz w:val="21"/>
          <w:szCs w:val="21"/>
          <w:spacing w:val="-2"/>
        </w:rPr>
        <w:t>年本集团资本净额累计增加</w:t>
      </w:r>
      <w:r>
        <w:rPr>
          <w:rFonts w:ascii="SimSun" w:hAnsi="SimSun" w:eastAsia="SimSun" w:cs="SimSun"/>
          <w:sz w:val="21"/>
          <w:szCs w:val="21"/>
          <w:spacing w:val="-20"/>
        </w:rPr>
        <w:t xml:space="preserve"> </w:t>
      </w:r>
      <w:r>
        <w:rPr>
          <w:rFonts w:ascii="Times New Roman" w:hAnsi="Times New Roman" w:eastAsia="Times New Roman" w:cs="Times New Roman"/>
          <w:sz w:val="21"/>
          <w:szCs w:val="21"/>
          <w:spacing w:val="-2"/>
        </w:rPr>
        <w:t>1,103.60 </w:t>
      </w:r>
      <w:r>
        <w:rPr>
          <w:rFonts w:ascii="SimSun" w:hAnsi="SimSun" w:eastAsia="SimSun" w:cs="SimSun"/>
          <w:sz w:val="21"/>
          <w:szCs w:val="21"/>
          <w:spacing w:val="-2"/>
        </w:rPr>
        <w:t>亿元, 其中核心一级资本增加依靠利润留存内源积累, 净增</w:t>
      </w:r>
      <w:r>
        <w:rPr>
          <w:rFonts w:ascii="SimSun" w:hAnsi="SimSun" w:eastAsia="SimSun" w:cs="SimSun"/>
          <w:sz w:val="21"/>
          <w:szCs w:val="21"/>
        </w:rPr>
        <w:t xml:space="preserve"> </w:t>
      </w:r>
      <w:r>
        <w:rPr>
          <w:rFonts w:ascii="SimSun" w:hAnsi="SimSun" w:eastAsia="SimSun" w:cs="SimSun"/>
          <w:sz w:val="21"/>
          <w:szCs w:val="21"/>
          <w:spacing w:val="3"/>
        </w:rPr>
        <w:t>加</w:t>
      </w:r>
      <w:r>
        <w:rPr>
          <w:rFonts w:ascii="SimSun" w:hAnsi="SimSun" w:eastAsia="SimSun" w:cs="SimSun"/>
          <w:sz w:val="21"/>
          <w:szCs w:val="21"/>
          <w:spacing w:val="-20"/>
        </w:rPr>
        <w:t xml:space="preserve"> </w:t>
      </w:r>
      <w:r>
        <w:rPr>
          <w:rFonts w:ascii="Times New Roman" w:hAnsi="Times New Roman" w:eastAsia="Times New Roman" w:cs="Times New Roman"/>
          <w:sz w:val="21"/>
          <w:szCs w:val="21"/>
          <w:spacing w:val="3"/>
        </w:rPr>
        <w:t>562.87</w:t>
      </w:r>
      <w:r>
        <w:rPr>
          <w:rFonts w:ascii="Times New Roman" w:hAnsi="Times New Roman" w:eastAsia="Times New Roman" w:cs="Times New Roman"/>
          <w:sz w:val="21"/>
          <w:szCs w:val="21"/>
          <w:spacing w:val="31"/>
          <w:w w:val="101"/>
        </w:rPr>
        <w:t xml:space="preserve"> </w:t>
      </w:r>
      <w:r>
        <w:rPr>
          <w:rFonts w:ascii="SimSun" w:hAnsi="SimSun" w:eastAsia="SimSun" w:cs="SimSun"/>
          <w:sz w:val="21"/>
          <w:szCs w:val="21"/>
          <w:spacing w:val="3"/>
        </w:rPr>
        <w:t>亿元;</w:t>
      </w:r>
      <w:r>
        <w:rPr>
          <w:rFonts w:ascii="SimSun" w:hAnsi="SimSun" w:eastAsia="SimSun" w:cs="SimSun"/>
          <w:sz w:val="21"/>
          <w:szCs w:val="21"/>
          <w:spacing w:val="32"/>
        </w:rPr>
        <w:t xml:space="preserve"> </w:t>
      </w:r>
      <w:r>
        <w:rPr>
          <w:rFonts w:ascii="SimSun" w:hAnsi="SimSun" w:eastAsia="SimSun" w:cs="SimSun"/>
          <w:sz w:val="21"/>
          <w:szCs w:val="21"/>
          <w:spacing w:val="3"/>
        </w:rPr>
        <w:t>二级资本增加主要通过发行二级资本债</w:t>
      </w:r>
      <w:r>
        <w:rPr>
          <w:rFonts w:ascii="SimSun" w:hAnsi="SimSun" w:eastAsia="SimSun" w:cs="SimSun"/>
          <w:sz w:val="21"/>
          <w:szCs w:val="21"/>
          <w:spacing w:val="2"/>
        </w:rPr>
        <w:t>、超额贷款损失准备等,净增加</w:t>
      </w:r>
      <w:r>
        <w:rPr>
          <w:rFonts w:ascii="SimSun" w:hAnsi="SimSun" w:eastAsia="SimSun" w:cs="SimSun"/>
          <w:sz w:val="21"/>
          <w:szCs w:val="21"/>
          <w:spacing w:val="-20"/>
        </w:rPr>
        <w:t xml:space="preserve"> </w:t>
      </w:r>
      <w:r>
        <w:rPr>
          <w:rFonts w:ascii="Times New Roman" w:hAnsi="Times New Roman" w:eastAsia="Times New Roman" w:cs="Times New Roman"/>
          <w:sz w:val="21"/>
          <w:szCs w:val="21"/>
          <w:spacing w:val="2"/>
        </w:rPr>
        <w:t>539.41</w:t>
      </w:r>
      <w:r>
        <w:rPr>
          <w:rFonts w:ascii="Times New Roman" w:hAnsi="Times New Roman" w:eastAsia="Times New Roman" w:cs="Times New Roman"/>
          <w:sz w:val="21"/>
          <w:szCs w:val="21"/>
          <w:spacing w:val="31"/>
        </w:rPr>
        <w:t xml:space="preserve"> </w:t>
      </w:r>
      <w:r>
        <w:rPr>
          <w:rFonts w:ascii="SimSun" w:hAnsi="SimSun" w:eastAsia="SimSun" w:cs="SimSun"/>
          <w:sz w:val="21"/>
          <w:szCs w:val="21"/>
          <w:spacing w:val="2"/>
        </w:rPr>
        <w:t>亿元,资</w:t>
      </w:r>
      <w:r>
        <w:rPr>
          <w:rFonts w:ascii="SimSun" w:hAnsi="SimSun" w:eastAsia="SimSun" w:cs="SimSun"/>
          <w:sz w:val="21"/>
          <w:szCs w:val="21"/>
        </w:rPr>
        <w:t xml:space="preserve"> </w:t>
      </w:r>
      <w:r>
        <w:rPr>
          <w:rFonts w:ascii="SimSun" w:hAnsi="SimSun" w:eastAsia="SimSun" w:cs="SimSun"/>
          <w:sz w:val="21"/>
          <w:szCs w:val="21"/>
          <w:spacing w:val="-2"/>
        </w:rPr>
        <w:t>本基础进一步夯实、资本结构较为合理,</w:t>
      </w:r>
      <w:r>
        <w:rPr>
          <w:rFonts w:ascii="SimSun" w:hAnsi="SimSun" w:eastAsia="SimSun" w:cs="SimSun"/>
          <w:sz w:val="21"/>
          <w:szCs w:val="21"/>
          <w:spacing w:val="48"/>
        </w:rPr>
        <w:t xml:space="preserve"> </w:t>
      </w:r>
      <w:r>
        <w:rPr>
          <w:rFonts w:ascii="SimSun" w:hAnsi="SimSun" w:eastAsia="SimSun" w:cs="SimSun"/>
          <w:sz w:val="21"/>
          <w:szCs w:val="21"/>
          <w:spacing w:val="-2"/>
        </w:rPr>
        <w:t>各项资本指标持续满足监管要求。</w:t>
      </w:r>
    </w:p>
    <w:p>
      <w:pPr>
        <w:pStyle w:val="BodyText"/>
        <w:rPr/>
      </w:pPr>
      <w:r/>
    </w:p>
    <w:p>
      <w:pPr>
        <w:ind w:left="1" w:right="16" w:firstLine="417"/>
        <w:spacing w:before="68" w:line="297" w:lineRule="auto"/>
        <w:jc w:val="both"/>
        <w:rPr>
          <w:rFonts w:ascii="SimSun" w:hAnsi="SimSun" w:eastAsia="SimSun" w:cs="SimSun"/>
          <w:sz w:val="21"/>
          <w:szCs w:val="21"/>
        </w:rPr>
      </w:pPr>
      <w:r>
        <w:rPr>
          <w:rFonts w:ascii="SimSun" w:hAnsi="SimSun" w:eastAsia="SimSun" w:cs="SimSun"/>
          <w:sz w:val="21"/>
          <w:szCs w:val="21"/>
          <w:spacing w:val="-2"/>
        </w:rPr>
        <w:t>近期,</w:t>
      </w:r>
      <w:r>
        <w:rPr>
          <w:rFonts w:ascii="SimSun" w:hAnsi="SimSun" w:eastAsia="SimSun" w:cs="SimSun"/>
          <w:sz w:val="21"/>
          <w:szCs w:val="21"/>
          <w:spacing w:val="39"/>
        </w:rPr>
        <w:t xml:space="preserve"> </w:t>
      </w:r>
      <w:r>
        <w:rPr>
          <w:rFonts w:ascii="SimSun" w:hAnsi="SimSun" w:eastAsia="SimSun" w:cs="SimSun"/>
          <w:sz w:val="21"/>
          <w:szCs w:val="21"/>
          <w:spacing w:val="-2"/>
        </w:rPr>
        <w:t>监管部门发布《商业银行资本管理办法(征求意见稿)》,</w:t>
      </w:r>
      <w:r>
        <w:rPr>
          <w:rFonts w:ascii="SimSun" w:hAnsi="SimSun" w:eastAsia="SimSun" w:cs="SimSun"/>
          <w:sz w:val="21"/>
          <w:szCs w:val="21"/>
          <w:spacing w:val="33"/>
        </w:rPr>
        <w:t xml:space="preserve"> </w:t>
      </w:r>
      <w:r>
        <w:rPr>
          <w:rFonts w:ascii="SimSun" w:hAnsi="SimSun" w:eastAsia="SimSun" w:cs="SimSun"/>
          <w:sz w:val="21"/>
          <w:szCs w:val="21"/>
          <w:spacing w:val="-2"/>
        </w:rPr>
        <w:t>预计将于 </w:t>
      </w:r>
      <w:r>
        <w:rPr>
          <w:rFonts w:ascii="Times New Roman" w:hAnsi="Times New Roman" w:eastAsia="Times New Roman" w:cs="Times New Roman"/>
          <w:sz w:val="21"/>
          <w:szCs w:val="21"/>
          <w:spacing w:val="-2"/>
        </w:rPr>
        <w:t>2024</w:t>
      </w:r>
      <w:r>
        <w:rPr>
          <w:rFonts w:ascii="Times New Roman" w:hAnsi="Times New Roman" w:eastAsia="Times New Roman" w:cs="Times New Roman"/>
          <w:sz w:val="21"/>
          <w:szCs w:val="21"/>
          <w:spacing w:val="50"/>
          <w:w w:val="101"/>
        </w:rPr>
        <w:t xml:space="preserve"> </w:t>
      </w:r>
      <w:r>
        <w:rPr>
          <w:rFonts w:ascii="SimSun" w:hAnsi="SimSun" w:eastAsia="SimSun" w:cs="SimSun"/>
          <w:sz w:val="21"/>
          <w:szCs w:val="21"/>
          <w:spacing w:val="-2"/>
        </w:rPr>
        <w:t>年起正式实施。新规</w:t>
      </w:r>
      <w:r>
        <w:rPr>
          <w:rFonts w:ascii="SimSun" w:hAnsi="SimSun" w:eastAsia="SimSun" w:cs="SimSun"/>
          <w:sz w:val="21"/>
          <w:szCs w:val="21"/>
        </w:rPr>
        <w:t xml:space="preserve"> </w:t>
      </w:r>
      <w:r>
        <w:rPr>
          <w:rFonts w:ascii="SimSun" w:hAnsi="SimSun" w:eastAsia="SimSun" w:cs="SimSun"/>
          <w:sz w:val="21"/>
          <w:szCs w:val="21"/>
          <w:spacing w:val="-2"/>
        </w:rPr>
        <w:t>围绕构建差异化资本监管体系,</w:t>
      </w:r>
      <w:r>
        <w:rPr>
          <w:rFonts w:ascii="SimSun" w:hAnsi="SimSun" w:eastAsia="SimSun" w:cs="SimSun"/>
          <w:sz w:val="21"/>
          <w:szCs w:val="21"/>
          <w:spacing w:val="-29"/>
        </w:rPr>
        <w:t xml:space="preserve"> </w:t>
      </w:r>
      <w:r>
        <w:rPr>
          <w:rFonts w:ascii="SimSun" w:hAnsi="SimSun" w:eastAsia="SimSun" w:cs="SimSun"/>
          <w:sz w:val="21"/>
          <w:szCs w:val="21"/>
          <w:spacing w:val="-2"/>
        </w:rPr>
        <w:t>修订重构第一支柱下风险加权资产计量规则,</w:t>
      </w:r>
      <w:r>
        <w:rPr>
          <w:rFonts w:ascii="SimSun" w:hAnsi="SimSun" w:eastAsia="SimSun" w:cs="SimSun"/>
          <w:sz w:val="21"/>
          <w:szCs w:val="21"/>
          <w:spacing w:val="-31"/>
        </w:rPr>
        <w:t xml:space="preserve"> </w:t>
      </w:r>
      <w:r>
        <w:rPr>
          <w:rFonts w:ascii="SimSun" w:hAnsi="SimSun" w:eastAsia="SimSun" w:cs="SimSun"/>
          <w:sz w:val="21"/>
          <w:szCs w:val="21"/>
          <w:spacing w:val="-2"/>
        </w:rPr>
        <w:t>提高了风险计量精细化程度,</w:t>
      </w:r>
      <w:r>
        <w:rPr>
          <w:rFonts w:ascii="SimSun" w:hAnsi="SimSun" w:eastAsia="SimSun" w:cs="SimSun"/>
          <w:sz w:val="21"/>
          <w:szCs w:val="21"/>
        </w:rPr>
        <w:t xml:space="preserve"> </w:t>
      </w:r>
      <w:r>
        <w:rPr>
          <w:rFonts w:ascii="SimSun" w:hAnsi="SimSun" w:eastAsia="SimSun" w:cs="SimSun"/>
          <w:sz w:val="21"/>
          <w:szCs w:val="21"/>
          <w:spacing w:val="-1"/>
        </w:rPr>
        <w:t>引导商业银行优化资产结构,</w:t>
      </w:r>
      <w:r>
        <w:rPr>
          <w:rFonts w:ascii="SimSun" w:hAnsi="SimSun" w:eastAsia="SimSun" w:cs="SimSun"/>
          <w:sz w:val="21"/>
          <w:szCs w:val="21"/>
          <w:spacing w:val="26"/>
        </w:rPr>
        <w:t xml:space="preserve"> </w:t>
      </w:r>
      <w:r>
        <w:rPr>
          <w:rFonts w:ascii="SimSun" w:hAnsi="SimSun" w:eastAsia="SimSun" w:cs="SimSun"/>
          <w:sz w:val="21"/>
          <w:szCs w:val="21"/>
          <w:spacing w:val="-1"/>
        </w:rPr>
        <w:t>更好服务实体经济。同时, 进一步完善调整第二支柱监督检查</w:t>
      </w:r>
      <w:r>
        <w:rPr>
          <w:rFonts w:ascii="SimSun" w:hAnsi="SimSun" w:eastAsia="SimSun" w:cs="SimSun"/>
          <w:sz w:val="21"/>
          <w:szCs w:val="21"/>
          <w:spacing w:val="-2"/>
        </w:rPr>
        <w:t>规定, 全面提</w:t>
      </w:r>
      <w:r>
        <w:rPr>
          <w:rFonts w:ascii="SimSun" w:hAnsi="SimSun" w:eastAsia="SimSun" w:cs="SimSun"/>
          <w:sz w:val="21"/>
          <w:szCs w:val="21"/>
        </w:rPr>
        <w:t xml:space="preserve"> </w:t>
      </w:r>
      <w:r>
        <w:rPr>
          <w:rFonts w:ascii="SimSun" w:hAnsi="SimSun" w:eastAsia="SimSun" w:cs="SimSun"/>
          <w:sz w:val="21"/>
          <w:szCs w:val="21"/>
        </w:rPr>
        <w:t>升第三支柱信息披露标准。本集团将以资本新规</w:t>
      </w:r>
      <w:r>
        <w:rPr>
          <w:rFonts w:ascii="SimSun" w:hAnsi="SimSun" w:eastAsia="SimSun" w:cs="SimSun"/>
          <w:sz w:val="21"/>
          <w:szCs w:val="21"/>
          <w:spacing w:val="-1"/>
        </w:rPr>
        <w:t>实施为契机, 进一步强化资本计量的精细化和系统化, 积</w:t>
      </w:r>
      <w:r>
        <w:rPr>
          <w:rFonts w:ascii="SimSun" w:hAnsi="SimSun" w:eastAsia="SimSun" w:cs="SimSun"/>
          <w:sz w:val="21"/>
          <w:szCs w:val="21"/>
        </w:rPr>
        <w:t xml:space="preserve"> </w:t>
      </w:r>
      <w:r>
        <w:rPr>
          <w:rFonts w:ascii="SimSun" w:hAnsi="SimSun" w:eastAsia="SimSun" w:cs="SimSun"/>
          <w:sz w:val="21"/>
          <w:szCs w:val="21"/>
          <w:spacing w:val="3"/>
        </w:rPr>
        <w:t>极推进资产结构持续优化,推动资本节约和资本价值创造能力提升。</w:t>
      </w:r>
    </w:p>
    <w:p>
      <w:pPr>
        <w:pStyle w:val="BodyText"/>
        <w:spacing w:line="244" w:lineRule="auto"/>
        <w:rPr/>
      </w:pPr>
      <w:r/>
    </w:p>
    <w:p>
      <w:pPr>
        <w:ind w:left="534"/>
        <w:spacing w:before="68" w:line="221" w:lineRule="auto"/>
        <w:rPr>
          <w:rFonts w:ascii="SimSun" w:hAnsi="SimSun" w:eastAsia="SimSun" w:cs="SimSun"/>
          <w:sz w:val="21"/>
          <w:szCs w:val="21"/>
        </w:rPr>
      </w:pPr>
      <w:r>
        <w:rPr>
          <w:rFonts w:ascii="SimSun" w:hAnsi="SimSun" w:eastAsia="SimSun" w:cs="SimSun"/>
          <w:sz w:val="21"/>
          <w:szCs w:val="21"/>
          <w:b/>
          <w:bCs/>
          <w:spacing w:val="4"/>
        </w:rPr>
        <w:t>(三)关于房地产信贷投放及资产质量</w:t>
      </w:r>
    </w:p>
    <w:p>
      <w:pPr>
        <w:ind w:right="16" w:firstLine="421"/>
        <w:spacing w:before="304" w:line="304" w:lineRule="auto"/>
        <w:rPr>
          <w:rFonts w:ascii="SimSun" w:hAnsi="SimSun" w:eastAsia="SimSun" w:cs="SimSun"/>
          <w:sz w:val="21"/>
          <w:szCs w:val="21"/>
        </w:rPr>
      </w:pPr>
      <w:r>
        <w:rPr>
          <w:rFonts w:ascii="SimSun" w:hAnsi="SimSun" w:eastAsia="SimSun" w:cs="SimSun"/>
          <w:sz w:val="21"/>
          <w:szCs w:val="21"/>
          <w:spacing w:val="-1"/>
        </w:rPr>
        <w:t>本行贯彻落实国家关于支持房地产市场平稳健康</w:t>
      </w:r>
      <w:r>
        <w:rPr>
          <w:rFonts w:ascii="SimSun" w:hAnsi="SimSun" w:eastAsia="SimSun" w:cs="SimSun"/>
          <w:sz w:val="21"/>
          <w:szCs w:val="21"/>
          <w:spacing w:val="-2"/>
        </w:rPr>
        <w:t>发展的决策部署, 一是保持房地产融资平稳有序,</w:t>
      </w:r>
      <w:r>
        <w:rPr>
          <w:rFonts w:ascii="SimSun" w:hAnsi="SimSun" w:eastAsia="SimSun" w:cs="SimSun"/>
          <w:sz w:val="21"/>
          <w:szCs w:val="21"/>
          <w:spacing w:val="43"/>
        </w:rPr>
        <w:t xml:space="preserve"> </w:t>
      </w:r>
      <w:r>
        <w:rPr>
          <w:rFonts w:ascii="SimSun" w:hAnsi="SimSun" w:eastAsia="SimSun" w:cs="SimSun"/>
          <w:sz w:val="21"/>
          <w:szCs w:val="21"/>
          <w:spacing w:val="-2"/>
        </w:rPr>
        <w:t>以</w:t>
      </w:r>
      <w:r>
        <w:rPr>
          <w:rFonts w:ascii="SimSun" w:hAnsi="SimSun" w:eastAsia="SimSun" w:cs="SimSun"/>
          <w:sz w:val="21"/>
          <w:szCs w:val="21"/>
        </w:rPr>
        <w:t xml:space="preserve"> </w:t>
      </w:r>
      <w:r>
        <w:rPr>
          <w:rFonts w:ascii="SimSun" w:hAnsi="SimSun" w:eastAsia="SimSun" w:cs="SimSun"/>
          <w:sz w:val="21"/>
          <w:szCs w:val="21"/>
          <w:spacing w:val="4"/>
        </w:rPr>
        <w:t>"因城因户施策,</w:t>
      </w:r>
      <w:r>
        <w:rPr>
          <w:rFonts w:ascii="SimSun" w:hAnsi="SimSun" w:eastAsia="SimSun" w:cs="SimSun"/>
          <w:sz w:val="21"/>
          <w:szCs w:val="21"/>
          <w:spacing w:val="31"/>
        </w:rPr>
        <w:t xml:space="preserve"> </w:t>
      </w:r>
      <w:r>
        <w:rPr>
          <w:rFonts w:ascii="SimSun" w:hAnsi="SimSun" w:eastAsia="SimSun" w:cs="SimSun"/>
          <w:sz w:val="21"/>
          <w:szCs w:val="21"/>
          <w:spacing w:val="4"/>
        </w:rPr>
        <w:t>分层分类管理"</w:t>
      </w:r>
      <w:r>
        <w:rPr>
          <w:rFonts w:ascii="SimSun" w:hAnsi="SimSun" w:eastAsia="SimSun" w:cs="SimSun"/>
          <w:sz w:val="21"/>
          <w:szCs w:val="21"/>
          <w:spacing w:val="-24"/>
        </w:rPr>
        <w:t xml:space="preserve"> </w:t>
      </w:r>
      <w:r>
        <w:rPr>
          <w:rFonts w:ascii="SimSun" w:hAnsi="SimSun" w:eastAsia="SimSun" w:cs="SimSun"/>
          <w:sz w:val="21"/>
          <w:szCs w:val="21"/>
          <w:spacing w:val="4"/>
        </w:rPr>
        <w:t>为总体原则,</w:t>
      </w:r>
      <w:r>
        <w:rPr>
          <w:rFonts w:ascii="SimSun" w:hAnsi="SimSun" w:eastAsia="SimSun" w:cs="SimSun"/>
          <w:sz w:val="21"/>
          <w:szCs w:val="21"/>
          <w:spacing w:val="32"/>
        </w:rPr>
        <w:t xml:space="preserve"> </w:t>
      </w:r>
      <w:r>
        <w:rPr>
          <w:rFonts w:ascii="SimSun" w:hAnsi="SimSun" w:eastAsia="SimSun" w:cs="SimSun"/>
          <w:sz w:val="21"/>
          <w:szCs w:val="21"/>
          <w:spacing w:val="4"/>
        </w:rPr>
        <w:t>坚持"客户、区位、业</w:t>
      </w:r>
      <w:r>
        <w:rPr>
          <w:rFonts w:ascii="SimSun" w:hAnsi="SimSun" w:eastAsia="SimSun" w:cs="SimSun"/>
          <w:sz w:val="21"/>
          <w:szCs w:val="21"/>
          <w:spacing w:val="3"/>
        </w:rPr>
        <w:t>态、成本、回报"</w:t>
      </w:r>
      <w:r>
        <w:rPr>
          <w:rFonts w:ascii="SimSun" w:hAnsi="SimSun" w:eastAsia="SimSun" w:cs="SimSun"/>
          <w:sz w:val="21"/>
          <w:szCs w:val="21"/>
          <w:spacing w:val="-23"/>
        </w:rPr>
        <w:t xml:space="preserve"> </w:t>
      </w:r>
      <w:r>
        <w:rPr>
          <w:rFonts w:ascii="SimSun" w:hAnsi="SimSun" w:eastAsia="SimSun" w:cs="SimSun"/>
          <w:sz w:val="21"/>
          <w:szCs w:val="21"/>
          <w:spacing w:val="3"/>
        </w:rPr>
        <w:t>五要素选项择户</w:t>
      </w:r>
      <w:r>
        <w:rPr>
          <w:rFonts w:ascii="SimSun" w:hAnsi="SimSun" w:eastAsia="SimSun" w:cs="SimSun"/>
          <w:sz w:val="21"/>
          <w:szCs w:val="21"/>
        </w:rPr>
        <w:t xml:space="preserve"> </w:t>
      </w:r>
      <w:r>
        <w:rPr>
          <w:rFonts w:ascii="SimSun" w:hAnsi="SimSun" w:eastAsia="SimSun" w:cs="SimSun"/>
          <w:sz w:val="21"/>
          <w:szCs w:val="21"/>
          <w:spacing w:val="-3"/>
        </w:rPr>
        <w:t>标准,</w:t>
      </w:r>
      <w:r>
        <w:rPr>
          <w:rFonts w:ascii="SimSun" w:hAnsi="SimSun" w:eastAsia="SimSun" w:cs="SimSun"/>
          <w:sz w:val="21"/>
          <w:szCs w:val="21"/>
          <w:spacing w:val="-26"/>
        </w:rPr>
        <w:t xml:space="preserve"> </w:t>
      </w:r>
      <w:r>
        <w:rPr>
          <w:rFonts w:ascii="SimSun" w:hAnsi="SimSun" w:eastAsia="SimSun" w:cs="SimSun"/>
          <w:sz w:val="21"/>
          <w:szCs w:val="21"/>
          <w:spacing w:val="-3"/>
        </w:rPr>
        <w:t>加强差异化管理,</w:t>
      </w:r>
      <w:r>
        <w:rPr>
          <w:rFonts w:ascii="SimSun" w:hAnsi="SimSun" w:eastAsia="SimSun" w:cs="SimSun"/>
          <w:sz w:val="21"/>
          <w:szCs w:val="21"/>
          <w:spacing w:val="-24"/>
        </w:rPr>
        <w:t xml:space="preserve"> </w:t>
      </w:r>
      <w:r>
        <w:rPr>
          <w:rFonts w:ascii="SimSun" w:hAnsi="SimSun" w:eastAsia="SimSun" w:cs="SimSun"/>
          <w:sz w:val="21"/>
          <w:szCs w:val="21"/>
          <w:spacing w:val="-3"/>
        </w:rPr>
        <w:t>持续优化行业信贷结构;</w:t>
      </w:r>
      <w:r>
        <w:rPr>
          <w:rFonts w:ascii="SimSun" w:hAnsi="SimSun" w:eastAsia="SimSun" w:cs="SimSun"/>
          <w:sz w:val="21"/>
          <w:szCs w:val="21"/>
          <w:spacing w:val="-25"/>
        </w:rPr>
        <w:t xml:space="preserve"> </w:t>
      </w:r>
      <w:r>
        <w:rPr>
          <w:rFonts w:ascii="SimSun" w:hAnsi="SimSun" w:eastAsia="SimSun" w:cs="SimSun"/>
          <w:sz w:val="21"/>
          <w:szCs w:val="21"/>
          <w:spacing w:val="-3"/>
        </w:rPr>
        <w:t>二是</w:t>
      </w:r>
      <w:r>
        <w:rPr>
          <w:rFonts w:ascii="SimSun" w:hAnsi="SimSun" w:eastAsia="SimSun" w:cs="SimSun"/>
          <w:sz w:val="21"/>
          <w:szCs w:val="21"/>
          <w:spacing w:val="-4"/>
        </w:rPr>
        <w:t>强化风险防控,</w:t>
      </w:r>
      <w:r>
        <w:rPr>
          <w:rFonts w:ascii="SimSun" w:hAnsi="SimSun" w:eastAsia="SimSun" w:cs="SimSun"/>
          <w:sz w:val="21"/>
          <w:szCs w:val="21"/>
          <w:spacing w:val="-29"/>
        </w:rPr>
        <w:t xml:space="preserve"> </w:t>
      </w:r>
      <w:r>
        <w:rPr>
          <w:rFonts w:ascii="SimSun" w:hAnsi="SimSun" w:eastAsia="SimSun" w:cs="SimSun"/>
          <w:sz w:val="21"/>
          <w:szCs w:val="21"/>
          <w:spacing w:val="-4"/>
        </w:rPr>
        <w:t>运用各项内外部工具加强风险监测、</w:t>
      </w:r>
      <w:r>
        <w:rPr>
          <w:rFonts w:ascii="SimSun" w:hAnsi="SimSun" w:eastAsia="SimSun" w:cs="SimSun"/>
          <w:sz w:val="21"/>
          <w:szCs w:val="21"/>
        </w:rPr>
        <w:t xml:space="preserve"> </w:t>
      </w:r>
      <w:r>
        <w:rPr>
          <w:rFonts w:ascii="SimSun" w:hAnsi="SimSun" w:eastAsia="SimSun" w:cs="SimSun"/>
          <w:sz w:val="21"/>
          <w:szCs w:val="21"/>
          <w:spacing w:val="-2"/>
        </w:rPr>
        <w:t>做实风险排查,</w:t>
      </w:r>
      <w:r>
        <w:rPr>
          <w:rFonts w:ascii="SimSun" w:hAnsi="SimSun" w:eastAsia="SimSun" w:cs="SimSun"/>
          <w:sz w:val="21"/>
          <w:szCs w:val="21"/>
          <w:spacing w:val="27"/>
        </w:rPr>
        <w:t xml:space="preserve"> </w:t>
      </w:r>
      <w:r>
        <w:rPr>
          <w:rFonts w:ascii="SimSun" w:hAnsi="SimSun" w:eastAsia="SimSun" w:cs="SimSun"/>
          <w:sz w:val="21"/>
          <w:szCs w:val="21"/>
          <w:spacing w:val="-2"/>
        </w:rPr>
        <w:t>提升风险管理的主动性,</w:t>
      </w:r>
      <w:r>
        <w:rPr>
          <w:rFonts w:ascii="SimSun" w:hAnsi="SimSun" w:eastAsia="SimSun" w:cs="SimSun"/>
          <w:sz w:val="21"/>
          <w:szCs w:val="21"/>
          <w:spacing w:val="26"/>
        </w:rPr>
        <w:t xml:space="preserve"> </w:t>
      </w:r>
      <w:r>
        <w:rPr>
          <w:rFonts w:ascii="SimSun" w:hAnsi="SimSun" w:eastAsia="SimSun" w:cs="SimSun"/>
          <w:sz w:val="21"/>
          <w:szCs w:val="21"/>
          <w:spacing w:val="-2"/>
        </w:rPr>
        <w:t>做到风险早识别、早预警、早发</w:t>
      </w:r>
      <w:r>
        <w:rPr>
          <w:rFonts w:ascii="SimSun" w:hAnsi="SimSun" w:eastAsia="SimSun" w:cs="SimSun"/>
          <w:sz w:val="21"/>
          <w:szCs w:val="21"/>
          <w:spacing w:val="-3"/>
        </w:rPr>
        <w:t>现、早处置,</w:t>
      </w:r>
      <w:r>
        <w:rPr>
          <w:rFonts w:ascii="SimSun" w:hAnsi="SimSun" w:eastAsia="SimSun" w:cs="SimSun"/>
          <w:sz w:val="21"/>
          <w:szCs w:val="21"/>
          <w:spacing w:val="27"/>
        </w:rPr>
        <w:t xml:space="preserve"> </w:t>
      </w:r>
      <w:r>
        <w:rPr>
          <w:rFonts w:ascii="SimSun" w:hAnsi="SimSun" w:eastAsia="SimSun" w:cs="SimSun"/>
          <w:sz w:val="21"/>
          <w:szCs w:val="21"/>
          <w:spacing w:val="-3"/>
        </w:rPr>
        <w:t>严守不发生系统性</w:t>
      </w:r>
      <w:r>
        <w:rPr>
          <w:rFonts w:ascii="SimSun" w:hAnsi="SimSun" w:eastAsia="SimSun" w:cs="SimSun"/>
          <w:sz w:val="21"/>
          <w:szCs w:val="21"/>
        </w:rPr>
        <w:t xml:space="preserve"> </w:t>
      </w:r>
      <w:r>
        <w:rPr>
          <w:rFonts w:ascii="SimSun" w:hAnsi="SimSun" w:eastAsia="SimSun" w:cs="SimSun"/>
          <w:sz w:val="21"/>
          <w:szCs w:val="21"/>
          <w:spacing w:val="4"/>
        </w:rPr>
        <w:t>风险的底线; 三是积极做好"保交楼"</w:t>
      </w:r>
      <w:r>
        <w:rPr>
          <w:rFonts w:ascii="SimSun" w:hAnsi="SimSun" w:eastAsia="SimSun" w:cs="SimSun"/>
          <w:sz w:val="21"/>
          <w:szCs w:val="21"/>
          <w:spacing w:val="-18"/>
        </w:rPr>
        <w:t xml:space="preserve"> </w:t>
      </w:r>
      <w:r>
        <w:rPr>
          <w:rFonts w:ascii="SimSun" w:hAnsi="SimSun" w:eastAsia="SimSun" w:cs="SimSun"/>
          <w:sz w:val="21"/>
          <w:szCs w:val="21"/>
          <w:spacing w:val="4"/>
        </w:rPr>
        <w:t>金融服务, 按照法治化、市场化原则,</w:t>
      </w:r>
      <w:r>
        <w:rPr>
          <w:rFonts w:ascii="SimSun" w:hAnsi="SimSun" w:eastAsia="SimSun" w:cs="SimSun"/>
          <w:sz w:val="21"/>
          <w:szCs w:val="21"/>
          <w:spacing w:val="32"/>
        </w:rPr>
        <w:t xml:space="preserve"> </w:t>
      </w:r>
      <w:r>
        <w:rPr>
          <w:rFonts w:ascii="SimSun" w:hAnsi="SimSun" w:eastAsia="SimSun" w:cs="SimSun"/>
          <w:sz w:val="21"/>
          <w:szCs w:val="21"/>
          <w:spacing w:val="4"/>
        </w:rPr>
        <w:t>为政策性银行"保交楼"</w:t>
      </w:r>
      <w:r>
        <w:rPr>
          <w:rFonts w:ascii="SimSun" w:hAnsi="SimSun" w:eastAsia="SimSun" w:cs="SimSun"/>
          <w:sz w:val="21"/>
          <w:szCs w:val="21"/>
          <w:spacing w:val="-26"/>
        </w:rPr>
        <w:t xml:space="preserve"> </w:t>
      </w:r>
      <w:r>
        <w:rPr>
          <w:rFonts w:ascii="SimSun" w:hAnsi="SimSun" w:eastAsia="SimSun" w:cs="SimSun"/>
          <w:sz w:val="21"/>
          <w:szCs w:val="21"/>
          <w:spacing w:val="4"/>
        </w:rPr>
        <w:t>专</w:t>
      </w:r>
      <w:r>
        <w:rPr>
          <w:rFonts w:ascii="SimSun" w:hAnsi="SimSun" w:eastAsia="SimSun" w:cs="SimSun"/>
          <w:sz w:val="21"/>
          <w:szCs w:val="21"/>
        </w:rPr>
        <w:t xml:space="preserve"> </w:t>
      </w:r>
      <w:r>
        <w:rPr>
          <w:rFonts w:ascii="SimSun" w:hAnsi="SimSun" w:eastAsia="SimSun" w:cs="SimSun"/>
          <w:sz w:val="21"/>
          <w:szCs w:val="21"/>
        </w:rPr>
        <w:t>项借款提供配套融资支持、支持优质房企并购受</w:t>
      </w:r>
      <w:r>
        <w:rPr>
          <w:rFonts w:ascii="SimSun" w:hAnsi="SimSun" w:eastAsia="SimSun" w:cs="SimSun"/>
          <w:sz w:val="21"/>
          <w:szCs w:val="21"/>
          <w:spacing w:val="-1"/>
        </w:rPr>
        <w:t>困房企优质项目、在保证债权安全的前提下按照商业性原</w:t>
      </w:r>
      <w:r>
        <w:rPr>
          <w:rFonts w:ascii="SimSun" w:hAnsi="SimSun" w:eastAsia="SimSun" w:cs="SimSun"/>
          <w:sz w:val="21"/>
          <w:szCs w:val="21"/>
        </w:rPr>
        <w:t xml:space="preserve"> </w:t>
      </w:r>
      <w:r>
        <w:rPr>
          <w:rFonts w:ascii="SimSun" w:hAnsi="SimSun" w:eastAsia="SimSun" w:cs="SimSun"/>
          <w:sz w:val="21"/>
          <w:szCs w:val="21"/>
        </w:rPr>
        <w:t>则对存量房地产融资给予合理展期等, 推动存量业</w:t>
      </w:r>
      <w:r>
        <w:rPr>
          <w:rFonts w:ascii="SimSun" w:hAnsi="SimSun" w:eastAsia="SimSun" w:cs="SimSun"/>
          <w:sz w:val="21"/>
          <w:szCs w:val="21"/>
          <w:spacing w:val="-1"/>
        </w:rPr>
        <w:t>务风险化解。报告期内, 集团对公房地产余额较上年末</w:t>
      </w:r>
      <w:r>
        <w:rPr>
          <w:rFonts w:ascii="SimSun" w:hAnsi="SimSun" w:eastAsia="SimSun" w:cs="SimSun"/>
          <w:sz w:val="21"/>
          <w:szCs w:val="21"/>
        </w:rPr>
        <w:t xml:space="preserve"> </w:t>
      </w:r>
      <w:r>
        <w:rPr>
          <w:rFonts w:ascii="SimSun" w:hAnsi="SimSun" w:eastAsia="SimSun" w:cs="SimSun"/>
          <w:sz w:val="21"/>
          <w:szCs w:val="21"/>
          <w:spacing w:val="-3"/>
        </w:rPr>
        <w:t>增加</w:t>
      </w:r>
      <w:r>
        <w:rPr>
          <w:rFonts w:ascii="SimSun" w:hAnsi="SimSun" w:eastAsia="SimSun" w:cs="SimSun"/>
          <w:sz w:val="21"/>
          <w:szCs w:val="21"/>
          <w:spacing w:val="-22"/>
        </w:rPr>
        <w:t xml:space="preserve"> </w:t>
      </w:r>
      <w:r>
        <w:rPr>
          <w:rFonts w:ascii="Times New Roman" w:hAnsi="Times New Roman" w:eastAsia="Times New Roman" w:cs="Times New Roman"/>
          <w:sz w:val="21"/>
          <w:szCs w:val="21"/>
          <w:spacing w:val="-3"/>
        </w:rPr>
        <w:t>1,000.37 </w:t>
      </w:r>
      <w:r>
        <w:rPr>
          <w:rFonts w:ascii="SimSun" w:hAnsi="SimSun" w:eastAsia="SimSun" w:cs="SimSun"/>
          <w:sz w:val="21"/>
          <w:szCs w:val="21"/>
          <w:spacing w:val="-3"/>
        </w:rPr>
        <w:t>亿元,</w:t>
      </w:r>
      <w:r>
        <w:rPr>
          <w:rFonts w:ascii="SimSun" w:hAnsi="SimSun" w:eastAsia="SimSun" w:cs="SimSun"/>
          <w:sz w:val="21"/>
          <w:szCs w:val="21"/>
          <w:spacing w:val="30"/>
        </w:rPr>
        <w:t xml:space="preserve"> </w:t>
      </w:r>
      <w:r>
        <w:rPr>
          <w:rFonts w:ascii="SimSun" w:hAnsi="SimSun" w:eastAsia="SimSun" w:cs="SimSun"/>
          <w:sz w:val="21"/>
          <w:szCs w:val="21"/>
          <w:spacing w:val="-3"/>
        </w:rPr>
        <w:t>增幅</w:t>
      </w:r>
      <w:r>
        <w:rPr>
          <w:rFonts w:ascii="SimSun" w:hAnsi="SimSun" w:eastAsia="SimSun" w:cs="SimSun"/>
          <w:sz w:val="21"/>
          <w:szCs w:val="21"/>
          <w:spacing w:val="-51"/>
        </w:rPr>
        <w:t xml:space="preserve"> </w:t>
      </w:r>
      <w:r>
        <w:rPr>
          <w:rFonts w:ascii="Times New Roman" w:hAnsi="Times New Roman" w:eastAsia="Times New Roman" w:cs="Times New Roman"/>
          <w:sz w:val="21"/>
          <w:szCs w:val="21"/>
          <w:spacing w:val="-3"/>
        </w:rPr>
        <w:t>23.83%</w:t>
      </w:r>
      <w:r>
        <w:rPr>
          <w:rFonts w:ascii="SimSun" w:hAnsi="SimSun" w:eastAsia="SimSun" w:cs="SimSun"/>
          <w:sz w:val="21"/>
          <w:szCs w:val="21"/>
          <w:spacing w:val="-3"/>
        </w:rPr>
        <w:t>。</w:t>
      </w:r>
    </w:p>
    <w:p>
      <w:pPr>
        <w:pStyle w:val="BodyText"/>
        <w:spacing w:line="246" w:lineRule="auto"/>
        <w:rPr/>
      </w:pPr>
      <w:r/>
    </w:p>
    <w:p>
      <w:pPr>
        <w:ind w:right="16" w:firstLine="415"/>
        <w:spacing w:before="69" w:line="292" w:lineRule="auto"/>
        <w:rPr>
          <w:rFonts w:ascii="SimSun" w:hAnsi="SimSun" w:eastAsia="SimSun" w:cs="SimSun"/>
          <w:sz w:val="21"/>
          <w:szCs w:val="21"/>
        </w:rPr>
      </w:pPr>
      <w:r>
        <w:rPr>
          <w:rFonts w:ascii="Times New Roman" w:hAnsi="Times New Roman" w:eastAsia="Times New Roman" w:cs="Times New Roman"/>
          <w:sz w:val="21"/>
          <w:szCs w:val="21"/>
          <w:spacing w:val="-1"/>
        </w:rPr>
        <w:t>2022 </w:t>
      </w:r>
      <w:r>
        <w:rPr>
          <w:rFonts w:ascii="SimSun" w:hAnsi="SimSun" w:eastAsia="SimSun" w:cs="SimSun"/>
          <w:sz w:val="21"/>
          <w:szCs w:val="21"/>
          <w:spacing w:val="-1"/>
        </w:rPr>
        <w:t>年, 部分房地产企业运营和财务状况持续承压</w:t>
      </w:r>
      <w:r>
        <w:rPr>
          <w:rFonts w:ascii="SimSun" w:hAnsi="SimSun" w:eastAsia="SimSun" w:cs="SimSun"/>
          <w:sz w:val="21"/>
          <w:szCs w:val="21"/>
          <w:spacing w:val="-2"/>
        </w:rPr>
        <w:t>, 流动性风险凸显, 在公开市场出现债务违约或负</w:t>
      </w:r>
      <w:r>
        <w:rPr>
          <w:rFonts w:ascii="SimSun" w:hAnsi="SimSun" w:eastAsia="SimSun" w:cs="SimSun"/>
          <w:sz w:val="21"/>
          <w:szCs w:val="21"/>
        </w:rPr>
        <w:t xml:space="preserve"> </w:t>
      </w:r>
      <w:r>
        <w:rPr>
          <w:rFonts w:ascii="SimSun" w:hAnsi="SimSun" w:eastAsia="SimSun" w:cs="SimSun"/>
          <w:sz w:val="21"/>
          <w:szCs w:val="21"/>
          <w:spacing w:val="-1"/>
        </w:rPr>
        <w:t>面舆情。本行按照实质性风险判断原则将所涉及的部分房地产项目</w:t>
      </w:r>
      <w:r>
        <w:rPr>
          <w:rFonts w:ascii="SimSun" w:hAnsi="SimSun" w:eastAsia="SimSun" w:cs="SimSun"/>
          <w:sz w:val="21"/>
          <w:szCs w:val="21"/>
          <w:spacing w:val="-2"/>
        </w:rPr>
        <w:t>贷款下迁不良,</w:t>
      </w:r>
      <w:r>
        <w:rPr>
          <w:rFonts w:ascii="SimSun" w:hAnsi="SimSun" w:eastAsia="SimSun" w:cs="SimSun"/>
          <w:sz w:val="21"/>
          <w:szCs w:val="21"/>
          <w:spacing w:val="38"/>
        </w:rPr>
        <w:t xml:space="preserve"> </w:t>
      </w:r>
      <w:r>
        <w:rPr>
          <w:rFonts w:ascii="SimSun" w:hAnsi="SimSun" w:eastAsia="SimSun" w:cs="SimSun"/>
          <w:sz w:val="21"/>
          <w:szCs w:val="21"/>
          <w:spacing w:val="-2"/>
        </w:rPr>
        <w:t>同时进一步加强相关贷</w:t>
      </w:r>
      <w:r>
        <w:rPr>
          <w:rFonts w:ascii="SimSun" w:hAnsi="SimSun" w:eastAsia="SimSun" w:cs="SimSun"/>
          <w:sz w:val="21"/>
          <w:szCs w:val="21"/>
        </w:rPr>
        <w:t xml:space="preserve"> </w:t>
      </w:r>
      <w:r>
        <w:rPr>
          <w:rFonts w:ascii="SimSun" w:hAnsi="SimSun" w:eastAsia="SimSun" w:cs="SimSun"/>
          <w:sz w:val="21"/>
          <w:szCs w:val="21"/>
          <w:spacing w:val="-3"/>
        </w:rPr>
        <w:t>款的风险管理和清收处置。报告期末,</w:t>
      </w:r>
      <w:r>
        <w:rPr>
          <w:rFonts w:ascii="SimSun" w:hAnsi="SimSun" w:eastAsia="SimSun" w:cs="SimSun"/>
          <w:sz w:val="21"/>
          <w:szCs w:val="21"/>
          <w:spacing w:val="-29"/>
        </w:rPr>
        <w:t xml:space="preserve"> </w:t>
      </w:r>
      <w:r>
        <w:rPr>
          <w:rFonts w:ascii="SimSun" w:hAnsi="SimSun" w:eastAsia="SimSun" w:cs="SimSun"/>
          <w:sz w:val="21"/>
          <w:szCs w:val="21"/>
          <w:spacing w:val="-3"/>
        </w:rPr>
        <w:t>对公房地</w:t>
      </w:r>
      <w:r>
        <w:rPr>
          <w:rFonts w:ascii="SimSun" w:hAnsi="SimSun" w:eastAsia="SimSun" w:cs="SimSun"/>
          <w:sz w:val="21"/>
          <w:szCs w:val="21"/>
          <w:spacing w:val="-4"/>
        </w:rPr>
        <w:t>产行业不良贷款余额</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4"/>
        </w:rPr>
        <w:t>145.60 </w:t>
      </w:r>
      <w:r>
        <w:rPr>
          <w:rFonts w:ascii="SimSun" w:hAnsi="SimSun" w:eastAsia="SimSun" w:cs="SimSun"/>
          <w:sz w:val="21"/>
          <w:szCs w:val="21"/>
          <w:spacing w:val="-4"/>
        </w:rPr>
        <w:t>亿元,</w:t>
      </w:r>
      <w:r>
        <w:rPr>
          <w:rFonts w:ascii="SimSun" w:hAnsi="SimSun" w:eastAsia="SimSun" w:cs="SimSun"/>
          <w:sz w:val="21"/>
          <w:szCs w:val="21"/>
          <w:spacing w:val="-29"/>
        </w:rPr>
        <w:t xml:space="preserve"> </w:t>
      </w:r>
      <w:r>
        <w:rPr>
          <w:rFonts w:ascii="SimSun" w:hAnsi="SimSun" w:eastAsia="SimSun" w:cs="SimSun"/>
          <w:sz w:val="21"/>
          <w:szCs w:val="21"/>
          <w:spacing w:val="-4"/>
        </w:rPr>
        <w:t>较上年末增加</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4"/>
        </w:rPr>
        <w:t>93 </w:t>
      </w:r>
      <w:r>
        <w:rPr>
          <w:rFonts w:ascii="SimSun" w:hAnsi="SimSun" w:eastAsia="SimSun" w:cs="SimSun"/>
          <w:sz w:val="21"/>
          <w:szCs w:val="21"/>
          <w:spacing w:val="-4"/>
        </w:rPr>
        <w:t>亿元,</w:t>
      </w:r>
      <w:r>
        <w:rPr>
          <w:rFonts w:ascii="SimSun" w:hAnsi="SimSun" w:eastAsia="SimSun" w:cs="SimSun"/>
          <w:sz w:val="21"/>
          <w:szCs w:val="21"/>
        </w:rPr>
        <w:t xml:space="preserve">  </w:t>
      </w:r>
      <w:r>
        <w:rPr>
          <w:rFonts w:ascii="SimSun" w:hAnsi="SimSun" w:eastAsia="SimSun" w:cs="SimSun"/>
          <w:sz w:val="21"/>
          <w:szCs w:val="21"/>
          <w:spacing w:val="-3"/>
        </w:rPr>
        <w:t>不良贷款率</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2.8%</w:t>
      </w:r>
      <w:r>
        <w:rPr>
          <w:rFonts w:ascii="SimSun" w:hAnsi="SimSun" w:eastAsia="SimSun" w:cs="SimSun"/>
          <w:sz w:val="21"/>
          <w:szCs w:val="21"/>
          <w:spacing w:val="-3"/>
        </w:rPr>
        <w:t>,</w:t>
      </w:r>
      <w:r>
        <w:rPr>
          <w:rFonts w:ascii="SimSun" w:hAnsi="SimSun" w:eastAsia="SimSun" w:cs="SimSun"/>
          <w:sz w:val="21"/>
          <w:szCs w:val="21"/>
          <w:spacing w:val="32"/>
        </w:rPr>
        <w:t xml:space="preserve"> </w:t>
      </w:r>
      <w:r>
        <w:rPr>
          <w:rFonts w:ascii="SimSun" w:hAnsi="SimSun" w:eastAsia="SimSun" w:cs="SimSun"/>
          <w:sz w:val="21"/>
          <w:szCs w:val="21"/>
          <w:spacing w:val="-3"/>
        </w:rPr>
        <w:t>较上年末上升</w:t>
      </w:r>
      <w:r>
        <w:rPr>
          <w:rFonts w:ascii="SimSun" w:hAnsi="SimSun" w:eastAsia="SimSun" w:cs="SimSun"/>
          <w:sz w:val="21"/>
          <w:szCs w:val="21"/>
          <w:spacing w:val="-27"/>
        </w:rPr>
        <w:t xml:space="preserve"> </w:t>
      </w:r>
      <w:r>
        <w:rPr>
          <w:rFonts w:ascii="Times New Roman" w:hAnsi="Times New Roman" w:eastAsia="Times New Roman" w:cs="Times New Roman"/>
          <w:sz w:val="21"/>
          <w:szCs w:val="21"/>
          <w:spacing w:val="-3"/>
        </w:rPr>
        <w:t>1.55 </w:t>
      </w:r>
      <w:r>
        <w:rPr>
          <w:rFonts w:ascii="SimSun" w:hAnsi="SimSun" w:eastAsia="SimSun" w:cs="SimSun"/>
          <w:sz w:val="21"/>
          <w:szCs w:val="21"/>
          <w:spacing w:val="-3"/>
        </w:rPr>
        <w:t>个百分点,</w:t>
      </w:r>
      <w:r>
        <w:rPr>
          <w:rFonts w:ascii="SimSun" w:hAnsi="SimSun" w:eastAsia="SimSun" w:cs="SimSun"/>
          <w:sz w:val="21"/>
          <w:szCs w:val="21"/>
          <w:spacing w:val="31"/>
        </w:rPr>
        <w:t xml:space="preserve"> </w:t>
      </w:r>
      <w:r>
        <w:rPr>
          <w:rFonts w:ascii="SimSun" w:hAnsi="SimSun" w:eastAsia="SimSun" w:cs="SimSun"/>
          <w:sz w:val="21"/>
          <w:szCs w:val="21"/>
          <w:spacing w:val="-3"/>
        </w:rPr>
        <w:t>总体风险可控。</w:t>
      </w:r>
    </w:p>
    <w:p>
      <w:pPr>
        <w:pStyle w:val="BodyText"/>
        <w:spacing w:line="243" w:lineRule="auto"/>
        <w:rPr/>
      </w:pPr>
      <w:r/>
    </w:p>
    <w:p>
      <w:pPr>
        <w:ind w:left="534"/>
        <w:spacing w:before="69" w:line="221" w:lineRule="auto"/>
        <w:rPr>
          <w:rFonts w:ascii="SimSun" w:hAnsi="SimSun" w:eastAsia="SimSun" w:cs="SimSun"/>
          <w:sz w:val="21"/>
          <w:szCs w:val="21"/>
        </w:rPr>
      </w:pPr>
      <w:r>
        <w:rPr>
          <w:rFonts w:ascii="SimSun" w:hAnsi="SimSun" w:eastAsia="SimSun" w:cs="SimSun"/>
          <w:sz w:val="21"/>
          <w:szCs w:val="21"/>
          <w:b/>
          <w:bCs/>
          <w:spacing w:val="6"/>
        </w:rPr>
        <w:t>(四)关于信用卡资产质量</w:t>
      </w:r>
    </w:p>
    <w:p>
      <w:pPr>
        <w:ind w:right="19" w:firstLine="421"/>
        <w:spacing w:before="308" w:line="284" w:lineRule="auto"/>
        <w:jc w:val="both"/>
        <w:rPr>
          <w:rFonts w:ascii="SimSun" w:hAnsi="SimSun" w:eastAsia="SimSun" w:cs="SimSun"/>
          <w:sz w:val="21"/>
          <w:szCs w:val="21"/>
        </w:rPr>
      </w:pPr>
      <w:r>
        <w:rPr>
          <w:rFonts w:ascii="SimSun" w:hAnsi="SimSun" w:eastAsia="SimSun" w:cs="SimSun"/>
          <w:sz w:val="21"/>
          <w:szCs w:val="21"/>
          <w:spacing w:val="-2"/>
        </w:rPr>
        <w:t>本行根据《关于进一步促进信用卡业务规范健康发展的通知》要求,</w:t>
      </w:r>
      <w:r>
        <w:rPr>
          <w:rFonts w:ascii="SimSun" w:hAnsi="SimSun" w:eastAsia="SimSun" w:cs="SimSun"/>
          <w:sz w:val="21"/>
          <w:szCs w:val="21"/>
          <w:spacing w:val="31"/>
        </w:rPr>
        <w:t xml:space="preserve"> </w:t>
      </w:r>
      <w:r>
        <w:rPr>
          <w:rFonts w:ascii="SimSun" w:hAnsi="SimSun" w:eastAsia="SimSun" w:cs="SimSun"/>
          <w:sz w:val="21"/>
          <w:szCs w:val="21"/>
          <w:spacing w:val="-2"/>
        </w:rPr>
        <w:t>加强信用卡业务管理,</w:t>
      </w:r>
      <w:r>
        <w:rPr>
          <w:rFonts w:ascii="SimSun" w:hAnsi="SimSun" w:eastAsia="SimSun" w:cs="SimSun"/>
          <w:sz w:val="21"/>
          <w:szCs w:val="21"/>
          <w:spacing w:val="29"/>
        </w:rPr>
        <w:t xml:space="preserve"> </w:t>
      </w:r>
      <w:r>
        <w:rPr>
          <w:rFonts w:ascii="SimSun" w:hAnsi="SimSun" w:eastAsia="SimSun" w:cs="SimSun"/>
          <w:sz w:val="21"/>
          <w:szCs w:val="21"/>
          <w:spacing w:val="-2"/>
        </w:rPr>
        <w:t>持续优化</w:t>
      </w:r>
      <w:r>
        <w:rPr>
          <w:rFonts w:ascii="SimSun" w:hAnsi="SimSun" w:eastAsia="SimSun" w:cs="SimSun"/>
          <w:sz w:val="21"/>
          <w:szCs w:val="21"/>
        </w:rPr>
        <w:t xml:space="preserve"> </w:t>
      </w:r>
      <w:r>
        <w:rPr>
          <w:rFonts w:ascii="SimSun" w:hAnsi="SimSun" w:eastAsia="SimSun" w:cs="SimSun"/>
          <w:sz w:val="21"/>
          <w:szCs w:val="21"/>
          <w:spacing w:val="-1"/>
        </w:rPr>
        <w:t>信用卡业务客群结构,</w:t>
      </w:r>
      <w:r>
        <w:rPr>
          <w:rFonts w:ascii="SimSun" w:hAnsi="SimSun" w:eastAsia="SimSun" w:cs="SimSun"/>
          <w:sz w:val="21"/>
          <w:szCs w:val="21"/>
          <w:spacing w:val="33"/>
        </w:rPr>
        <w:t xml:space="preserve"> </w:t>
      </w:r>
      <w:r>
        <w:rPr>
          <w:rFonts w:ascii="SimSun" w:hAnsi="SimSun" w:eastAsia="SimSun" w:cs="SimSun"/>
          <w:sz w:val="21"/>
          <w:szCs w:val="21"/>
          <w:spacing w:val="-1"/>
        </w:rPr>
        <w:t>聚焦提升风险经营能力。通过引入内外部优质合规</w:t>
      </w:r>
      <w:r>
        <w:rPr>
          <w:rFonts w:ascii="SimSun" w:hAnsi="SimSun" w:eastAsia="SimSun" w:cs="SimSun"/>
          <w:sz w:val="21"/>
          <w:szCs w:val="21"/>
          <w:spacing w:val="-2"/>
        </w:rPr>
        <w:t>数据、提升风险计量水平、精细</w:t>
      </w:r>
      <w:r>
        <w:rPr>
          <w:rFonts w:ascii="SimSun" w:hAnsi="SimSun" w:eastAsia="SimSun" w:cs="SimSun"/>
          <w:sz w:val="21"/>
          <w:szCs w:val="21"/>
        </w:rPr>
        <w:t xml:space="preserve"> </w:t>
      </w:r>
      <w:r>
        <w:rPr>
          <w:rFonts w:ascii="SimSun" w:hAnsi="SimSun" w:eastAsia="SimSun" w:cs="SimSun"/>
          <w:sz w:val="21"/>
          <w:szCs w:val="21"/>
          <w:spacing w:val="-1"/>
        </w:rPr>
        <w:t>化风控策略、强化资产质量攻坚部署、加大不良资产处置力度等措施,</w:t>
      </w:r>
      <w:r>
        <w:rPr>
          <w:rFonts w:ascii="SimSun" w:hAnsi="SimSun" w:eastAsia="SimSun" w:cs="SimSun"/>
          <w:sz w:val="21"/>
          <w:szCs w:val="21"/>
          <w:spacing w:val="27"/>
        </w:rPr>
        <w:t xml:space="preserve"> </w:t>
      </w:r>
      <w:r>
        <w:rPr>
          <w:rFonts w:ascii="SimSun" w:hAnsi="SimSun" w:eastAsia="SimSun" w:cs="SimSun"/>
          <w:sz w:val="21"/>
          <w:szCs w:val="21"/>
          <w:spacing w:val="-1"/>
        </w:rPr>
        <w:t>信用卡业务资产</w:t>
      </w:r>
      <w:r>
        <w:rPr>
          <w:rFonts w:ascii="SimSun" w:hAnsi="SimSun" w:eastAsia="SimSun" w:cs="SimSun"/>
          <w:sz w:val="21"/>
          <w:szCs w:val="21"/>
          <w:spacing w:val="-2"/>
        </w:rPr>
        <w:t>质量逐步好转。报</w:t>
      </w:r>
    </w:p>
    <w:p>
      <w:pPr>
        <w:spacing w:line="284" w:lineRule="auto"/>
        <w:sectPr>
          <w:footerReference w:type="default" r:id="rId112"/>
          <w:pgSz w:w="11907" w:h="16839"/>
          <w:pgMar w:top="1196" w:right="1111" w:bottom="1375" w:left="1141" w:header="0" w:footer="1211" w:gutter="0"/>
        </w:sectPr>
        <w:rPr>
          <w:rFonts w:ascii="SimSun" w:hAnsi="SimSun" w:eastAsia="SimSun" w:cs="SimSun"/>
          <w:sz w:val="21"/>
          <w:szCs w:val="21"/>
        </w:rPr>
      </w:pPr>
    </w:p>
    <w:p>
      <w:pPr>
        <w:ind w:left="2" w:firstLine="4"/>
        <w:spacing w:before="42" w:line="284" w:lineRule="auto"/>
        <w:jc w:val="both"/>
        <w:rPr>
          <w:rFonts w:ascii="SimSun" w:hAnsi="SimSun" w:eastAsia="SimSun" w:cs="SimSun"/>
          <w:sz w:val="21"/>
          <w:szCs w:val="21"/>
        </w:rPr>
      </w:pPr>
      <w:r>
        <w:rPr>
          <w:rFonts w:ascii="SimSun" w:hAnsi="SimSun" w:eastAsia="SimSun" w:cs="SimSun"/>
          <w:sz w:val="21"/>
          <w:szCs w:val="21"/>
          <w:spacing w:val="-1"/>
        </w:rPr>
        <w:t>告期末, 信用卡业务不良率</w:t>
      </w:r>
      <w:r>
        <w:rPr>
          <w:rFonts w:ascii="SimSun" w:hAnsi="SimSun" w:eastAsia="SimSun" w:cs="SimSun"/>
          <w:sz w:val="21"/>
          <w:szCs w:val="21"/>
          <w:spacing w:val="-18"/>
        </w:rPr>
        <w:t xml:space="preserve"> </w:t>
      </w:r>
      <w:r>
        <w:rPr>
          <w:rFonts w:ascii="Times New Roman" w:hAnsi="Times New Roman" w:eastAsia="Times New Roman" w:cs="Times New Roman"/>
          <w:sz w:val="21"/>
          <w:szCs w:val="21"/>
          <w:spacing w:val="-1"/>
        </w:rPr>
        <w:t>1.95%</w:t>
      </w:r>
      <w:r>
        <w:rPr>
          <w:rFonts w:ascii="SimSun" w:hAnsi="SimSun" w:eastAsia="SimSun" w:cs="SimSun"/>
          <w:sz w:val="21"/>
          <w:szCs w:val="21"/>
          <w:spacing w:val="-1"/>
        </w:rPr>
        <w:t>,较上年末下降</w:t>
      </w:r>
      <w:r>
        <w:rPr>
          <w:rFonts w:ascii="SimSun" w:hAnsi="SimSun" w:eastAsia="SimSun" w:cs="SimSun"/>
          <w:sz w:val="21"/>
          <w:szCs w:val="21"/>
          <w:spacing w:val="-45"/>
        </w:rPr>
        <w:t xml:space="preserve"> </w:t>
      </w:r>
      <w:r>
        <w:rPr>
          <w:rFonts w:ascii="Times New Roman" w:hAnsi="Times New Roman" w:eastAsia="Times New Roman" w:cs="Times New Roman"/>
          <w:sz w:val="21"/>
          <w:szCs w:val="21"/>
          <w:spacing w:val="-1"/>
        </w:rPr>
        <w:t>0.25</w:t>
      </w:r>
      <w:r>
        <w:rPr>
          <w:rFonts w:ascii="Times New Roman" w:hAnsi="Times New Roman" w:eastAsia="Times New Roman" w:cs="Times New Roman"/>
          <w:sz w:val="21"/>
          <w:szCs w:val="21"/>
          <w:spacing w:val="16"/>
          <w:w w:val="101"/>
        </w:rPr>
        <w:t xml:space="preserve"> </w:t>
      </w:r>
      <w:r>
        <w:rPr>
          <w:rFonts w:ascii="SimSun" w:hAnsi="SimSun" w:eastAsia="SimSun" w:cs="SimSun"/>
          <w:sz w:val="21"/>
          <w:szCs w:val="21"/>
          <w:spacing w:val="-1"/>
        </w:rPr>
        <w:t>百分点, 持续三年保持下降趋势。</w:t>
      </w:r>
      <w:r>
        <w:rPr>
          <w:rFonts w:ascii="Times New Roman" w:hAnsi="Times New Roman" w:eastAsia="Times New Roman" w:cs="Times New Roman"/>
          <w:sz w:val="21"/>
          <w:szCs w:val="21"/>
          <w:spacing w:val="-1"/>
        </w:rPr>
        <w:t>2023 </w:t>
      </w:r>
      <w:r>
        <w:rPr>
          <w:rFonts w:ascii="SimSun" w:hAnsi="SimSun" w:eastAsia="SimSun" w:cs="SimSun"/>
          <w:sz w:val="21"/>
          <w:szCs w:val="21"/>
          <w:spacing w:val="-1"/>
        </w:rPr>
        <w:t>年信用卡业</w:t>
      </w:r>
      <w:r>
        <w:rPr>
          <w:rFonts w:ascii="SimSun" w:hAnsi="SimSun" w:eastAsia="SimSun" w:cs="SimSun"/>
          <w:sz w:val="21"/>
          <w:szCs w:val="21"/>
        </w:rPr>
        <w:t xml:space="preserve"> </w:t>
      </w:r>
      <w:r>
        <w:rPr>
          <w:rFonts w:ascii="SimSun" w:hAnsi="SimSun" w:eastAsia="SimSun" w:cs="SimSun"/>
          <w:sz w:val="21"/>
          <w:szCs w:val="21"/>
          <w:spacing w:val="1"/>
        </w:rPr>
        <w:t>务仍将坚持"稳中有进、稳中提质" 的总要求,</w:t>
      </w:r>
      <w:r>
        <w:rPr>
          <w:rFonts w:ascii="SimSun" w:hAnsi="SimSun" w:eastAsia="SimSun" w:cs="SimSun"/>
          <w:sz w:val="21"/>
          <w:szCs w:val="21"/>
          <w:spacing w:val="31"/>
        </w:rPr>
        <w:t xml:space="preserve"> </w:t>
      </w:r>
      <w:r>
        <w:rPr>
          <w:rFonts w:ascii="SimSun" w:hAnsi="SimSun" w:eastAsia="SimSun" w:cs="SimSun"/>
          <w:sz w:val="21"/>
          <w:szCs w:val="21"/>
          <w:spacing w:val="1"/>
        </w:rPr>
        <w:t>统筹业务经营和风险管控, 通过强化风险管控、优化获客</w:t>
      </w:r>
      <w:r>
        <w:rPr>
          <w:rFonts w:ascii="SimSun" w:hAnsi="SimSun" w:eastAsia="SimSun" w:cs="SimSun"/>
          <w:sz w:val="21"/>
          <w:szCs w:val="21"/>
        </w:rPr>
        <w:t xml:space="preserve"> </w:t>
      </w:r>
      <w:r>
        <w:rPr>
          <w:rFonts w:ascii="SimSun" w:hAnsi="SimSun" w:eastAsia="SimSun" w:cs="SimSun"/>
          <w:sz w:val="21"/>
          <w:szCs w:val="21"/>
          <w:spacing w:val="3"/>
        </w:rPr>
        <w:t>质量、改善资产结构,实现信用卡业务的高质量发展。</w:t>
      </w:r>
    </w:p>
    <w:p>
      <w:pPr>
        <w:pStyle w:val="BodyText"/>
        <w:spacing w:line="242" w:lineRule="auto"/>
        <w:rPr/>
      </w:pPr>
      <w:r/>
    </w:p>
    <w:p>
      <w:pPr>
        <w:ind w:left="535"/>
        <w:spacing w:before="69" w:line="221" w:lineRule="auto"/>
        <w:rPr>
          <w:rFonts w:ascii="SimSun" w:hAnsi="SimSun" w:eastAsia="SimSun" w:cs="SimSun"/>
          <w:sz w:val="21"/>
          <w:szCs w:val="21"/>
        </w:rPr>
      </w:pPr>
      <w:r>
        <w:rPr>
          <w:rFonts w:ascii="SimSun" w:hAnsi="SimSun" w:eastAsia="SimSun" w:cs="SimSun"/>
          <w:sz w:val="21"/>
          <w:szCs w:val="21"/>
          <w:b/>
          <w:bCs/>
          <w:spacing w:val="1"/>
        </w:rPr>
        <w:t>(五)关于《商业银行金融资产风险分类办法》对本行资产质量的影响</w:t>
      </w:r>
    </w:p>
    <w:p>
      <w:pPr>
        <w:ind w:firstLine="418"/>
        <w:spacing w:before="307" w:line="297" w:lineRule="auto"/>
        <w:jc w:val="both"/>
        <w:rPr>
          <w:rFonts w:ascii="SimSun" w:hAnsi="SimSun" w:eastAsia="SimSun" w:cs="SimSun"/>
          <w:sz w:val="21"/>
          <w:szCs w:val="21"/>
        </w:rPr>
      </w:pPr>
      <w:r>
        <w:rPr>
          <w:rFonts w:ascii="Times New Roman" w:hAnsi="Times New Roman" w:eastAsia="Times New Roman" w:cs="Times New Roman"/>
          <w:sz w:val="21"/>
          <w:szCs w:val="21"/>
          <w:spacing w:val="-2"/>
        </w:rPr>
        <w:t>2023 </w:t>
      </w:r>
      <w:r>
        <w:rPr>
          <w:rFonts w:ascii="SimSun" w:hAnsi="SimSun" w:eastAsia="SimSun" w:cs="SimSun"/>
          <w:sz w:val="21"/>
          <w:szCs w:val="21"/>
          <w:spacing w:val="-2"/>
        </w:rPr>
        <w:t>年</w:t>
      </w:r>
      <w:r>
        <w:rPr>
          <w:rFonts w:ascii="SimSun" w:hAnsi="SimSun" w:eastAsia="SimSun" w:cs="SimSun"/>
          <w:sz w:val="21"/>
          <w:szCs w:val="21"/>
          <w:spacing w:val="-31"/>
        </w:rPr>
        <w:t xml:space="preserve"> </w:t>
      </w:r>
      <w:r>
        <w:rPr>
          <w:rFonts w:ascii="Times New Roman" w:hAnsi="Times New Roman" w:eastAsia="Times New Roman" w:cs="Times New Roman"/>
          <w:sz w:val="21"/>
          <w:szCs w:val="21"/>
          <w:spacing w:val="-2"/>
        </w:rPr>
        <w:t>2 </w:t>
      </w:r>
      <w:r>
        <w:rPr>
          <w:rFonts w:ascii="SimSun" w:hAnsi="SimSun" w:eastAsia="SimSun" w:cs="SimSun"/>
          <w:sz w:val="21"/>
          <w:szCs w:val="21"/>
          <w:spacing w:val="-2"/>
        </w:rPr>
        <w:t>月正式出台的《商业银行金融资产风险分类办法》将风险分类范围扩大至所有承担信用风险</w:t>
      </w:r>
      <w:r>
        <w:rPr>
          <w:rFonts w:ascii="SimSun" w:hAnsi="SimSun" w:eastAsia="SimSun" w:cs="SimSun"/>
          <w:sz w:val="21"/>
          <w:szCs w:val="21"/>
        </w:rPr>
        <w:t xml:space="preserve"> </w:t>
      </w:r>
      <w:r>
        <w:rPr>
          <w:rFonts w:ascii="SimSun" w:hAnsi="SimSun" w:eastAsia="SimSun" w:cs="SimSun"/>
          <w:sz w:val="21"/>
          <w:szCs w:val="21"/>
        </w:rPr>
        <w:t>的金融资产, 进一步细化了风险分类与逾期</w:t>
      </w:r>
      <w:r>
        <w:rPr>
          <w:rFonts w:ascii="SimSun" w:hAnsi="SimSun" w:eastAsia="SimSun" w:cs="SimSun"/>
          <w:sz w:val="21"/>
          <w:szCs w:val="21"/>
          <w:spacing w:val="-1"/>
        </w:rPr>
        <w:t>天数、信用减值的对应关系, 完善了对交叉违约、重组贷款的</w:t>
      </w:r>
      <w:r>
        <w:rPr>
          <w:rFonts w:ascii="SimSun" w:hAnsi="SimSun" w:eastAsia="SimSun" w:cs="SimSun"/>
          <w:sz w:val="21"/>
          <w:szCs w:val="21"/>
        </w:rPr>
        <w:t xml:space="preserve"> </w:t>
      </w:r>
      <w:r>
        <w:rPr>
          <w:rFonts w:ascii="SimSun" w:hAnsi="SimSun" w:eastAsia="SimSun" w:cs="SimSun"/>
          <w:sz w:val="21"/>
          <w:szCs w:val="21"/>
          <w:spacing w:val="1"/>
        </w:rPr>
        <w:t>认定标准。自 </w:t>
      </w:r>
      <w:r>
        <w:rPr>
          <w:rFonts w:ascii="Times New Roman" w:hAnsi="Times New Roman" w:eastAsia="Times New Roman" w:cs="Times New Roman"/>
          <w:sz w:val="21"/>
          <w:szCs w:val="21"/>
          <w:spacing w:val="1"/>
        </w:rPr>
        <w:t>2019</w:t>
      </w:r>
      <w:r>
        <w:rPr>
          <w:rFonts w:ascii="Times New Roman" w:hAnsi="Times New Roman" w:eastAsia="Times New Roman" w:cs="Times New Roman"/>
          <w:sz w:val="21"/>
          <w:szCs w:val="21"/>
          <w:spacing w:val="57"/>
        </w:rPr>
        <w:t xml:space="preserve"> </w:t>
      </w:r>
      <w:r>
        <w:rPr>
          <w:rFonts w:ascii="SimSun" w:hAnsi="SimSun" w:eastAsia="SimSun" w:cs="SimSun"/>
          <w:sz w:val="21"/>
          <w:szCs w:val="21"/>
          <w:spacing w:val="1"/>
        </w:rPr>
        <w:t>年风险分类新规的征求意见稿出台以来,</w:t>
      </w:r>
      <w:r>
        <w:rPr>
          <w:rFonts w:ascii="SimSun" w:hAnsi="SimSun" w:eastAsia="SimSun" w:cs="SimSun"/>
          <w:sz w:val="21"/>
          <w:szCs w:val="21"/>
          <w:spacing w:val="30"/>
        </w:rPr>
        <w:t xml:space="preserve"> </w:t>
      </w:r>
      <w:r>
        <w:rPr>
          <w:rFonts w:ascii="SimSun" w:hAnsi="SimSun" w:eastAsia="SimSun" w:cs="SimSun"/>
          <w:sz w:val="21"/>
          <w:szCs w:val="21"/>
          <w:spacing w:val="1"/>
        </w:rPr>
        <w:t>本行认真研究并主动对接新规要求,部署推</w:t>
      </w:r>
      <w:r>
        <w:rPr>
          <w:rFonts w:ascii="SimSun" w:hAnsi="SimSun" w:eastAsia="SimSun" w:cs="SimSun"/>
          <w:sz w:val="21"/>
          <w:szCs w:val="21"/>
        </w:rPr>
        <w:t xml:space="preserve"> </w:t>
      </w:r>
      <w:r>
        <w:rPr>
          <w:rFonts w:ascii="SimSun" w:hAnsi="SimSun" w:eastAsia="SimSun" w:cs="SimSun"/>
          <w:sz w:val="21"/>
          <w:szCs w:val="21"/>
          <w:spacing w:val="-2"/>
        </w:rPr>
        <w:t>进三年资产质量攻坚战,</w:t>
      </w:r>
      <w:r>
        <w:rPr>
          <w:rFonts w:ascii="SimSun" w:hAnsi="SimSun" w:eastAsia="SimSun" w:cs="SimSun"/>
          <w:sz w:val="21"/>
          <w:szCs w:val="21"/>
          <w:spacing w:val="28"/>
        </w:rPr>
        <w:t xml:space="preserve"> </w:t>
      </w:r>
      <w:r>
        <w:rPr>
          <w:rFonts w:ascii="SimSun" w:hAnsi="SimSun" w:eastAsia="SimSun" w:cs="SimSun"/>
          <w:sz w:val="21"/>
          <w:szCs w:val="21"/>
          <w:spacing w:val="-2"/>
        </w:rPr>
        <w:t>前瞻性修订风险分类管理办法,</w:t>
      </w:r>
      <w:r>
        <w:rPr>
          <w:rFonts w:ascii="SimSun" w:hAnsi="SimSun" w:eastAsia="SimSun" w:cs="SimSun"/>
          <w:sz w:val="21"/>
          <w:szCs w:val="21"/>
          <w:spacing w:val="49"/>
        </w:rPr>
        <w:t xml:space="preserve"> </w:t>
      </w:r>
      <w:r>
        <w:rPr>
          <w:rFonts w:ascii="SimSun" w:hAnsi="SimSun" w:eastAsia="SimSun" w:cs="SimSun"/>
          <w:sz w:val="21"/>
          <w:szCs w:val="21"/>
          <w:spacing w:val="-2"/>
        </w:rPr>
        <w:t>已提前落实新规中有关</w:t>
      </w:r>
      <w:r>
        <w:rPr>
          <w:rFonts w:ascii="SimSun" w:hAnsi="SimSun" w:eastAsia="SimSun" w:cs="SimSun"/>
          <w:sz w:val="21"/>
          <w:szCs w:val="21"/>
          <w:spacing w:val="-3"/>
        </w:rPr>
        <w:t>分类范围、逾期天数、交</w:t>
      </w:r>
      <w:r>
        <w:rPr>
          <w:rFonts w:ascii="SimSun" w:hAnsi="SimSun" w:eastAsia="SimSun" w:cs="SimSun"/>
          <w:sz w:val="21"/>
          <w:szCs w:val="21"/>
        </w:rPr>
        <w:t xml:space="preserve"> </w:t>
      </w:r>
      <w:r>
        <w:rPr>
          <w:rFonts w:ascii="SimSun" w:hAnsi="SimSun" w:eastAsia="SimSun" w:cs="SimSun"/>
          <w:sz w:val="21"/>
          <w:szCs w:val="21"/>
          <w:spacing w:val="3"/>
        </w:rPr>
        <w:t>叉违约等要求。目前存量资产对照新规标准需重新分</w:t>
      </w:r>
      <w:r>
        <w:rPr>
          <w:rFonts w:ascii="SimSun" w:hAnsi="SimSun" w:eastAsia="SimSun" w:cs="SimSun"/>
          <w:sz w:val="21"/>
          <w:szCs w:val="21"/>
          <w:spacing w:val="2"/>
        </w:rPr>
        <w:t>类的规模占比较小,预计影响总体可控。</w:t>
      </w:r>
    </w:p>
    <w:sectPr>
      <w:footerReference w:type="default" r:id="rId113"/>
      <w:pgSz w:w="11907" w:h="16839"/>
      <w:pgMar w:top="1196" w:right="1128" w:bottom="1374" w:left="1139" w:header="0" w:footer="1211"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89"/>
      <w:spacing w:line="166" w:lineRule="auto"/>
      <w:rPr>
        <w:rFonts w:ascii="Calibri" w:hAnsi="Calibri" w:eastAsia="Calibri" w:cs="Calibri"/>
        <w:sz w:val="18"/>
        <w:szCs w:val="18"/>
      </w:rPr>
    </w:pPr>
    <w:r>
      <w:rPr>
        <w:rFonts w:ascii="Calibri" w:hAnsi="Calibri" w:eastAsia="Calibri" w:cs="Calibri"/>
        <w:sz w:val="18"/>
        <w:szCs w:val="18"/>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35"/>
      <w:spacing w:line="167" w:lineRule="auto"/>
      <w:rPr>
        <w:rFonts w:ascii="Calibri" w:hAnsi="Calibri" w:eastAsia="Calibri" w:cs="Calibri"/>
        <w:sz w:val="18"/>
        <w:szCs w:val="18"/>
      </w:rPr>
    </w:pPr>
    <w:r>
      <w:rPr>
        <w:rFonts w:ascii="Calibri" w:hAnsi="Calibri" w:eastAsia="Calibri" w:cs="Calibri"/>
        <w:sz w:val="18"/>
        <w:szCs w:val="18"/>
        <w:spacing w:val="-4"/>
      </w:rPr>
      <w:t>10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35"/>
      <w:spacing w:line="166" w:lineRule="auto"/>
      <w:rPr>
        <w:rFonts w:ascii="Calibri" w:hAnsi="Calibri" w:eastAsia="Calibri" w:cs="Calibri"/>
        <w:sz w:val="18"/>
        <w:szCs w:val="18"/>
      </w:rPr>
    </w:pPr>
    <w:r>
      <w:rPr>
        <w:rFonts w:ascii="Calibri" w:hAnsi="Calibri" w:eastAsia="Calibri" w:cs="Calibri"/>
        <w:sz w:val="18"/>
        <w:szCs w:val="18"/>
        <w:spacing w:val="-4"/>
      </w:rPr>
      <w:t>11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56"/>
      <w:spacing w:line="167" w:lineRule="auto"/>
      <w:rPr>
        <w:rFonts w:ascii="Calibri" w:hAnsi="Calibri" w:eastAsia="Calibri" w:cs="Calibri"/>
        <w:sz w:val="18"/>
        <w:szCs w:val="18"/>
      </w:rPr>
    </w:pPr>
    <w:r>
      <w:rPr>
        <w:rFonts w:ascii="Calibri" w:hAnsi="Calibri" w:eastAsia="Calibri" w:cs="Calibri"/>
        <w:sz w:val="18"/>
        <w:szCs w:val="18"/>
        <w:spacing w:val="-4"/>
      </w:rPr>
      <w:t>12</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56"/>
      <w:spacing w:line="167" w:lineRule="auto"/>
      <w:rPr>
        <w:rFonts w:ascii="Calibri" w:hAnsi="Calibri" w:eastAsia="Calibri" w:cs="Calibri"/>
        <w:sz w:val="18"/>
        <w:szCs w:val="18"/>
      </w:rPr>
    </w:pPr>
    <w:r>
      <w:rPr>
        <w:rFonts w:ascii="Calibri" w:hAnsi="Calibri" w:eastAsia="Calibri" w:cs="Calibri"/>
        <w:sz w:val="18"/>
        <w:szCs w:val="18"/>
        <w:spacing w:val="-4"/>
      </w:rPr>
      <w:t>13</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56"/>
      <w:spacing w:line="166" w:lineRule="auto"/>
      <w:rPr>
        <w:rFonts w:ascii="Calibri" w:hAnsi="Calibri" w:eastAsia="Calibri" w:cs="Calibri"/>
        <w:sz w:val="18"/>
        <w:szCs w:val="18"/>
      </w:rPr>
    </w:pPr>
    <w:r>
      <w:rPr>
        <w:rFonts w:ascii="Calibri" w:hAnsi="Calibri" w:eastAsia="Calibri" w:cs="Calibri"/>
        <w:sz w:val="18"/>
        <w:szCs w:val="18"/>
        <w:spacing w:val="-4"/>
      </w:rPr>
      <w:t>14</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56"/>
      <w:spacing w:line="166" w:lineRule="auto"/>
      <w:rPr>
        <w:rFonts w:ascii="Calibri" w:hAnsi="Calibri" w:eastAsia="Calibri" w:cs="Calibri"/>
        <w:sz w:val="18"/>
        <w:szCs w:val="18"/>
      </w:rPr>
    </w:pPr>
    <w:r>
      <w:rPr>
        <w:rFonts w:ascii="Calibri" w:hAnsi="Calibri" w:eastAsia="Calibri" w:cs="Calibri"/>
        <w:sz w:val="18"/>
        <w:szCs w:val="18"/>
        <w:spacing w:val="-4"/>
      </w:rPr>
      <w:t>15</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56"/>
      <w:spacing w:line="167" w:lineRule="auto"/>
      <w:rPr>
        <w:rFonts w:ascii="Calibri" w:hAnsi="Calibri" w:eastAsia="Calibri" w:cs="Calibri"/>
        <w:sz w:val="18"/>
        <w:szCs w:val="18"/>
      </w:rPr>
    </w:pPr>
    <w:r>
      <w:rPr>
        <w:rFonts w:ascii="Calibri" w:hAnsi="Calibri" w:eastAsia="Calibri" w:cs="Calibri"/>
        <w:sz w:val="18"/>
        <w:szCs w:val="18"/>
        <w:spacing w:val="-4"/>
      </w:rPr>
      <w:t>16</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56"/>
      <w:spacing w:line="166" w:lineRule="auto"/>
      <w:rPr>
        <w:rFonts w:ascii="Calibri" w:hAnsi="Calibri" w:eastAsia="Calibri" w:cs="Calibri"/>
        <w:sz w:val="18"/>
        <w:szCs w:val="18"/>
      </w:rPr>
    </w:pPr>
    <w:r>
      <w:rPr>
        <w:rFonts w:ascii="Calibri" w:hAnsi="Calibri" w:eastAsia="Calibri" w:cs="Calibri"/>
        <w:sz w:val="18"/>
        <w:szCs w:val="18"/>
        <w:spacing w:val="-4"/>
      </w:rPr>
      <w:t>17</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77"/>
      <w:spacing w:line="167" w:lineRule="auto"/>
      <w:rPr>
        <w:rFonts w:ascii="Calibri" w:hAnsi="Calibri" w:eastAsia="Calibri" w:cs="Calibri"/>
        <w:sz w:val="18"/>
        <w:szCs w:val="18"/>
      </w:rPr>
    </w:pPr>
    <w:r>
      <w:rPr>
        <w:rFonts w:ascii="Calibri" w:hAnsi="Calibri" w:eastAsia="Calibri" w:cs="Calibri"/>
        <w:sz w:val="18"/>
        <w:szCs w:val="18"/>
        <w:spacing w:val="-4"/>
      </w:rPr>
      <w:t>18</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77"/>
      <w:spacing w:line="167" w:lineRule="auto"/>
      <w:rPr>
        <w:rFonts w:ascii="Calibri" w:hAnsi="Calibri" w:eastAsia="Calibri" w:cs="Calibri"/>
        <w:sz w:val="18"/>
        <w:szCs w:val="18"/>
      </w:rPr>
    </w:pPr>
    <w:r>
      <w:rPr>
        <w:rFonts w:ascii="Calibri" w:hAnsi="Calibri" w:eastAsia="Calibri" w:cs="Calibri"/>
        <w:sz w:val="18"/>
        <w:szCs w:val="18"/>
        <w:spacing w:val="-4"/>
      </w:rPr>
      <w:t>19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96"/>
      <w:spacing w:line="167" w:lineRule="auto"/>
      <w:rPr>
        <w:rFonts w:ascii="Calibri" w:hAnsi="Calibri" w:eastAsia="Calibri" w:cs="Calibri"/>
        <w:sz w:val="18"/>
        <w:szCs w:val="18"/>
      </w:rPr>
    </w:pPr>
    <w:r>
      <w:rPr>
        <w:rFonts w:ascii="Calibri" w:hAnsi="Calibri" w:eastAsia="Calibri" w:cs="Calibri"/>
        <w:sz w:val="18"/>
        <w:szCs w:val="18"/>
      </w:rPr>
      <w:t>2</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72"/>
      <w:spacing w:line="167" w:lineRule="auto"/>
      <w:rPr>
        <w:rFonts w:ascii="Calibri" w:hAnsi="Calibri" w:eastAsia="Calibri" w:cs="Calibri"/>
        <w:sz w:val="18"/>
        <w:szCs w:val="18"/>
      </w:rPr>
    </w:pPr>
    <w:r>
      <w:rPr>
        <w:rFonts w:ascii="Calibri" w:hAnsi="Calibri" w:eastAsia="Calibri" w:cs="Calibri"/>
        <w:sz w:val="18"/>
        <w:szCs w:val="18"/>
        <w:spacing w:val="-3"/>
      </w:rPr>
      <w:t>20</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72"/>
      <w:spacing w:line="167" w:lineRule="auto"/>
      <w:rPr>
        <w:rFonts w:ascii="Calibri" w:hAnsi="Calibri" w:eastAsia="Calibri" w:cs="Calibri"/>
        <w:sz w:val="18"/>
        <w:szCs w:val="18"/>
      </w:rPr>
    </w:pPr>
    <w:r>
      <w:rPr>
        <w:rFonts w:ascii="Calibri" w:hAnsi="Calibri" w:eastAsia="Calibri" w:cs="Calibri"/>
        <w:sz w:val="18"/>
        <w:szCs w:val="18"/>
        <w:spacing w:val="-3"/>
      </w:rPr>
      <w:t>21</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72"/>
      <w:spacing w:line="167" w:lineRule="auto"/>
      <w:rPr>
        <w:rFonts w:ascii="Calibri" w:hAnsi="Calibri" w:eastAsia="Calibri" w:cs="Calibri"/>
        <w:sz w:val="18"/>
        <w:szCs w:val="18"/>
      </w:rPr>
    </w:pPr>
    <w:r>
      <w:rPr>
        <w:rFonts w:ascii="Calibri" w:hAnsi="Calibri" w:eastAsia="Calibri" w:cs="Calibri"/>
        <w:sz w:val="18"/>
        <w:szCs w:val="18"/>
        <w:spacing w:val="-3"/>
      </w:rPr>
      <w:t>22</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72"/>
      <w:spacing w:line="167" w:lineRule="auto"/>
      <w:rPr>
        <w:rFonts w:ascii="Calibri" w:hAnsi="Calibri" w:eastAsia="Calibri" w:cs="Calibri"/>
        <w:sz w:val="18"/>
        <w:szCs w:val="18"/>
      </w:rPr>
    </w:pPr>
    <w:r>
      <w:rPr>
        <w:rFonts w:ascii="Calibri" w:hAnsi="Calibri" w:eastAsia="Calibri" w:cs="Calibri"/>
        <w:sz w:val="18"/>
        <w:szCs w:val="18"/>
        <w:spacing w:val="-3"/>
      </w:rPr>
      <w:t>23</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72"/>
      <w:spacing w:line="167" w:lineRule="auto"/>
      <w:rPr>
        <w:rFonts w:ascii="Calibri" w:hAnsi="Calibri" w:eastAsia="Calibri" w:cs="Calibri"/>
        <w:sz w:val="18"/>
        <w:szCs w:val="18"/>
      </w:rPr>
    </w:pPr>
    <w:r>
      <w:rPr>
        <w:rFonts w:ascii="Calibri" w:hAnsi="Calibri" w:eastAsia="Calibri" w:cs="Calibri"/>
        <w:sz w:val="18"/>
        <w:szCs w:val="18"/>
        <w:spacing w:val="-3"/>
      </w:rPr>
      <w:t>24</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72"/>
      <w:spacing w:line="167" w:lineRule="auto"/>
      <w:rPr>
        <w:rFonts w:ascii="Calibri" w:hAnsi="Calibri" w:eastAsia="Calibri" w:cs="Calibri"/>
        <w:sz w:val="18"/>
        <w:szCs w:val="18"/>
      </w:rPr>
    </w:pPr>
    <w:r>
      <w:rPr>
        <w:rFonts w:ascii="Calibri" w:hAnsi="Calibri" w:eastAsia="Calibri" w:cs="Calibri"/>
        <w:sz w:val="18"/>
        <w:szCs w:val="18"/>
        <w:spacing w:val="-3"/>
      </w:rPr>
      <w:t>25</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72"/>
      <w:spacing w:line="167" w:lineRule="auto"/>
      <w:rPr>
        <w:rFonts w:ascii="Calibri" w:hAnsi="Calibri" w:eastAsia="Calibri" w:cs="Calibri"/>
        <w:sz w:val="18"/>
        <w:szCs w:val="18"/>
      </w:rPr>
    </w:pPr>
    <w:r>
      <w:rPr>
        <w:rFonts w:ascii="Calibri" w:hAnsi="Calibri" w:eastAsia="Calibri" w:cs="Calibri"/>
        <w:sz w:val="18"/>
        <w:szCs w:val="18"/>
        <w:spacing w:val="-3"/>
      </w:rPr>
      <w:t>26</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72"/>
      <w:spacing w:line="167" w:lineRule="auto"/>
      <w:rPr>
        <w:rFonts w:ascii="Calibri" w:hAnsi="Calibri" w:eastAsia="Calibri" w:cs="Calibri"/>
        <w:sz w:val="18"/>
        <w:szCs w:val="18"/>
      </w:rPr>
    </w:pPr>
    <w:r>
      <w:rPr>
        <w:rFonts w:ascii="Calibri" w:hAnsi="Calibri" w:eastAsia="Calibri" w:cs="Calibri"/>
        <w:sz w:val="18"/>
        <w:szCs w:val="18"/>
        <w:spacing w:val="-3"/>
      </w:rPr>
      <w:t>27</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72"/>
      <w:spacing w:line="167" w:lineRule="auto"/>
      <w:rPr>
        <w:rFonts w:ascii="Calibri" w:hAnsi="Calibri" w:eastAsia="Calibri" w:cs="Calibri"/>
        <w:sz w:val="18"/>
        <w:szCs w:val="18"/>
      </w:rPr>
    </w:pPr>
    <w:r>
      <w:rPr>
        <w:rFonts w:ascii="Calibri" w:hAnsi="Calibri" w:eastAsia="Calibri" w:cs="Calibri"/>
        <w:sz w:val="18"/>
        <w:szCs w:val="18"/>
        <w:spacing w:val="-3"/>
      </w:rPr>
      <w:t>28</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72"/>
      <w:spacing w:line="167" w:lineRule="auto"/>
      <w:rPr>
        <w:rFonts w:ascii="Calibri" w:hAnsi="Calibri" w:eastAsia="Calibri" w:cs="Calibri"/>
        <w:sz w:val="18"/>
        <w:szCs w:val="18"/>
      </w:rPr>
    </w:pPr>
    <w:r>
      <w:rPr>
        <w:rFonts w:ascii="Calibri" w:hAnsi="Calibri" w:eastAsia="Calibri" w:cs="Calibri"/>
        <w:sz w:val="18"/>
        <w:szCs w:val="18"/>
        <w:spacing w:val="-3"/>
      </w:rPr>
      <w:t>29</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96"/>
      <w:spacing w:line="167" w:lineRule="auto"/>
      <w:rPr>
        <w:rFonts w:ascii="Calibri" w:hAnsi="Calibri" w:eastAsia="Calibri" w:cs="Calibri"/>
        <w:sz w:val="18"/>
        <w:szCs w:val="18"/>
      </w:rPr>
    </w:pPr>
    <w:r>
      <w:rPr>
        <w:rFonts w:ascii="Calibri" w:hAnsi="Calibri" w:eastAsia="Calibri" w:cs="Calibri"/>
        <w:sz w:val="18"/>
        <w:szCs w:val="18"/>
      </w:rPr>
      <w:t>3</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79"/>
      <w:spacing w:line="167" w:lineRule="auto"/>
      <w:rPr>
        <w:rFonts w:ascii="Calibri" w:hAnsi="Calibri" w:eastAsia="Calibri" w:cs="Calibri"/>
        <w:sz w:val="18"/>
        <w:szCs w:val="18"/>
      </w:rPr>
    </w:pPr>
    <w:r>
      <w:rPr>
        <w:rFonts w:ascii="Calibri" w:hAnsi="Calibri" w:eastAsia="Calibri" w:cs="Calibri"/>
        <w:sz w:val="18"/>
        <w:szCs w:val="18"/>
        <w:spacing w:val="-3"/>
      </w:rPr>
      <w:t>30</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19"/>
      <w:spacing w:line="167" w:lineRule="auto"/>
      <w:rPr>
        <w:rFonts w:ascii="Calibri" w:hAnsi="Calibri" w:eastAsia="Calibri" w:cs="Calibri"/>
        <w:sz w:val="18"/>
        <w:szCs w:val="18"/>
      </w:rPr>
    </w:pPr>
    <w:r>
      <w:rPr>
        <w:rFonts w:ascii="Calibri" w:hAnsi="Calibri" w:eastAsia="Calibri" w:cs="Calibri"/>
        <w:sz w:val="18"/>
        <w:szCs w:val="18"/>
        <w:spacing w:val="-3"/>
      </w:rPr>
      <w:t>31</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52"/>
      <w:spacing w:line="167" w:lineRule="auto"/>
      <w:rPr>
        <w:rFonts w:ascii="Calibri" w:hAnsi="Calibri" w:eastAsia="Calibri" w:cs="Calibri"/>
        <w:sz w:val="18"/>
        <w:szCs w:val="18"/>
      </w:rPr>
    </w:pPr>
    <w:r>
      <w:rPr>
        <w:rFonts w:ascii="Calibri" w:hAnsi="Calibri" w:eastAsia="Calibri" w:cs="Calibri"/>
        <w:sz w:val="18"/>
        <w:szCs w:val="18"/>
        <w:spacing w:val="-3"/>
      </w:rPr>
      <w:t>32</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53"/>
      <w:spacing w:line="167" w:lineRule="auto"/>
      <w:rPr>
        <w:rFonts w:ascii="Calibri" w:hAnsi="Calibri" w:eastAsia="Calibri" w:cs="Calibri"/>
        <w:sz w:val="18"/>
        <w:szCs w:val="18"/>
      </w:rPr>
    </w:pPr>
    <w:r>
      <w:rPr>
        <w:rFonts w:ascii="Calibri" w:hAnsi="Calibri" w:eastAsia="Calibri" w:cs="Calibri"/>
        <w:sz w:val="18"/>
        <w:szCs w:val="18"/>
        <w:spacing w:val="-3"/>
      </w:rPr>
      <w:t>33</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50"/>
      <w:spacing w:line="167" w:lineRule="auto"/>
      <w:rPr>
        <w:rFonts w:ascii="Calibri" w:hAnsi="Calibri" w:eastAsia="Calibri" w:cs="Calibri"/>
        <w:sz w:val="18"/>
        <w:szCs w:val="18"/>
      </w:rPr>
    </w:pPr>
    <w:r>
      <w:rPr>
        <w:rFonts w:ascii="Calibri" w:hAnsi="Calibri" w:eastAsia="Calibri" w:cs="Calibri"/>
        <w:sz w:val="18"/>
        <w:szCs w:val="18"/>
        <w:spacing w:val="-3"/>
      </w:rPr>
      <w:t>34</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52"/>
      <w:spacing w:line="167" w:lineRule="auto"/>
      <w:rPr>
        <w:rFonts w:ascii="Calibri" w:hAnsi="Calibri" w:eastAsia="Calibri" w:cs="Calibri"/>
        <w:sz w:val="18"/>
        <w:szCs w:val="18"/>
      </w:rPr>
    </w:pPr>
    <w:r>
      <w:rPr>
        <w:rFonts w:ascii="Calibri" w:hAnsi="Calibri" w:eastAsia="Calibri" w:cs="Calibri"/>
        <w:sz w:val="18"/>
        <w:szCs w:val="18"/>
        <w:spacing w:val="-3"/>
      </w:rPr>
      <w:t>35</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49"/>
      <w:spacing w:line="167" w:lineRule="auto"/>
      <w:rPr>
        <w:rFonts w:ascii="Calibri" w:hAnsi="Calibri" w:eastAsia="Calibri" w:cs="Calibri"/>
        <w:sz w:val="18"/>
        <w:szCs w:val="18"/>
      </w:rPr>
    </w:pPr>
    <w:r>
      <w:rPr>
        <w:rFonts w:ascii="Calibri" w:hAnsi="Calibri" w:eastAsia="Calibri" w:cs="Calibri"/>
        <w:sz w:val="18"/>
        <w:szCs w:val="18"/>
        <w:spacing w:val="-3"/>
      </w:rPr>
      <w:t>36</w: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49"/>
      <w:spacing w:line="167" w:lineRule="auto"/>
      <w:rPr>
        <w:rFonts w:ascii="Calibri" w:hAnsi="Calibri" w:eastAsia="Calibri" w:cs="Calibri"/>
        <w:sz w:val="18"/>
        <w:szCs w:val="18"/>
      </w:rPr>
    </w:pPr>
    <w:r>
      <w:rPr>
        <w:rFonts w:ascii="Calibri" w:hAnsi="Calibri" w:eastAsia="Calibri" w:cs="Calibri"/>
        <w:sz w:val="18"/>
        <w:szCs w:val="18"/>
        <w:spacing w:val="-3"/>
      </w:rPr>
      <w:t>37</w: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52"/>
      <w:spacing w:line="167" w:lineRule="auto"/>
      <w:rPr>
        <w:rFonts w:ascii="Calibri" w:hAnsi="Calibri" w:eastAsia="Calibri" w:cs="Calibri"/>
        <w:sz w:val="18"/>
        <w:szCs w:val="18"/>
      </w:rPr>
    </w:pPr>
    <w:r>
      <w:rPr>
        <w:rFonts w:ascii="Calibri" w:hAnsi="Calibri" w:eastAsia="Calibri" w:cs="Calibri"/>
        <w:sz w:val="18"/>
        <w:szCs w:val="18"/>
        <w:spacing w:val="-3"/>
      </w:rPr>
      <w:t>38</w: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53"/>
      <w:spacing w:line="167" w:lineRule="auto"/>
      <w:rPr>
        <w:rFonts w:ascii="Calibri" w:hAnsi="Calibri" w:eastAsia="Calibri" w:cs="Calibri"/>
        <w:sz w:val="18"/>
        <w:szCs w:val="18"/>
      </w:rPr>
    </w:pPr>
    <w:r>
      <w:rPr>
        <w:rFonts w:ascii="Calibri" w:hAnsi="Calibri" w:eastAsia="Calibri" w:cs="Calibri"/>
        <w:sz w:val="18"/>
        <w:szCs w:val="18"/>
        <w:spacing w:val="-3"/>
      </w:rPr>
      <w:t>39</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60"/>
      <w:spacing w:line="166" w:lineRule="auto"/>
      <w:rPr>
        <w:rFonts w:ascii="Calibri" w:hAnsi="Calibri" w:eastAsia="Calibri" w:cs="Calibri"/>
        <w:sz w:val="18"/>
        <w:szCs w:val="18"/>
      </w:rPr>
    </w:pPr>
    <w:r>
      <w:rPr>
        <w:rFonts w:ascii="Calibri" w:hAnsi="Calibri" w:eastAsia="Calibri" w:cs="Calibri"/>
        <w:sz w:val="18"/>
        <w:szCs w:val="18"/>
      </w:rPr>
      <w:t>4</w: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47"/>
      <w:spacing w:line="167" w:lineRule="auto"/>
      <w:rPr>
        <w:rFonts w:ascii="Calibri" w:hAnsi="Calibri" w:eastAsia="Calibri" w:cs="Calibri"/>
        <w:sz w:val="18"/>
        <w:szCs w:val="18"/>
      </w:rPr>
    </w:pPr>
    <w:r>
      <w:rPr>
        <w:rFonts w:ascii="Calibri" w:hAnsi="Calibri" w:eastAsia="Calibri" w:cs="Calibri"/>
        <w:sz w:val="18"/>
        <w:szCs w:val="18"/>
        <w:spacing w:val="-2"/>
      </w:rPr>
      <w:t>40</w: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14"/>
      <w:spacing w:line="166" w:lineRule="auto"/>
      <w:rPr>
        <w:rFonts w:ascii="Calibri" w:hAnsi="Calibri" w:eastAsia="Calibri" w:cs="Calibri"/>
        <w:sz w:val="18"/>
        <w:szCs w:val="18"/>
      </w:rPr>
    </w:pPr>
    <w:r>
      <w:rPr>
        <w:rFonts w:ascii="Calibri" w:hAnsi="Calibri" w:eastAsia="Calibri" w:cs="Calibri"/>
        <w:sz w:val="18"/>
        <w:szCs w:val="18"/>
        <w:spacing w:val="-2"/>
      </w:rPr>
      <w:t>41</w: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44"/>
      <w:spacing w:line="167" w:lineRule="auto"/>
      <w:rPr>
        <w:rFonts w:ascii="Calibri" w:hAnsi="Calibri" w:eastAsia="Calibri" w:cs="Calibri"/>
        <w:sz w:val="18"/>
        <w:szCs w:val="18"/>
      </w:rPr>
    </w:pPr>
    <w:r>
      <w:rPr>
        <w:rFonts w:ascii="Calibri" w:hAnsi="Calibri" w:eastAsia="Calibri" w:cs="Calibri"/>
        <w:sz w:val="18"/>
        <w:szCs w:val="18"/>
        <w:spacing w:val="-2"/>
      </w:rPr>
      <w:t>42</w: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44"/>
      <w:spacing w:line="167" w:lineRule="auto"/>
      <w:rPr>
        <w:rFonts w:ascii="Calibri" w:hAnsi="Calibri" w:eastAsia="Calibri" w:cs="Calibri"/>
        <w:sz w:val="18"/>
        <w:szCs w:val="18"/>
      </w:rPr>
    </w:pPr>
    <w:r>
      <w:rPr>
        <w:rFonts w:ascii="Calibri" w:hAnsi="Calibri" w:eastAsia="Calibri" w:cs="Calibri"/>
        <w:sz w:val="18"/>
        <w:szCs w:val="18"/>
        <w:spacing w:val="-2"/>
      </w:rPr>
      <w:t>43</w: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44"/>
      <w:spacing w:line="166" w:lineRule="auto"/>
      <w:rPr>
        <w:rFonts w:ascii="Calibri" w:hAnsi="Calibri" w:eastAsia="Calibri" w:cs="Calibri"/>
        <w:sz w:val="18"/>
        <w:szCs w:val="18"/>
      </w:rPr>
    </w:pPr>
    <w:r>
      <w:rPr>
        <w:rFonts w:ascii="Calibri" w:hAnsi="Calibri" w:eastAsia="Calibri" w:cs="Calibri"/>
        <w:sz w:val="18"/>
        <w:szCs w:val="18"/>
        <w:spacing w:val="-2"/>
      </w:rPr>
      <w:t>44</w: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24"/>
      <w:spacing w:line="166" w:lineRule="auto"/>
      <w:rPr>
        <w:rFonts w:ascii="Calibri" w:hAnsi="Calibri" w:eastAsia="Calibri" w:cs="Calibri"/>
        <w:sz w:val="18"/>
        <w:szCs w:val="18"/>
      </w:rPr>
    </w:pPr>
    <w:r>
      <w:rPr>
        <w:rFonts w:ascii="Calibri" w:hAnsi="Calibri" w:eastAsia="Calibri" w:cs="Calibri"/>
        <w:sz w:val="18"/>
        <w:szCs w:val="18"/>
        <w:spacing w:val="-2"/>
      </w:rPr>
      <w:t>45</w: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24"/>
      <w:spacing w:line="167" w:lineRule="auto"/>
      <w:rPr>
        <w:rFonts w:ascii="Calibri" w:hAnsi="Calibri" w:eastAsia="Calibri" w:cs="Calibri"/>
        <w:sz w:val="18"/>
        <w:szCs w:val="18"/>
      </w:rPr>
    </w:pPr>
    <w:r>
      <w:rPr>
        <w:rFonts w:ascii="Calibri" w:hAnsi="Calibri" w:eastAsia="Calibri" w:cs="Calibri"/>
        <w:sz w:val="18"/>
        <w:szCs w:val="18"/>
        <w:spacing w:val="-2"/>
      </w:rPr>
      <w:t>46</w:t>
    </w:r>
  </w:p>
</w:ftr>
</file>

<file path=word/footer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24"/>
      <w:spacing w:line="166" w:lineRule="auto"/>
      <w:rPr>
        <w:rFonts w:ascii="Calibri" w:hAnsi="Calibri" w:eastAsia="Calibri" w:cs="Calibri"/>
        <w:sz w:val="18"/>
        <w:szCs w:val="18"/>
      </w:rPr>
    </w:pPr>
    <w:r>
      <w:rPr>
        <w:rFonts w:ascii="Calibri" w:hAnsi="Calibri" w:eastAsia="Calibri" w:cs="Calibri"/>
        <w:sz w:val="18"/>
        <w:szCs w:val="18"/>
        <w:spacing w:val="-2"/>
      </w:rPr>
      <w:t>47</w:t>
    </w:r>
  </w:p>
</w:ftr>
</file>

<file path=word/footer4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74"/>
      <w:spacing w:line="167" w:lineRule="auto"/>
      <w:rPr>
        <w:rFonts w:ascii="Calibri" w:hAnsi="Calibri" w:eastAsia="Calibri" w:cs="Calibri"/>
        <w:sz w:val="18"/>
        <w:szCs w:val="18"/>
      </w:rPr>
    </w:pPr>
    <w:r>
      <w:rPr>
        <w:rFonts w:ascii="Calibri" w:hAnsi="Calibri" w:eastAsia="Calibri" w:cs="Calibri"/>
        <w:sz w:val="18"/>
        <w:szCs w:val="18"/>
        <w:spacing w:val="-2"/>
      </w:rPr>
      <w:t>48</w:t>
    </w:r>
  </w:p>
</w:ftr>
</file>

<file path=word/footer4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46"/>
      <w:spacing w:line="167" w:lineRule="auto"/>
      <w:rPr>
        <w:rFonts w:ascii="Calibri" w:hAnsi="Calibri" w:eastAsia="Calibri" w:cs="Calibri"/>
        <w:sz w:val="18"/>
        <w:szCs w:val="18"/>
      </w:rPr>
    </w:pPr>
    <w:r>
      <w:rPr>
        <w:rFonts w:ascii="Calibri" w:hAnsi="Calibri" w:eastAsia="Calibri" w:cs="Calibri"/>
        <w:sz w:val="18"/>
        <w:szCs w:val="18"/>
        <w:spacing w:val="-2"/>
      </w:rPr>
      <w:t>49</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80"/>
      <w:spacing w:line="165" w:lineRule="auto"/>
      <w:rPr>
        <w:rFonts w:ascii="Calibri" w:hAnsi="Calibri" w:eastAsia="Calibri" w:cs="Calibri"/>
        <w:sz w:val="18"/>
        <w:szCs w:val="18"/>
      </w:rPr>
    </w:pPr>
    <w:r>
      <w:rPr>
        <w:rFonts w:ascii="Calibri" w:hAnsi="Calibri" w:eastAsia="Calibri" w:cs="Calibri"/>
        <w:sz w:val="18"/>
        <w:szCs w:val="18"/>
      </w:rPr>
      <w:t>5</w:t>
    </w:r>
  </w:p>
</w:ftr>
</file>

<file path=word/footer5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29"/>
      <w:spacing w:line="167" w:lineRule="auto"/>
      <w:rPr>
        <w:rFonts w:ascii="Calibri" w:hAnsi="Calibri" w:eastAsia="Calibri" w:cs="Calibri"/>
        <w:sz w:val="18"/>
        <w:szCs w:val="18"/>
      </w:rPr>
    </w:pPr>
    <w:r>
      <w:rPr>
        <w:rFonts w:ascii="Calibri" w:hAnsi="Calibri" w:eastAsia="Calibri" w:cs="Calibri"/>
        <w:sz w:val="18"/>
        <w:szCs w:val="18"/>
        <w:spacing w:val="-3"/>
      </w:rPr>
      <w:t>50</w:t>
    </w:r>
  </w:p>
</w:ftr>
</file>

<file path=word/footer5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48"/>
      <w:spacing w:line="166" w:lineRule="auto"/>
      <w:rPr>
        <w:rFonts w:ascii="Calibri" w:hAnsi="Calibri" w:eastAsia="Calibri" w:cs="Calibri"/>
        <w:sz w:val="18"/>
        <w:szCs w:val="18"/>
      </w:rPr>
    </w:pPr>
    <w:r>
      <w:rPr>
        <w:rFonts w:ascii="Calibri" w:hAnsi="Calibri" w:eastAsia="Calibri" w:cs="Calibri"/>
        <w:sz w:val="18"/>
        <w:szCs w:val="18"/>
        <w:spacing w:val="-3"/>
      </w:rPr>
      <w:t>51</w:t>
    </w:r>
  </w:p>
</w:ftr>
</file>

<file path=word/footer5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49"/>
      <w:spacing w:line="167" w:lineRule="auto"/>
      <w:rPr>
        <w:rFonts w:ascii="Calibri" w:hAnsi="Calibri" w:eastAsia="Calibri" w:cs="Calibri"/>
        <w:sz w:val="18"/>
        <w:szCs w:val="18"/>
      </w:rPr>
    </w:pPr>
    <w:r>
      <w:rPr>
        <w:rFonts w:ascii="Calibri" w:hAnsi="Calibri" w:eastAsia="Calibri" w:cs="Calibri"/>
        <w:sz w:val="18"/>
        <w:szCs w:val="18"/>
        <w:spacing w:val="-3"/>
      </w:rPr>
      <w:t>52</w:t>
    </w:r>
  </w:p>
</w:ftr>
</file>

<file path=word/footer5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48"/>
      <w:spacing w:line="167" w:lineRule="auto"/>
      <w:rPr>
        <w:rFonts w:ascii="Calibri" w:hAnsi="Calibri" w:eastAsia="Calibri" w:cs="Calibri"/>
        <w:sz w:val="18"/>
        <w:szCs w:val="18"/>
      </w:rPr>
    </w:pPr>
    <w:r>
      <w:rPr>
        <w:rFonts w:ascii="Calibri" w:hAnsi="Calibri" w:eastAsia="Calibri" w:cs="Calibri"/>
        <w:sz w:val="18"/>
        <w:szCs w:val="18"/>
        <w:spacing w:val="-3"/>
      </w:rPr>
      <w:t>53</w:t>
    </w:r>
  </w:p>
</w:ftr>
</file>

<file path=word/footer5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50"/>
      <w:spacing w:line="166" w:lineRule="auto"/>
      <w:rPr>
        <w:rFonts w:ascii="Calibri" w:hAnsi="Calibri" w:eastAsia="Calibri" w:cs="Calibri"/>
        <w:sz w:val="18"/>
        <w:szCs w:val="18"/>
      </w:rPr>
    </w:pPr>
    <w:r>
      <w:rPr>
        <w:rFonts w:ascii="Calibri" w:hAnsi="Calibri" w:eastAsia="Calibri" w:cs="Calibri"/>
        <w:sz w:val="18"/>
        <w:szCs w:val="18"/>
        <w:spacing w:val="-3"/>
      </w:rPr>
      <w:t>54</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80"/>
      <w:spacing w:line="167" w:lineRule="auto"/>
      <w:rPr>
        <w:rFonts w:ascii="Calibri" w:hAnsi="Calibri" w:eastAsia="Calibri" w:cs="Calibri"/>
        <w:sz w:val="18"/>
        <w:szCs w:val="18"/>
      </w:rPr>
    </w:pPr>
    <w:r>
      <w:rPr>
        <w:rFonts w:ascii="Calibri" w:hAnsi="Calibri" w:eastAsia="Calibri" w:cs="Calibri"/>
        <w:sz w:val="18"/>
        <w:szCs w:val="18"/>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64"/>
      <w:spacing w:line="165" w:lineRule="auto"/>
      <w:rPr>
        <w:rFonts w:ascii="Calibri" w:hAnsi="Calibri" w:eastAsia="Calibri" w:cs="Calibri"/>
        <w:sz w:val="18"/>
        <w:szCs w:val="18"/>
      </w:rPr>
    </w:pPr>
    <w:r>
      <w:rPr>
        <w:rFonts w:ascii="Calibri" w:hAnsi="Calibri" w:eastAsia="Calibri" w:cs="Calibri"/>
        <w:sz w:val="18"/>
        <w:szCs w:val="18"/>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63"/>
      <w:spacing w:line="167" w:lineRule="auto"/>
      <w:rPr>
        <w:rFonts w:ascii="Calibri" w:hAnsi="Calibri" w:eastAsia="Calibri" w:cs="Calibri"/>
        <w:sz w:val="18"/>
        <w:szCs w:val="18"/>
      </w:rPr>
    </w:pPr>
    <w:r>
      <w:rPr>
        <w:rFonts w:ascii="Calibri" w:hAnsi="Calibri" w:eastAsia="Calibri" w:cs="Calibri"/>
        <w:sz w:val="18"/>
        <w:szCs w:val="18"/>
      </w:rPr>
      <w:t>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72"/>
      <w:spacing w:line="167" w:lineRule="auto"/>
      <w:rPr>
        <w:rFonts w:ascii="Calibri" w:hAnsi="Calibri" w:eastAsia="Calibri" w:cs="Calibri"/>
        <w:sz w:val="18"/>
        <w:szCs w:val="18"/>
      </w:rPr>
    </w:pPr>
    <w:r>
      <w:rPr>
        <w:rFonts w:ascii="Calibri" w:hAnsi="Calibri" w:eastAsia="Calibri" w:cs="Calibri"/>
        <w:sz w:val="18"/>
        <w:szCs w:val="18"/>
      </w:rPr>
      <w:t>9</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Arial" w:hAnsi="Arial" w:eastAsia="Arial" w:cs="Arial"/>
      <w:sz w:val="21"/>
      <w:szCs w:val="21"/>
      <w:lang w:val="en-US" w:eastAsia="en-US" w:bidi="ar-SA"/>
    </w:rPr>
  </w:style>
  <w:style w:type="paragraph" w:styleId="TableText">
    <w:name w:val="Table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49.png"/><Relationship Id="rId98" Type="http://schemas.openxmlformats.org/officeDocument/2006/relationships/image" Target="media/image48.png"/><Relationship Id="rId97" Type="http://schemas.openxmlformats.org/officeDocument/2006/relationships/image" Target="media/image47.png"/><Relationship Id="rId96" Type="http://schemas.openxmlformats.org/officeDocument/2006/relationships/image" Target="media/image46.jpeg"/><Relationship Id="rId95" Type="http://schemas.openxmlformats.org/officeDocument/2006/relationships/footer" Target="footer48.xml"/><Relationship Id="rId94" Type="http://schemas.openxmlformats.org/officeDocument/2006/relationships/image" Target="media/image45.jpeg"/><Relationship Id="rId93" Type="http://schemas.openxmlformats.org/officeDocument/2006/relationships/image" Target="media/image44.jpeg"/><Relationship Id="rId92" Type="http://schemas.openxmlformats.org/officeDocument/2006/relationships/image" Target="media/image43.jpeg"/><Relationship Id="rId91" Type="http://schemas.openxmlformats.org/officeDocument/2006/relationships/image" Target="media/image42.jpeg"/><Relationship Id="rId90" Type="http://schemas.openxmlformats.org/officeDocument/2006/relationships/image" Target="media/image41.png"/><Relationship Id="rId9" Type="http://schemas.openxmlformats.org/officeDocument/2006/relationships/footer" Target="footer6.xml"/><Relationship Id="rId89" Type="http://schemas.openxmlformats.org/officeDocument/2006/relationships/image" Target="media/image40.png"/><Relationship Id="rId88" Type="http://schemas.openxmlformats.org/officeDocument/2006/relationships/image" Target="media/image39.jpeg"/><Relationship Id="rId87" Type="http://schemas.openxmlformats.org/officeDocument/2006/relationships/image" Target="media/image38.png"/><Relationship Id="rId86" Type="http://schemas.openxmlformats.org/officeDocument/2006/relationships/image" Target="media/image37.jpeg"/><Relationship Id="rId85" Type="http://schemas.openxmlformats.org/officeDocument/2006/relationships/image" Target="media/image36.jpeg"/><Relationship Id="rId84" Type="http://schemas.openxmlformats.org/officeDocument/2006/relationships/image" Target="media/image35.png"/><Relationship Id="rId83" Type="http://schemas.openxmlformats.org/officeDocument/2006/relationships/image" Target="media/image34.jpeg"/><Relationship Id="rId82" Type="http://schemas.openxmlformats.org/officeDocument/2006/relationships/image" Target="media/image33.jpeg"/><Relationship Id="rId81" Type="http://schemas.openxmlformats.org/officeDocument/2006/relationships/image" Target="media/image32.jpeg"/><Relationship Id="rId80" Type="http://schemas.openxmlformats.org/officeDocument/2006/relationships/image" Target="media/image31.png"/><Relationship Id="rId8" Type="http://schemas.openxmlformats.org/officeDocument/2006/relationships/hyperlink" Target="http://www.hkexnews.hk/" TargetMode="External"/><Relationship Id="rId79" Type="http://schemas.openxmlformats.org/officeDocument/2006/relationships/image" Target="media/image30.png"/><Relationship Id="rId78" Type="http://schemas.openxmlformats.org/officeDocument/2006/relationships/image" Target="media/image29.png"/><Relationship Id="rId77" Type="http://schemas.openxmlformats.org/officeDocument/2006/relationships/image" Target="media/image28.png"/><Relationship Id="rId76" Type="http://schemas.openxmlformats.org/officeDocument/2006/relationships/image" Target="media/image27.jpeg"/><Relationship Id="rId75" Type="http://schemas.openxmlformats.org/officeDocument/2006/relationships/image" Target="media/image26.jpeg"/><Relationship Id="rId74" Type="http://schemas.openxmlformats.org/officeDocument/2006/relationships/footer" Target="footer47.xml"/><Relationship Id="rId73" Type="http://schemas.openxmlformats.org/officeDocument/2006/relationships/image" Target="media/image25.jpeg"/><Relationship Id="rId72" Type="http://schemas.openxmlformats.org/officeDocument/2006/relationships/image" Target="media/image24.png"/><Relationship Id="rId71" Type="http://schemas.openxmlformats.org/officeDocument/2006/relationships/image" Target="media/image23.jpeg"/><Relationship Id="rId70" Type="http://schemas.openxmlformats.org/officeDocument/2006/relationships/image" Target="media/image22.png"/><Relationship Id="rId7" Type="http://schemas.openxmlformats.org/officeDocument/2006/relationships/hyperlink" Target="http://www.sse.com.cn/" TargetMode="External"/><Relationship Id="rId69" Type="http://schemas.openxmlformats.org/officeDocument/2006/relationships/image" Target="media/image21.jpeg"/><Relationship Id="rId68" Type="http://schemas.openxmlformats.org/officeDocument/2006/relationships/image" Target="media/image20.png"/><Relationship Id="rId67" Type="http://schemas.openxmlformats.org/officeDocument/2006/relationships/image" Target="media/image19.png"/><Relationship Id="rId66" Type="http://schemas.openxmlformats.org/officeDocument/2006/relationships/image" Target="media/image18.png"/><Relationship Id="rId65" Type="http://schemas.openxmlformats.org/officeDocument/2006/relationships/image" Target="media/image17.png"/><Relationship Id="rId64" Type="http://schemas.openxmlformats.org/officeDocument/2006/relationships/image" Target="media/image16.png"/><Relationship Id="rId63" Type="http://schemas.openxmlformats.org/officeDocument/2006/relationships/image" Target="media/image15.png"/><Relationship Id="rId62" Type="http://schemas.openxmlformats.org/officeDocument/2006/relationships/image" Target="media/image14.png"/><Relationship Id="rId61" Type="http://schemas.openxmlformats.org/officeDocument/2006/relationships/image" Target="media/image13.png"/><Relationship Id="rId60" Type="http://schemas.openxmlformats.org/officeDocument/2006/relationships/image" Target="media/image12.png"/><Relationship Id="rId6" Type="http://schemas.openxmlformats.org/officeDocument/2006/relationships/footer" Target="footer5.xml"/><Relationship Id="rId59" Type="http://schemas.openxmlformats.org/officeDocument/2006/relationships/image" Target="media/image11.png"/><Relationship Id="rId58" Type="http://schemas.openxmlformats.org/officeDocument/2006/relationships/footer" Target="footer46.xml"/><Relationship Id="rId57" Type="http://schemas.openxmlformats.org/officeDocument/2006/relationships/image" Target="media/image10.png"/><Relationship Id="rId56" Type="http://schemas.openxmlformats.org/officeDocument/2006/relationships/image" Target="media/image9.png"/><Relationship Id="rId55" Type="http://schemas.openxmlformats.org/officeDocument/2006/relationships/image" Target="media/image8.png"/><Relationship Id="rId54" Type="http://schemas.openxmlformats.org/officeDocument/2006/relationships/image" Target="media/image7.png"/><Relationship Id="rId53" Type="http://schemas.openxmlformats.org/officeDocument/2006/relationships/image" Target="media/image6.png"/><Relationship Id="rId52" Type="http://schemas.openxmlformats.org/officeDocument/2006/relationships/image" Target="media/image5.png"/><Relationship Id="rId51" Type="http://schemas.openxmlformats.org/officeDocument/2006/relationships/image" Target="media/image4.png"/><Relationship Id="rId50" Type="http://schemas.openxmlformats.org/officeDocument/2006/relationships/image" Target="media/image3.jpeg"/><Relationship Id="rId5" Type="http://schemas.openxmlformats.org/officeDocument/2006/relationships/footer" Target="footer4.xml"/><Relationship Id="rId49" Type="http://schemas.openxmlformats.org/officeDocument/2006/relationships/image" Target="media/image2.png"/><Relationship Id="rId48" Type="http://schemas.openxmlformats.org/officeDocument/2006/relationships/footer" Target="footer45.xml"/><Relationship Id="rId47" Type="http://schemas.openxmlformats.org/officeDocument/2006/relationships/footer" Target="footer44.xml"/><Relationship Id="rId46" Type="http://schemas.openxmlformats.org/officeDocument/2006/relationships/footer" Target="footer43.xml"/><Relationship Id="rId45" Type="http://schemas.openxmlformats.org/officeDocument/2006/relationships/footer" Target="footer42.xml"/><Relationship Id="rId44" Type="http://schemas.openxmlformats.org/officeDocument/2006/relationships/footer" Target="footer41.xml"/><Relationship Id="rId43" Type="http://schemas.openxmlformats.org/officeDocument/2006/relationships/footer" Target="footer40.xml"/><Relationship Id="rId42" Type="http://schemas.openxmlformats.org/officeDocument/2006/relationships/footer" Target="footer39.xml"/><Relationship Id="rId41" Type="http://schemas.openxmlformats.org/officeDocument/2006/relationships/footer" Target="footer38.xml"/><Relationship Id="rId40" Type="http://schemas.openxmlformats.org/officeDocument/2006/relationships/footer" Target="footer37.xml"/><Relationship Id="rId4" Type="http://schemas.openxmlformats.org/officeDocument/2006/relationships/footer" Target="footer3.xml"/><Relationship Id="rId39" Type="http://schemas.openxmlformats.org/officeDocument/2006/relationships/footer" Target="footer36.xml"/><Relationship Id="rId38" Type="http://schemas.openxmlformats.org/officeDocument/2006/relationships/footer" Target="footer35.xml"/><Relationship Id="rId37" Type="http://schemas.openxmlformats.org/officeDocument/2006/relationships/footer" Target="footer34.xml"/><Relationship Id="rId36" Type="http://schemas.openxmlformats.org/officeDocument/2006/relationships/footer" Target="footer33.xml"/><Relationship Id="rId35" Type="http://schemas.openxmlformats.org/officeDocument/2006/relationships/footer" Target="footer32.xml"/><Relationship Id="rId34" Type="http://schemas.openxmlformats.org/officeDocument/2006/relationships/footer" Target="footer31.xml"/><Relationship Id="rId33" Type="http://schemas.openxmlformats.org/officeDocument/2006/relationships/footer" Target="footer30.xml"/><Relationship Id="rId32" Type="http://schemas.openxmlformats.org/officeDocument/2006/relationships/footer" Target="footer29.xml"/><Relationship Id="rId31" Type="http://schemas.openxmlformats.org/officeDocument/2006/relationships/footer" Target="footer28.xml"/><Relationship Id="rId30" Type="http://schemas.openxmlformats.org/officeDocument/2006/relationships/footer" Target="footer27.xml"/><Relationship Id="rId3" Type="http://schemas.openxmlformats.org/officeDocument/2006/relationships/footer" Target="footer2.xml"/><Relationship Id="rId29" Type="http://schemas.openxmlformats.org/officeDocument/2006/relationships/footer" Target="footer26.xml"/><Relationship Id="rId28" Type="http://schemas.openxmlformats.org/officeDocument/2006/relationships/footer" Target="footer25.xml"/><Relationship Id="rId27" Type="http://schemas.openxmlformats.org/officeDocument/2006/relationships/footer" Target="footer24.xml"/><Relationship Id="rId26" Type="http://schemas.openxmlformats.org/officeDocument/2006/relationships/footer" Target="footer23.xml"/><Relationship Id="rId25" Type="http://schemas.openxmlformats.org/officeDocument/2006/relationships/footer" Target="footer22.xml"/><Relationship Id="rId24" Type="http://schemas.openxmlformats.org/officeDocument/2006/relationships/footer" Target="footer21.xml"/><Relationship Id="rId23" Type="http://schemas.openxmlformats.org/officeDocument/2006/relationships/footer" Target="footer20.xml"/><Relationship Id="rId22" Type="http://schemas.openxmlformats.org/officeDocument/2006/relationships/footer" Target="footer19.xml"/><Relationship Id="rId21" Type="http://schemas.openxmlformats.org/officeDocument/2006/relationships/footer" Target="footer18.xml"/><Relationship Id="rId20" Type="http://schemas.openxmlformats.org/officeDocument/2006/relationships/footer" Target="footer17.xml"/><Relationship Id="rId2" Type="http://schemas.openxmlformats.org/officeDocument/2006/relationships/image" Target="media/image1.jpeg"/><Relationship Id="rId19" Type="http://schemas.openxmlformats.org/officeDocument/2006/relationships/footer" Target="footer16.xml"/><Relationship Id="rId18" Type="http://schemas.openxmlformats.org/officeDocument/2006/relationships/footer" Target="footer15.xml"/><Relationship Id="rId17" Type="http://schemas.openxmlformats.org/officeDocument/2006/relationships/footer" Target="footer14.xml"/><Relationship Id="rId16" Type="http://schemas.openxmlformats.org/officeDocument/2006/relationships/footer" Target="footer13.xml"/><Relationship Id="rId15" Type="http://schemas.openxmlformats.org/officeDocument/2006/relationships/footer" Target="footer12.xml"/><Relationship Id="rId14" Type="http://schemas.openxmlformats.org/officeDocument/2006/relationships/footer" Target="footer11.xml"/><Relationship Id="rId13" Type="http://schemas.openxmlformats.org/officeDocument/2006/relationships/footer" Target="footer10.xml"/><Relationship Id="rId12" Type="http://schemas.openxmlformats.org/officeDocument/2006/relationships/footer" Target="footer9.xml"/><Relationship Id="rId116" Type="http://schemas.openxmlformats.org/officeDocument/2006/relationships/fontTable" Target="fontTable.xml"/><Relationship Id="rId115" Type="http://schemas.openxmlformats.org/officeDocument/2006/relationships/styles" Target="styles.xml"/><Relationship Id="rId114" Type="http://schemas.openxmlformats.org/officeDocument/2006/relationships/settings" Target="settings.xml"/><Relationship Id="rId113" Type="http://schemas.openxmlformats.org/officeDocument/2006/relationships/footer" Target="footer54.xml"/><Relationship Id="rId112" Type="http://schemas.openxmlformats.org/officeDocument/2006/relationships/footer" Target="footer53.xml"/><Relationship Id="rId111" Type="http://schemas.openxmlformats.org/officeDocument/2006/relationships/footer" Target="footer52.xml"/><Relationship Id="rId110" Type="http://schemas.openxmlformats.org/officeDocument/2006/relationships/footer" Target="footer51.xml"/><Relationship Id="rId11" Type="http://schemas.openxmlformats.org/officeDocument/2006/relationships/footer" Target="footer8.xml"/><Relationship Id="rId109" Type="http://schemas.openxmlformats.org/officeDocument/2006/relationships/image" Target="media/image57.png"/><Relationship Id="rId108" Type="http://schemas.openxmlformats.org/officeDocument/2006/relationships/image" Target="media/image56.png"/><Relationship Id="rId107" Type="http://schemas.openxmlformats.org/officeDocument/2006/relationships/footer" Target="footer50.xml"/><Relationship Id="rId106" Type="http://schemas.openxmlformats.org/officeDocument/2006/relationships/image" Target="media/image55.png"/><Relationship Id="rId105" Type="http://schemas.openxmlformats.org/officeDocument/2006/relationships/image" Target="media/image54.png"/><Relationship Id="rId104" Type="http://schemas.openxmlformats.org/officeDocument/2006/relationships/footer" Target="footer49.xml"/><Relationship Id="rId103" Type="http://schemas.openxmlformats.org/officeDocument/2006/relationships/image" Target="media/image53.png"/><Relationship Id="rId102" Type="http://schemas.openxmlformats.org/officeDocument/2006/relationships/image" Target="media/image52.png"/><Relationship Id="rId101" Type="http://schemas.openxmlformats.org/officeDocument/2006/relationships/image" Target="media/image51.png"/><Relationship Id="rId100" Type="http://schemas.openxmlformats.org/officeDocument/2006/relationships/image" Target="media/image50.png"/><Relationship Id="rId10" Type="http://schemas.openxmlformats.org/officeDocument/2006/relationships/footer" Target="footer7.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Microsoft® Office Word 2007</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BOC</dc:creator>
  <dcterms:created xsi:type="dcterms:W3CDTF">2023-07-10T16:27:46Z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2023-07-10T17:15:45</vt:filetime>
  </property>
</Properties>
</file>