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w:t>
      </w:r>
      <w:r>
        <w:t xml:space="preserve"> </w:t>
      </w:r>
      <w:r>
        <w:t xml:space="preserve">averaging</w:t>
      </w:r>
      <w:r>
        <w:t xml:space="preserve"> </w:t>
      </w:r>
      <w:r>
        <w:t xml:space="preserve">statistical</w:t>
      </w:r>
      <w:r>
        <w:t xml:space="preserve"> </w:t>
      </w:r>
      <w:r>
        <w:t xml:space="preserve">distributions</w:t>
      </w:r>
      <w:r>
        <w:t xml:space="preserve"> </w:t>
      </w:r>
      <w:r>
        <w:t xml:space="preserve">and</w:t>
      </w:r>
      <w:r>
        <w:t xml:space="preserve"> </w:t>
      </w:r>
      <w:r>
        <w:t xml:space="preserve">the</w:t>
      </w:r>
      <w:r>
        <w:t xml:space="preserve"> </w:t>
      </w:r>
      <w:r>
        <w:t xml:space="preserve">inversion</w:t>
      </w:r>
      <w:r>
        <w:t xml:space="preserve"> </w:t>
      </w:r>
      <w:r>
        <w:t xml:space="preserve">principle</w:t>
      </w:r>
    </w:p>
    <w:p>
      <w:pPr>
        <w:pStyle w:val="Author"/>
      </w:pPr>
      <w:r>
        <w:t xml:space="preserve">David Fox</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Rebecca Fisher</w:t>
      </w:r>
      <w:r>
        <w:rPr>
          <w:vertAlign w:val="superscript"/>
        </w:rPr>
        <w:t xml:space="preserve">3</w:t>
      </w:r>
      <w:r>
        <w:rPr>
          <w:vertAlign w:val="superscript"/>
        </w:rPr>
        <w:t xml:space="preserve">,</w:t>
      </w:r>
      <w:r>
        <w:rPr>
          <w:vertAlign w:val="superscript"/>
        </w:rPr>
        <w:t xml:space="preserve">5</w:t>
      </w:r>
      <w:r>
        <w:t xml:space="preserve">,</w:t>
      </w:r>
      <w:r>
        <w:t xml:space="preserve"> </w:t>
      </w:r>
      <w:r>
        <w:t xml:space="preserve">and</w:t>
      </w:r>
      <w:r>
        <w:t xml:space="preserve"> </w:t>
      </w:r>
      <w:r>
        <w:t xml:space="preserve">Joe Thorley</w:t>
      </w:r>
    </w:p>
    <w:p>
      <w:pPr>
        <w:pStyle w:val="Date"/>
      </w:pPr>
      <w:r>
        <w:t xml:space="preserve">June</w:t>
      </w:r>
      <w:r>
        <w:t xml:space="preserve"> </w:t>
      </w:r>
      <w:r>
        <w:t xml:space="preserve">10,</w:t>
      </w:r>
      <w:r>
        <w:t xml:space="preserve"> </w:t>
      </w:r>
      <w:r>
        <w:t xml:space="preserve">2025</w:t>
      </w:r>
    </w:p>
    <w:p>
      <w:pPr>
        <w:pStyle w:val="AbstractTitle"/>
      </w:pPr>
      <w:r>
        <w:t xml:space="preserve">Abstract</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The University of Melbourne, Australia</w:t>
      </w:r>
      <w:r>
        <w:br/>
      </w:r>
      <w:r>
        <w:rPr>
          <w:vertAlign w:val="superscript"/>
        </w:rPr>
        <w:t xml:space="preserve">2</w:t>
      </w:r>
      <w:r>
        <w:t xml:space="preserve"> </w:t>
      </w:r>
      <w:r>
        <w:t xml:space="preserve">Environmetrics Australia, Australia</w:t>
      </w:r>
      <w:r>
        <w:br/>
      </w:r>
      <w:r>
        <w:rPr>
          <w:vertAlign w:val="superscript"/>
        </w:rPr>
        <w:t xml:space="preserve">3</w:t>
      </w:r>
      <w:r>
        <w:t xml:space="preserve"> </w:t>
      </w:r>
      <w:r>
        <w:t xml:space="preserve">Australian Institute of Marine Science, Australia</w:t>
      </w:r>
      <w:r>
        <w:br/>
      </w:r>
      <w:r>
        <w:rPr>
          <w:vertAlign w:val="superscript"/>
        </w:rPr>
        <w:t xml:space="preserve">4</w:t>
      </w:r>
      <w:r>
        <w:t xml:space="preserve"> </w:t>
      </w:r>
      <w:r>
        <w:t xml:space="preserve">Oceans Institute, The University of Western Australia, Australia</w:t>
      </w:r>
      <w:r>
        <w:br/>
      </w:r>
      <w:r>
        <w:rPr>
          <w:vertAlign w:val="superscript"/>
        </w:rPr>
        <w:t xml:space="preserve">5</w:t>
      </w:r>
      <w:r>
        <w:t xml:space="preserve"> </w:t>
      </w:r>
      <w:r>
        <w:t xml:space="preserve">iormc</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David Fox &lt;david.fox@environmetrics.net.au&gt;</w:t>
        </w:r>
      </w:hyperlink>
    </w:p>
    <w:p>
      <w:pPr>
        <w:pStyle w:val="BodyText"/>
      </w:pPr>
      <w:r>
        <w:t xml:space="preserve">Keywords: model averaging; AICc weights; statistical distribution</w:t>
      </w:r>
    </w:p>
    <w:p>
      <w:pPr>
        <w:pStyle w:val="BodyText"/>
      </w:pPr>
      <w:r>
        <w:t xml:space="preserve">Highlights: This paper descibes how typical arithmetic averaging of statistical distributions fails to satisfy the inversion princple and provides an alternative method for obtaining model averaged values from the extremes of statistical distributions.</w:t>
      </w:r>
    </w:p>
    <w:bookmarkStart w:id="24" w:name="introduction"/>
    <w:p>
      <w:pPr>
        <w:pStyle w:val="Heading1"/>
      </w:pPr>
      <w:r>
        <w:t xml:space="preserve">Introduction</w:t>
      </w:r>
    </w:p>
    <w:p>
      <w:pPr>
        <w:pStyle w:val="FirstParagraph"/>
      </w:pPr>
      <w:r>
        <w:t xml:space="preserve">Statistical distributions are widely used across all fields of science to provide probabilistic estimates that are critical for scientific inference, and more importantly in a range of decision science frameworks.</w:t>
      </w:r>
      <w:r>
        <w:t xml:space="preserve"> </w:t>
      </w:r>
      <w:r>
        <w:t xml:space="preserve">For example, the species sensitivity distribution (SSD) is used in the Australian</w:t>
      </w:r>
      <w:r>
        <w:t xml:space="preserve"> </w:t>
      </w:r>
      <w:r>
        <w:t xml:space="preserve">(Warne et al., 2018)</w:t>
      </w:r>
      <w:r>
        <w:t xml:space="preserve"> </w:t>
      </w:r>
      <w:r>
        <w:t xml:space="preserve">and Canadian water quality frameworks to determine concentrations that are protection of most species within an ecosystem.</w:t>
      </w:r>
      <w:r>
        <w:t xml:space="preserve"> </w:t>
      </w:r>
      <w:r>
        <w:t xml:space="preserve">In this case regulators are typically interested in the lower tails of the statistical distribution, such as the 1th, 5th and 10th percentile, which would represent concentrations protective of 99, 95 and 90% of the ecosystem.</w:t>
      </w:r>
      <w:r>
        <w:t xml:space="preserve"> </w:t>
      </w:r>
      <w:r>
        <w:t xml:space="preserve">Another example is in maximum streamflow estimations sometimes used in risk management of hydraulic structures, which may be more interested in the extreme upper tails of a statistical distribution, that represent rare events, such a 1 in 100 year, 1 in 200 year, or 1 in 500 year frequency</w:t>
      </w:r>
      <w:r>
        <w:t xml:space="preserve"> </w:t>
      </w:r>
      <w:r>
        <w:t xml:space="preserve">(Bento et al., 2023)</w:t>
      </w:r>
      <w:r>
        <w:t xml:space="preserve">.</w:t>
      </w:r>
    </w:p>
    <w:p>
      <w:pPr>
        <w:pStyle w:val="BodyText"/>
      </w:pPr>
      <w:r>
        <w:t xml:space="preserve">In many situations, the appropriate statistical distribution to use is not clear, and there is no theoretically correct distribution.</w:t>
      </w:r>
      <w:r>
        <w:t xml:space="preserve"> </w:t>
      </w:r>
      <w:r>
        <w:t xml:space="preserve">Uncertainty in the appropriate theoretical distribution has lead to an increasing popularity in the use of model averaging</w:t>
      </w:r>
      <w:r>
        <w:t xml:space="preserve"> </w:t>
      </w:r>
      <w:r>
        <w:t xml:space="preserve">(Burnham and Anderson, 2002)</w:t>
      </w:r>
      <w:r>
        <w:t xml:space="preserve">.</w:t>
      </w:r>
      <w:r>
        <w:t xml:space="preserve"> </w:t>
      </w:r>
      <w:r>
        <w:t xml:space="preserve">Typically, model averaging is carried out by calculating an arithmetic average of the value of interest, usually weighted according to the relative AICc weights of input distributions</w:t>
      </w:r>
      <w:r>
        <w:t xml:space="preserve"> </w:t>
      </w:r>
      <w:r>
        <w:t xml:space="preserve">Thorley and Schwarz (2018)</w:t>
      </w:r>
      <w:r>
        <w:t xml:space="preserve">.</w:t>
      </w:r>
    </w:p>
    <w:p>
      <w:pPr>
        <w:pStyle w:val="BodyText"/>
      </w:pPr>
      <w:r>
        <w:t xml:space="preserve">The weighted arithmetic mean is conventionally used for averaging model parameters or estimates</w:t>
      </w:r>
      <w:r>
        <w:t xml:space="preserve"> </w:t>
      </w:r>
      <w:r>
        <w:t xml:space="preserve">(Burnham and Anderson, 2002)</w:t>
      </w:r>
      <w:r>
        <w:t xml:space="preserve">.</w:t>
      </w:r>
      <w:r>
        <w:t xml:space="preserve"> </w:t>
      </w:r>
      <w:r>
        <w:t xml:space="preserve">However, in the case of</w:t>
      </w:r>
      <w:r>
        <w:t xml:space="preserve"> </w:t>
      </w:r>
      <m:oMath>
        <m:sSub>
          <m:e>
            <m:r>
              <m:rPr>
                <m:nor/>
                <m:sty m:val="p"/>
              </m:rPr>
              <m:t>HC</m:t>
            </m:r>
          </m:e>
          <m:sub>
            <m:r>
              <m:t>x</m:t>
            </m:r>
          </m:sub>
        </m:sSub>
      </m:oMath>
      <w:r>
        <w:t xml:space="preserve"> </w:t>
      </w:r>
      <w:r>
        <w:t xml:space="preserve">and</w:t>
      </w:r>
      <w:r>
        <w:t xml:space="preserve"> </w:t>
      </w:r>
      <m:oMath>
        <m:sSub>
          <m:e>
            <m:r>
              <m:rPr>
                <m:nor/>
                <m:sty m:val="p"/>
              </m:rPr>
              <m:t>HP</m:t>
            </m:r>
          </m:e>
          <m:sub>
            <m:r>
              <m:t>u</m:t>
            </m:r>
          </m:sub>
        </m:sSub>
      </m:oMath>
      <w:r>
        <w:t xml:space="preserve"> </w:t>
      </w:r>
      <w:r>
        <w:t xml:space="preserve">values, the estimator</w:t>
      </w:r>
      <w:r>
        <w:t xml:space="preserve"> </w:t>
      </w:r>
      <m:oMath>
        <m:sSub>
          <m:e>
            <m:acc>
              <m:accPr>
                <m:chr m:val="̃"/>
              </m:accPr>
              <m:e>
                <m:r>
                  <m:rPr>
                    <m:nor/>
                    <m:sty m:val="p"/>
                  </m:rPr>
                  <m:t>HC</m:t>
                </m:r>
              </m:e>
            </m:acc>
          </m:e>
          <m:sub>
            <m:r>
              <m:t>x</m:t>
            </m:r>
          </m:sub>
        </m:sSub>
      </m:oMath>
      <w:r>
        <w:t xml:space="preserve"> </w:t>
      </w:r>
      <w:r>
        <w:t xml:space="preserve">fails to satisfy the</w:t>
      </w:r>
      <w:r>
        <w:t xml:space="preserve"> </w:t>
      </w:r>
      <w:r>
        <w:rPr>
          <w:iCs/>
          <w:i/>
        </w:rPr>
        <w:t xml:space="preserve">inversion principle</w:t>
      </w:r>
      <w:r>
        <w:t xml:space="preserve"> </w:t>
      </w:r>
      <w:r>
        <w:t xml:space="preserve">(Fox et al., 2024)</w:t>
      </w:r>
      <w:r>
        <w:t xml:space="preserve"> </w:t>
      </w:r>
      <w:r>
        <w:t xml:space="preserve">which requires</w:t>
      </w:r>
    </w:p>
    <w:p>
      <w:pPr>
        <w:pStyle w:val="BodyText"/>
      </w:pPr>
      <w:bookmarkStart w:id="21" w:name="eq-inv-princ"/>
      <m:oMathPara>
        <m:oMathParaPr>
          <m:jc m:val="center"/>
        </m:oMathParaPr>
        <m:oMath>
          <m:sSub>
            <m:e>
              <m:d>
                <m:dPr>
                  <m:begChr m:val="["/>
                  <m:endChr m:val="]"/>
                  <m:sepChr m:val=""/>
                  <m:grow/>
                </m:dPr>
                <m:e>
                  <m:sSub>
                    <m:e>
                      <m:r>
                        <m:rPr>
                          <m:nor/>
                          <m:sty m:val="p"/>
                        </m:rPr>
                        <m:t>HP</m:t>
                      </m:r>
                    </m:e>
                    <m:sub>
                      <m:r>
                        <m:t>u</m:t>
                      </m:r>
                    </m:sub>
                  </m:sSub>
                </m:e>
              </m:d>
            </m:e>
            <m:sub>
              <m:r>
                <m:t>u</m:t>
              </m:r>
              <m:r>
                <m:rPr>
                  <m:sty m:val="p"/>
                </m:rPr>
                <m:t>=</m:t>
              </m:r>
              <m:sSub>
                <m:e>
                  <m:r>
                    <m:rPr>
                      <m:nor/>
                      <m:sty m:val="p"/>
                    </m:rPr>
                    <m:t>HC</m:t>
                  </m:r>
                </m:e>
                <m:sub>
                  <m:r>
                    <m:t>θ</m:t>
                  </m:r>
                </m:sub>
              </m:sSub>
            </m:sub>
          </m:sSub>
          <m:r>
            <m:rPr>
              <m:sty m:val="p"/>
            </m:rPr>
            <m:t>=</m:t>
          </m:r>
          <m:r>
            <m:t>θ</m:t>
          </m:r>
          <m:r>
            <m:t>  </m:t>
          </m:r>
          <m:d>
            <m:dPr>
              <m:begChr m:val="("/>
              <m:endChr m:val=")"/>
              <m:sepChr m:val=""/>
              <m:grow/>
            </m:dPr>
            <m:e>
              <m:r>
                <m:t>1</m:t>
              </m:r>
            </m:e>
          </m:d>
        </m:oMath>
      </m:oMathPara>
      <w:bookmarkEnd w:id="21"/>
    </w:p>
    <w:p>
      <w:pPr>
        <w:pStyle w:val="FirstParagraph"/>
      </w:pPr>
      <w:r>
        <w:t xml:space="preserve">This inconsistency has been rectified in</w:t>
      </w:r>
      <w:r>
        <w:t xml:space="preserve"> </w:t>
      </w:r>
      <w:r>
        <w:rPr>
          <w:rStyle w:val="VerbatimChar"/>
        </w:rPr>
        <w:t xml:space="preserve">ssdtools</w:t>
      </w:r>
      <w:r>
        <w:t xml:space="preserve"> </w:t>
      </w:r>
      <w:r>
        <w:t xml:space="preserve">v2</w:t>
      </w:r>
      <w:r>
        <w:t xml:space="preserve"> </w:t>
      </w:r>
      <w:r>
        <w:t xml:space="preserve">(Thorley et al., 2025)</w:t>
      </w:r>
      <w:r>
        <w:t xml:space="preserve"> </w:t>
      </w:r>
      <w:r>
        <w:t xml:space="preserve">by estimating the model-averaged</w:t>
      </w:r>
      <w:r>
        <w:t xml:space="preserve"> </w:t>
      </w:r>
      <m:oMath>
        <m:sSub>
          <m:e>
            <m:r>
              <m:rPr>
                <m:nor/>
                <m:sty m:val="p"/>
              </m:rPr>
              <m:t>HC</m:t>
            </m:r>
          </m:e>
          <m:sub>
            <m:r>
              <m:t>x</m:t>
            </m:r>
          </m:sub>
        </m:sSub>
      </m:oMath>
      <w:r>
        <w:t xml:space="preserve"> </w:t>
      </w:r>
      <w:r>
        <w:t xml:space="preserve">(denoted</w:t>
      </w:r>
      <w:r>
        <w:t xml:space="preserve"> </w:t>
      </w:r>
      <m:oMath>
        <m:sSub>
          <m:e>
            <m:acc>
              <m:accPr>
                <m:chr m:val="̂"/>
              </m:accPr>
              <m:e>
                <m:r>
                  <m:rPr>
                    <m:nor/>
                    <m:sty m:val="p"/>
                  </m:rPr>
                  <m:t>HC</m:t>
                </m:r>
              </m:e>
            </m:acc>
          </m:e>
          <m:sub>
            <m:r>
              <m:t>x</m:t>
            </m:r>
          </m:sub>
        </m:sSub>
      </m:oMath>
      <w:r>
        <w:t xml:space="preserve">) directly from the model-averaged cumulative distribution function (</w:t>
      </w:r>
      <w:r>
        <w:rPr>
          <w:iCs/>
          <w:i/>
        </w:rPr>
        <w:t xml:space="preserve">cdf</w:t>
      </w:r>
      <w:r>
        <w:t xml:space="preserve">)</w:t>
      </w:r>
    </w:p>
    <w:p>
      <w:pPr>
        <w:pStyle w:val="BodyText"/>
      </w:pPr>
      <w:bookmarkStart w:id="22" w:name="eq-ma-cdf"/>
      <m:oMathPara>
        <m:oMathParaPr>
          <m:jc m:val="center"/>
        </m:oMathParaPr>
        <m:oMath>
          <m:r>
            <m:t>G</m:t>
          </m:r>
          <m:d>
            <m:dPr>
              <m:begChr m:val="("/>
              <m:endChr m:val=")"/>
              <m:sepChr m:val=""/>
              <m:grow/>
            </m:dPr>
            <m:e>
              <m:r>
                <m:t>u</m:t>
              </m:r>
            </m:e>
          </m:d>
          <m:r>
            <m:rPr>
              <m:sty m:val="p"/>
            </m:rPr>
            <m:t>=</m:t>
          </m:r>
          <m:nary>
            <m:naryPr>
              <m:chr m:val="∑"/>
              <m:limLoc m:val="undOvr"/>
              <m:subHide m:val="off"/>
              <m:supHide m:val="off"/>
            </m:naryPr>
            <m:sub>
              <m:r>
                <m:t>i</m:t>
              </m:r>
              <m:r>
                <m:rPr>
                  <m:sty m:val="p"/>
                </m:rPr>
                <m:t>=</m:t>
              </m:r>
              <m:r>
                <m:t>1</m:t>
              </m:r>
            </m:sub>
            <m:sup>
              <m:r>
                <m:t>m</m:t>
              </m:r>
            </m:sup>
            <m:e>
              <m:sSub>
                <m:e>
                  <m:r>
                    <m:t>w</m:t>
                  </m:r>
                </m:e>
                <m:sub>
                  <m:r>
                    <m:t>i</m:t>
                  </m:r>
                </m:sub>
              </m:sSub>
            </m:e>
          </m:nary>
          <m:sSub>
            <m:e>
              <m:r>
                <m:t>F</m:t>
              </m:r>
            </m:e>
            <m:sub>
              <m:r>
                <m:t>i</m:t>
              </m:r>
            </m:sub>
          </m:sSub>
          <m:d>
            <m:dPr>
              <m:begChr m:val="("/>
              <m:endChr m:val=")"/>
              <m:sepChr m:val=""/>
              <m:grow/>
            </m:dPr>
            <m:e>
              <m:r>
                <m:t>u</m:t>
              </m:r>
            </m:e>
          </m:d>
          <m:r>
            <m:t>  </m:t>
          </m:r>
          <m:d>
            <m:dPr>
              <m:begChr m:val="("/>
              <m:endChr m:val=")"/>
              <m:sepChr m:val=""/>
              <m:grow/>
            </m:dPr>
            <m:e>
              <m:r>
                <m:t>2</m:t>
              </m:r>
            </m:e>
          </m:d>
        </m:oMath>
      </m:oMathPara>
      <w:bookmarkEnd w:id="22"/>
    </w:p>
    <w:p>
      <w:pPr>
        <w:pStyle w:val="FirstParagraph"/>
      </w:pPr>
      <w:r>
        <w:t xml:space="preserve">where</w:t>
      </w:r>
      <w:r>
        <w:t xml:space="preserve"> </w:t>
      </w:r>
      <m:oMath>
        <m:sSub>
          <m:e>
            <m:r>
              <m:t>F</m:t>
            </m:r>
          </m:e>
          <m:sub>
            <m:r>
              <m:t>i</m:t>
            </m:r>
          </m:sub>
        </m:sSub>
        <m:d>
          <m:dPr>
            <m:begChr m:val="("/>
            <m:endChr m:val=")"/>
            <m:sepChr m:val=""/>
            <m:grow/>
          </m:dPr>
          <m:e>
            <m:r>
              <m:rPr>
                <m:sty m:val="p"/>
              </m:rPr>
              <m:t>⋅</m:t>
            </m:r>
          </m:e>
        </m:d>
      </m:oMath>
      <w:r>
        <w:t xml:space="preserve"> </w:t>
      </w:r>
      <w:r>
        <w:t xml:space="preserve">is the</w:t>
      </w:r>
      <w:r>
        <w:t xml:space="preserve"> </w:t>
      </w:r>
      <w:r>
        <w:rPr>
          <w:iCs/>
          <w:i/>
        </w:rPr>
        <w:t xml:space="preserve">cdf</w:t>
      </w:r>
      <w:r>
        <w:t xml:space="preserve"> </w:t>
      </w:r>
      <w:r>
        <w:t xml:space="preserve">for the the</w:t>
      </w:r>
      <w:r>
        <w:t xml:space="preserve"> </w:t>
      </w:r>
      <w:r>
        <w:rPr>
          <w:iCs/>
          <w:i/>
        </w:rPr>
        <w:t xml:space="preserve">i</w:t>
      </w:r>
      <w:r>
        <w:rPr>
          <w:vertAlign w:val="superscript"/>
          <w:iCs/>
          <w:i/>
        </w:rPr>
        <w:t xml:space="preserve">th</w:t>
      </w:r>
      <w:r>
        <w:t xml:space="preserve"> </w:t>
      </w:r>
      <w:r>
        <w:t xml:space="preserve">model and</w:t>
      </w:r>
      <w:r>
        <w:t xml:space="preserve"> </w:t>
      </w:r>
      <m:oMath>
        <m:sSub>
          <m:e>
            <m:r>
              <m:t>w</m:t>
            </m:r>
          </m:e>
          <m:sub>
            <m:r>
              <m:t>i</m:t>
            </m:r>
          </m:sub>
        </m:sSub>
      </m:oMath>
      <w:r>
        <w:t xml:space="preserve"> </w:t>
      </w:r>
      <w:r>
        <w:t xml:space="preserve">is the model weight as before.</w:t>
      </w:r>
      <w:r>
        <w:t xml:space="preserve"> </w:t>
      </w:r>
      <m:oMath>
        <m:sSub>
          <m:e>
            <m:acc>
              <m:accPr>
                <m:chr m:val="̂"/>
              </m:accPr>
              <m:e>
                <m:r>
                  <m:rPr>
                    <m:nor/>
                    <m:sty m:val="p"/>
                  </m:rPr>
                  <m:t>HC</m:t>
                </m:r>
              </m:e>
            </m:acc>
          </m:e>
          <m:sub>
            <m:r>
              <m:t>x</m:t>
            </m:r>
          </m:sub>
        </m:sSub>
      </m:oMath>
      <w:r>
        <w:t xml:space="preserve"> </w:t>
      </w:r>
      <w:r>
        <w:t xml:space="preserve">is then obtained as the solution to</w:t>
      </w:r>
    </w:p>
    <w:p>
      <w:pPr>
        <w:pStyle w:val="BodyText"/>
      </w:pPr>
      <w:bookmarkStart w:id="23" w:name="eq-ma-est"/>
      <m:oMathPara>
        <m:oMathParaPr>
          <m:jc m:val="center"/>
        </m:oMathParaPr>
        <m:oMath>
          <m:r>
            <m:t>u</m:t>
          </m:r>
          <m:r>
            <m:rPr>
              <m:sty m:val="p"/>
            </m:rPr>
            <m:t>:</m:t>
          </m:r>
          <m:r>
            <m:t>G</m:t>
          </m:r>
          <m:d>
            <m:dPr>
              <m:begChr m:val="("/>
              <m:endChr m:val=")"/>
              <m:sepChr m:val=""/>
              <m:grow/>
            </m:dPr>
            <m:e>
              <m:r>
                <m:t>u</m:t>
              </m:r>
            </m:e>
          </m:d>
          <m:r>
            <m:rPr>
              <m:sty m:val="p"/>
            </m:rPr>
            <m:t>=</m:t>
          </m:r>
          <m:r>
            <m:t>x</m:t>
          </m:r>
          <m:r>
            <m:t>  </m:t>
          </m:r>
          <m:d>
            <m:dPr>
              <m:begChr m:val="("/>
              <m:endChr m:val=")"/>
              <m:sepChr m:val=""/>
              <m:grow/>
            </m:dPr>
            <m:e>
              <m:r>
                <m:t>3</m:t>
              </m:r>
            </m:e>
          </m:d>
        </m:oMath>
      </m:oMathPara>
      <w:bookmarkEnd w:id="23"/>
    </w:p>
    <w:p>
      <w:pPr>
        <w:pStyle w:val="FirstParagraph"/>
      </w:pPr>
      <w:r>
        <w:t xml:space="preserve">or, equivalently</w:t>
      </w:r>
    </w:p>
    <w:p>
      <w:pPr>
        <w:pStyle w:val="BodyText"/>
      </w:pPr>
      <m:oMathPara>
        <m:oMathParaPr>
          <m:jc m:val="center"/>
        </m:oMathParaPr>
        <m:oMath>
          <m:r>
            <m:t>u</m:t>
          </m:r>
          <m:r>
            <m:rPr>
              <m:sty m:val="p"/>
            </m:rPr>
            <m:t>:</m:t>
          </m:r>
          <m:r>
            <m:t>G</m:t>
          </m:r>
          <m:d>
            <m:dPr>
              <m:begChr m:val="("/>
              <m:endChr m:val=")"/>
              <m:sepChr m:val=""/>
              <m:grow/>
            </m:dPr>
            <m:e>
              <m:r>
                <m:t>u</m:t>
              </m:r>
            </m:e>
          </m:d>
          <m:r>
            <m:rPr>
              <m:sty m:val="p"/>
            </m:rPr>
            <m:t>−</m:t>
          </m:r>
          <m:r>
            <m:t>x</m:t>
          </m:r>
          <m:r>
            <m:rPr>
              <m:sty m:val="p"/>
            </m:rPr>
            <m:t>=</m:t>
          </m:r>
          <m:r>
            <m:t>0</m:t>
          </m:r>
        </m:oMath>
      </m:oMathPara>
    </w:p>
    <w:p>
      <w:pPr>
        <w:pStyle w:val="FirstParagraph"/>
      </w:pPr>
      <w:r>
        <w:t xml:space="preserve">for the proportion affected</w:t>
      </w:r>
      <w:r>
        <w:t xml:space="preserve"> </w:t>
      </w:r>
      <m:oMath>
        <m:r>
          <m:t>x</m:t>
        </m:r>
      </m:oMath>
      <w:r>
        <w:t xml:space="preserve">.</w:t>
      </w:r>
    </w:p>
    <w:p>
      <w:pPr>
        <w:pStyle w:val="BodyText"/>
      </w:pPr>
      <w:r>
        <w:t xml:space="preserve">Here we demonstrate the potential error that may be introduced by the failure of arithmetic model averaging to satisfy the inversion principle, and make a call for the scientific community to lean on the technological advances that ensure model averaging of extreme estimates from statistical distributions is done correctly.</w:t>
      </w:r>
    </w:p>
    <w:bookmarkEnd w:id="24"/>
    <w:bookmarkStart w:id="27" w:name="methods"/>
    <w:p>
      <w:pPr>
        <w:pStyle w:val="Heading1"/>
      </w:pPr>
      <w:r>
        <w:t xml:space="preserve">Methods</w:t>
      </w:r>
    </w:p>
    <w:bookmarkStart w:id="25" w:name="X043a84b191c4db2e823fa622946cc939693d093"/>
    <w:p>
      <w:pPr>
        <w:pStyle w:val="Heading2"/>
      </w:pPr>
      <w:r>
        <w:t xml:space="preserve">Case study 1 - Species sensitivity distribution (SSD) modelling</w:t>
      </w:r>
    </w:p>
    <w:p>
      <w:pPr>
        <w:pStyle w:val="FirstParagraph"/>
      </w:pPr>
      <w:r>
        <w:t xml:space="preserve">We used the example datasets in the ssddata package in R (Fisher &amp; Thorley 2021) to examine the range of differences in estimated model averaged HCx values when calculated using a weighted arithmetic mean (default method for ssdtools versions 0 and 1) relative to the values obtained by estimating the model-averaged HC directly from the model-averaged cumulative distribution function (see equation</w:t>
      </w:r>
      <w:r>
        <w:t xml:space="preserve"> </w:t>
      </w:r>
      <w:hyperlink w:anchor="eq-inv-princ">
        <w:r>
          <w:rPr>
            <w:rStyle w:val="Hyperlink"/>
          </w:rPr>
          <w:t xml:space="preserve">Equation 1</w:t>
        </w:r>
      </w:hyperlink>
      <w:r>
        <w:t xml:space="preserve"> </w:t>
      </w:r>
      <w:r>
        <w:t xml:space="preserve">above).</w:t>
      </w:r>
    </w:p>
    <w:p>
      <w:pPr>
        <w:pStyle w:val="BodyText"/>
      </w:pPr>
      <w:r>
        <w:t xml:space="preserve">To run the case studies, data were first extracted from ssddata</w:t>
      </w:r>
      <w:r>
        <w:t xml:space="preserve"> </w:t>
      </w:r>
      <w:r>
        <w:t xml:space="preserve">(Fisher and Thorley, 2021)</w:t>
      </w:r>
      <w:r>
        <w:t xml:space="preserve"> </w:t>
      </w:r>
      <w:r>
        <w:t xml:space="preserve">using the function get_ssddata.</w:t>
      </w:r>
      <w:r>
        <w:t xml:space="preserve"> </w:t>
      </w:r>
      <w:r>
        <w:t xml:space="preserve">These were then fit using ssdtools version 2.0</w:t>
      </w:r>
      <w:r>
        <w:t xml:space="preserve"> </w:t>
      </w:r>
      <w:r>
        <w:t xml:space="preserve">(Thorley et al., 2025)</w:t>
      </w:r>
      <w:r>
        <w:t xml:space="preserve">, via the ssd_fit_dists function, using the lognormal, loglogistic, log Gumbel, Weibull, gamma and lognormal-lognormal mixture distributions.</w:t>
      </w:r>
      <w:r>
        <w:t xml:space="preserve"> </w:t>
      </w:r>
      <w:r>
        <w:t xml:space="preserve">While there are other distributions available in ssdtools, this set represents the recommended set of stable distributions (Fox et al. 2024).</w:t>
      </w:r>
    </w:p>
    <w:p>
      <w:pPr>
        <w:pStyle w:val="BodyText"/>
      </w:pPr>
      <w:r>
        <w:t xml:space="preserve">The estimated model averaged concentrations that protect 99, 95 and 80% of the population (PC99, PC95, PC80) were estimated from the resulting fits using both a weighted average, as well as the model-averaged cumulative distribution function.</w:t>
      </w:r>
      <w:r>
        <w:t xml:space="preserve"> </w:t>
      </w:r>
      <w:r>
        <w:t xml:space="preserve">We then used the estimated hazard concentrations to estimate the percentage of species actually protected for each method.</w:t>
      </w:r>
    </w:p>
    <w:bookmarkEnd w:id="25"/>
    <w:bookmarkStart w:id="26" w:name="Xa60ce0b61063af88396bd760fdc425114d1a543"/>
    <w:p>
      <w:pPr>
        <w:pStyle w:val="Heading2"/>
      </w:pPr>
      <w:r>
        <w:t xml:space="preserve">Case study 2 - Maximum streamflow frequency estimation</w:t>
      </w:r>
    </w:p>
    <w:p>
      <w:pPr>
        <w:pStyle w:val="FirstParagraph"/>
      </w:pPr>
      <w:r>
        <w:t xml:space="preserve">Data on end of river streamflow rates across a range of catchments on the Great Barrier Reef (GBR) in Queensland were download from the publicly-available QLD discharge data at https://water-monitoring.information.qld.gov.au/.</w:t>
      </w:r>
      <w:r>
        <w:t xml:space="preserve"> </w:t>
      </w:r>
      <w:r>
        <w:t xml:space="preserve">We downloaded the variable</w:t>
      </w:r>
      <w:r>
        <w:t xml:space="preserve"> </w:t>
      </w:r>
      <w:r>
        <w:t xml:space="preserve">“</w:t>
      </w:r>
      <w:r>
        <w:t xml:space="preserve">stream discharge (megalitres/day)</w:t>
      </w:r>
      <w:r>
        <w:t xml:space="preserve">”</w:t>
      </w:r>
      <w:r>
        <w:t xml:space="preserve"> </w:t>
      </w:r>
      <w:r>
        <w:t xml:space="preserve">for the full dataset. We did not use the provided daily data as these include modeled interpolation data for which there was limited information, and we wanted to ensure the data used represented real, maximum stream flow discharge rates.</w:t>
      </w:r>
    </w:p>
    <w:p>
      <w:pPr>
        <w:pStyle w:val="BodyText"/>
      </w:pPr>
      <w:r>
        <w:t xml:space="preserve">We selected a subset of the most relevant gauges for the GBR, which were the lowest gauges in the catchment.</w:t>
      </w:r>
      <w:r>
        <w:t xml:space="preserve"> </w:t>
      </w:r>
      <w:r>
        <w:t xml:space="preserve">All have some impact on coastal communities or roads.</w:t>
      </w:r>
      <w:r>
        <w:t xml:space="preserve"> </w:t>
      </w:r>
      <w:r>
        <w:t xml:space="preserve">For example, when they flood parts of the main highway can be cut for days/weeks which impacts transport of goods including food into North Queensland and far North Queensland.</w:t>
      </w:r>
    </w:p>
    <w:bookmarkEnd w:id="26"/>
    <w:bookmarkEnd w:id="27"/>
    <w:bookmarkStart w:id="38" w:name="results"/>
    <w:p>
      <w:pPr>
        <w:pStyle w:val="Heading1"/>
      </w:pPr>
      <w:r>
        <w:t xml:space="preserve">Results</w:t>
      </w:r>
    </w:p>
    <w:bookmarkStart w:id="32" w:name="case-study-1"/>
    <w:p>
      <w:pPr>
        <w:pStyle w:val="Heading2"/>
      </w:pPr>
      <w:r>
        <w:t xml:space="preserve">Case study 1</w:t>
      </w:r>
    </w:p>
    <w:p>
      <w:pPr>
        <w:pStyle w:val="FirstParagraph"/>
      </w:pPr>
      <w:r>
        <w:t xml:space="preserve">When model averaging is achieved by estimating directly from the model averaged cumulative distribution function, the correct target protection values were estimated exactly (</w:t>
      </w:r>
      <w:hyperlink w:anchor="fig-pc-plot">
        <w:r>
          <w:rPr>
            <w:rStyle w:val="Hyperlink"/>
          </w:rPr>
          <w:t xml:space="preserve">Figure 1</w:t>
        </w:r>
      </w:hyperlink>
      <w:r>
        <w:t xml:space="preserve">).</w:t>
      </w:r>
      <w:r>
        <w:t xml:space="preserve"> </w:t>
      </w:r>
      <w:r>
        <w:t xml:space="preserve">However, we found that there is substantial error when converting between the HCx and the HPx, when HCx estimates are obtained using a geometric averaging method, but there is no error when HCx estimates are obtained using the model-averaged cumulative distribution function (</w:t>
      </w:r>
      <w:hyperlink w:anchor="fig-pc-plot">
        <w:r>
          <w:rPr>
            <w:rStyle w:val="Hyperlink"/>
          </w:rPr>
          <w:t xml:space="preserve">Figure 1</w:t>
        </w:r>
      </w:hyperlink>
      <w:r>
        <w:t xml:space="preserve">).</w:t>
      </w:r>
    </w:p>
    <w:p>
      <w:pPr>
        <w:pStyle w:val="BodyText"/>
      </w:pPr>
      <w:r>
        <w:t xml:space="preserve">Substantial error for the averaging method occurs across most of the case studies examined for the PC99 (1% effected), and always resulted in a greater number of species being effected when compared to the intended target percentage (</w:t>
      </w:r>
      <w:hyperlink w:anchor="fig-pc-plot">
        <w:r>
          <w:rPr>
            <w:rStyle w:val="Hyperlink"/>
          </w:rPr>
          <w:t xml:space="preserve">Figure 1</w:t>
        </w:r>
      </w:hyperlink>
      <w:r>
        <w:t xml:space="preserve">).</w:t>
      </w:r>
      <w:r>
        <w:t xml:space="preserve"> </w:t>
      </w:r>
      <w:r>
        <w:t xml:space="preserve">For some datasets (e.g. ccme_glyphosate) the percentage of species actually effected using the averaging method was up to 3 times the target value (</w:t>
      </w:r>
      <w:hyperlink w:anchor="fig-pc-plot">
        <w:r>
          <w:rPr>
            <w:rStyle w:val="Hyperlink"/>
          </w:rPr>
          <w:t xml:space="preserve">Figure 1</w:t>
        </w:r>
      </w:hyperlink>
      <w:r>
        <w:t xml:space="preserve">).</w:t>
      </w:r>
      <w:r>
        <w:t xml:space="preserve"> </w:t>
      </w:r>
      <w:r>
        <w:t xml:space="preserve">In general the error in the estimated number of species effected declines as the target percentage increases (</w:t>
      </w:r>
      <w:hyperlink w:anchor="fig-pc-plot">
        <w:r>
          <w:rPr>
            <w:rStyle w:val="Hyperlink"/>
          </w:rPr>
          <w:t xml:space="preserve">Figure 1</w:t>
        </w:r>
      </w:hyperlink>
      <w:r>
        <w:t xml:space="preserve">).</w:t>
      </w:r>
      <w:r>
        <w:t xml:space="preserve"> </w:t>
      </w:r>
      <w:r>
        <w:t xml:space="preserve">For some datasets the number of species effected is actually less than the target percentage at higher target percentage protction values (e.g. aims_molybdenum_marine, 5-10%).</w:t>
      </w:r>
    </w:p>
    <w:tbl>
      <w:tblPr>
        <w:tblStyle w:val="Table"/>
        <w:tblW w:type="pct" w:w="5000"/>
        <w:tblLook w:firstRow="0" w:lastRow="0" w:firstColumn="0" w:lastColumn="0" w:noHBand="0" w:noVBand="0" w:val="0000"/>
        <w:jc w:val="start"/>
        <w:tblLayout w:type="fixed"/>
      </w:tblPr>
      <w:tblGrid>
        <w:gridCol w:w="7920"/>
      </w:tblGrid>
      <w:tr>
        <w:tc>
          <w:tcPr/>
          <w:bookmarkStart w:id="31" w:name="fig-pc-plot"/>
          <w:p>
            <w:pPr>
              <w:pStyle w:val="Compact"/>
              <w:jc w:val="center"/>
            </w:pPr>
            <w:r>
              <w:drawing>
                <wp:inline>
                  <wp:extent cx="5943600" cy="6792685"/>
                  <wp:effectExtent b="0" l="0" r="0" t="0"/>
                  <wp:docPr descr="" title="" id="29" name="Picture"/>
                  <a:graphic>
                    <a:graphicData uri="http://schemas.openxmlformats.org/drawingml/2006/picture">
                      <pic:pic>
                        <pic:nvPicPr>
                          <pic:cNvPr descr="paper_files/figure-docx/fig-pc-plot-1.png" id="30" name="Picture"/>
                          <pic:cNvPicPr>
                            <a:picLocks noChangeArrowheads="1" noChangeAspect="1"/>
                          </pic:cNvPicPr>
                        </pic:nvPicPr>
                        <pic:blipFill>
                          <a:blip r:embed="rId28"/>
                          <a:stretch>
                            <a:fillRect/>
                          </a:stretch>
                        </pic:blipFill>
                        <pic:spPr bwMode="auto">
                          <a:xfrm>
                            <a:off x="0" y="0"/>
                            <a:ext cx="5943600" cy="679268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ratio of estimated percentage of species effected against the target percentage of species effected, plotted against the target percentage. Results are shown for the weighted arithmetic (arithmetic) and the model averaged cdf (averaged cdf) averaging methods.</w:t>
            </w:r>
          </w:p>
          <w:bookmarkEnd w:id="31"/>
        </w:tc>
      </w:tr>
    </w:tbl>
    <w:bookmarkEnd w:id="32"/>
    <w:bookmarkStart w:id="37" w:name="case-study-2"/>
    <w:p>
      <w:pPr>
        <w:pStyle w:val="Heading2"/>
      </w:pPr>
      <w:r>
        <w:t xml:space="preserve">Case study 2</w:t>
      </w:r>
    </w:p>
    <w:p>
      <w:pPr>
        <w:pStyle w:val="FirstParagraph"/>
      </w:pPr>
      <w:r>
        <w:t xml:space="preserve">We found there could be very large deviations from the intended original target frequency when the back calculated estimated proportions were converted into the corresponding estimated frequencies (</w:t>
      </w:r>
      <w:hyperlink w:anchor="fig-frequency-plot">
        <w:r>
          <w:rPr>
            <w:rStyle w:val="Hyperlink"/>
          </w:rPr>
          <w:t xml:space="preserve">Figure 2</w:t>
        </w:r>
      </w:hyperlink>
      <w:r>
        <w:t xml:space="preserve">).</w:t>
      </w:r>
      <w:r>
        <w:t xml:space="preserve"> </w:t>
      </w:r>
      <w:r>
        <w:t xml:space="preserve">In most cases, the estimated frequencies were higher than the target frequency, meaning that events were predicted to be more common than they actually were (</w:t>
      </w:r>
      <w:hyperlink w:anchor="fig-frequency-plot">
        <w:r>
          <w:rPr>
            <w:rStyle w:val="Hyperlink"/>
          </w:rPr>
          <w:t xml:space="preserve">Figure 2</w:t>
        </w:r>
      </w:hyperlink>
      <w:r>
        <w:t xml:space="preserve">).</w:t>
      </w:r>
      <w:r>
        <w:t xml:space="preserve"> </w:t>
      </w:r>
      <w:r>
        <w:t xml:space="preserve">For one river, the estimated frequency was as high as 5x the original target, particularly when considering extreme rare events (for example, a one in 500 year event).</w:t>
      </w:r>
    </w:p>
    <w:tbl>
      <w:tblPr>
        <w:tblStyle w:val="Table"/>
        <w:tblW w:type="pct" w:w="5000"/>
        <w:tblLook w:firstRow="0" w:lastRow="0" w:firstColumn="0" w:lastColumn="0" w:noHBand="0" w:noVBand="0" w:val="0000"/>
        <w:jc w:val="start"/>
        <w:tblLayout w:type="fixed"/>
      </w:tblPr>
      <w:tblGrid>
        <w:gridCol w:w="7920"/>
      </w:tblGrid>
      <w:tr>
        <w:tc>
          <w:tcPr/>
          <w:bookmarkStart w:id="36" w:name="fig-frequency-plot"/>
          <w:p>
            <w:pPr>
              <w:pStyle w:val="Compact"/>
              <w:jc w:val="center"/>
            </w:pPr>
            <w:r>
              <w:drawing>
                <wp:inline>
                  <wp:extent cx="5943600" cy="3396342"/>
                  <wp:effectExtent b="0" l="0" r="0" t="0"/>
                  <wp:docPr descr="" title="" id="34" name="Picture"/>
                  <a:graphic>
                    <a:graphicData uri="http://schemas.openxmlformats.org/drawingml/2006/picture">
                      <pic:pic>
                        <pic:nvPicPr>
                          <pic:cNvPr descr="paper_files/figure-docx/fig-frequency-plot-1.png" id="35" name="Picture"/>
                          <pic:cNvPicPr>
                            <a:picLocks noChangeArrowheads="1" noChangeAspect="1"/>
                          </pic:cNvPicPr>
                        </pic:nvPicPr>
                        <pic:blipFill>
                          <a:blip r:embed="rId33"/>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ratio of estimated frequency against the target frequency, plotted against the target frequency. Results are shown for the weighted arithmetic (arithmetic) and the model averaged cdf (averaged cdf) averaging methods.</w:t>
            </w:r>
          </w:p>
          <w:bookmarkEnd w:id="36"/>
        </w:tc>
      </w:tr>
    </w:tbl>
    <w:bookmarkEnd w:id="37"/>
    <w:bookmarkEnd w:id="38"/>
    <w:bookmarkStart w:id="39" w:name="discussion"/>
    <w:p>
      <w:pPr>
        <w:pStyle w:val="Heading1"/>
      </w:pPr>
      <w:r>
        <w:t xml:space="preserve">Discussion</w:t>
      </w:r>
    </w:p>
    <w:p>
      <w:pPr>
        <w:pStyle w:val="FirstParagraph"/>
      </w:pPr>
      <w:r>
        <w:t xml:space="preserve">Our case studies showed there was a bias in model averaged estimates obtained from model averaged statistical distributions when using weighted arithmetic averaging, when compared to using a model averaged cumulative distribution function.</w:t>
      </w:r>
      <w:r>
        <w:t xml:space="preserve"> </w:t>
      </w:r>
      <w:r>
        <w:t xml:space="preserve">This issue is particularly problematic when the quantiles of interest lie at the tails of the distributions.</w:t>
      </w:r>
      <w:r>
        <w:t xml:space="preserve"> </w:t>
      </w:r>
      <w:r>
        <w:t xml:space="preserve">In the case of estimating species protection values from species sensitivity distributions, the use of a simple weighted arithmetic average will result in the derivation of guidelines values that will fail to meet the desired target 99% species protection level, which is the level currently recommended for the protection high conservation value systems in Australia</w:t>
      </w:r>
      <w:r>
        <w:t xml:space="preserve"> </w:t>
      </w:r>
      <w:r>
        <w:t xml:space="preserve">(Warne et al., 2018)</w:t>
      </w:r>
      <w:r>
        <w:t xml:space="preserve">.</w:t>
      </w:r>
      <w:r>
        <w:t xml:space="preserve"> </w:t>
      </w:r>
      <w:r>
        <w:t xml:space="preserve">In our alternative case study related to stream discharge flow rates, we also found there was a tendency to overestimate the frequency of extreme events, suggesting a positive bias associated with arithmetic averaging at both the lower and upper tails of the distribution.</w:t>
      </w:r>
      <w:r>
        <w:t xml:space="preserve"> </w:t>
      </w:r>
      <w:r>
        <w:t xml:space="preserve">Overestimating the frequency of extreme flow events may have consequences for decision makers, resulting in over allocation of limited resources in areas that are actually less likely to be impacted than predicted.</w:t>
      </w:r>
    </w:p>
    <w:bookmarkEnd w:id="39"/>
    <w:bookmarkStart w:id="40" w:name="conclusion"/>
    <w:p>
      <w:pPr>
        <w:pStyle w:val="Heading1"/>
      </w:pPr>
      <w:r>
        <w:t xml:space="preserve">Conclusion</w:t>
      </w:r>
    </w:p>
    <w:p>
      <w:pPr>
        <w:pStyle w:val="FirstParagraph"/>
      </w:pPr>
      <w:r>
        <w:t xml:space="preserve">The inversion principle failure, and associated bias, appear to be the most severe when interest lies at the extremes tails of the statistical distributions.</w:t>
      </w:r>
      <w:r>
        <w:t xml:space="preserve"> </w:t>
      </w:r>
      <w:r>
        <w:t xml:space="preserve">However, the results show that the use of simple arithmetic averaging is mathematically incorrect.</w:t>
      </w:r>
      <w:r>
        <w:t xml:space="preserve"> </w:t>
      </w:r>
      <w:r>
        <w:t xml:space="preserve">Regardless of the target application, approaches exist for estimating unbiased model averaged estimates for statistical distributions that do meet the inversion principle, and we urge researchers to move towards methods and tools that are mathematically and statistically correct, and provide robust inference in important decision context.</w:t>
      </w:r>
    </w:p>
    <w:bookmarkEnd w:id="40"/>
    <w:bookmarkStart w:id="41" w:name="acknowledgements"/>
    <w:p>
      <w:pPr>
        <w:pStyle w:val="Heading1"/>
      </w:pPr>
      <w:r>
        <w:t xml:space="preserve">Acknowledgements</w:t>
      </w:r>
    </w:p>
    <w:p>
      <w:pPr>
        <w:pStyle w:val="FirstParagraph"/>
      </w:pPr>
      <w:r>
        <w:t xml:space="preserve">We acknowledge contributions from Angeline Tillmanns, Seb Dalgarno, Kathleen McTavish, Heather Thompson, Doug Spry, Rick van Dam, Graham Batley, and Ali Azizisharzi. This work was funded by the Department of Climate Change, Energy, the Environment and Water, Australia.</w:t>
      </w:r>
    </w:p>
    <w:p>
      <w:r>
        <w:br w:type="page"/>
      </w:r>
    </w:p>
    <w:bookmarkEnd w:id="41"/>
    <w:bookmarkStart w:id="58" w:name="references"/>
    <w:p>
      <w:pPr>
        <w:pStyle w:val="Heading1"/>
      </w:pPr>
      <w:r>
        <w:t xml:space="preserve">References</w:t>
      </w:r>
    </w:p>
    <w:bookmarkStart w:id="56" w:name="refs"/>
    <w:bookmarkStart w:id="43" w:name="ref-bento_improved_2023"/>
    <w:p>
      <w:pPr>
        <w:pStyle w:val="Bibliography"/>
      </w:pPr>
      <w:r>
        <w:t xml:space="preserve">Bento, A.M., Gomes, Pêgo, Viseu, Couto, L. and, 2023. Improved assessment of maximum streamflow for risk management of hydraulic infrastructures.</w:t>
      </w:r>
      <w:r>
        <w:t xml:space="preserve"> </w:t>
      </w:r>
      <w:r>
        <w:t xml:space="preserve">A</w:t>
      </w:r>
      <w:r>
        <w:t xml:space="preserve"> </w:t>
      </w:r>
      <w:r>
        <w:t xml:space="preserve">case study. International Journal of River Basin Management 21, 489–499.</w:t>
      </w:r>
      <w:r>
        <w:t xml:space="preserve"> </w:t>
      </w:r>
      <w:hyperlink r:id="rId42">
        <w:r>
          <w:rPr>
            <w:rStyle w:val="Hyperlink"/>
          </w:rPr>
          <w:t xml:space="preserve">https://doi.org/10.1080/15715124.2021.2016783</w:t>
        </w:r>
      </w:hyperlink>
    </w:p>
    <w:bookmarkEnd w:id="43"/>
    <w:bookmarkStart w:id="45" w:name="ref-burnham_model_2002"/>
    <w:p>
      <w:pPr>
        <w:pStyle w:val="Bibliography"/>
      </w:pPr>
      <w:r>
        <w:t xml:space="preserve">Burnham, K., Anderson, D., 2002. Model</w:t>
      </w:r>
      <w:r>
        <w:t xml:space="preserve"> </w:t>
      </w:r>
      <w:r>
        <w:t xml:space="preserve">Selection</w:t>
      </w:r>
      <w:r>
        <w:t xml:space="preserve"> </w:t>
      </w:r>
      <w:r>
        <w:t xml:space="preserve">and</w:t>
      </w:r>
      <w:r>
        <w:t xml:space="preserve"> </w:t>
      </w:r>
      <w:r>
        <w:t xml:space="preserve">Multimodel</w:t>
      </w:r>
      <w:r>
        <w:t xml:space="preserve"> </w:t>
      </w:r>
      <w:r>
        <w:t xml:space="preserve">Inference</w:t>
      </w:r>
      <w:r>
        <w:t xml:space="preserve">:</w:t>
      </w:r>
      <w:r>
        <w:t xml:space="preserve"> </w:t>
      </w:r>
      <w:r>
        <w:t xml:space="preserve">A</w:t>
      </w:r>
      <w:r>
        <w:t xml:space="preserve"> </w:t>
      </w:r>
      <w:r>
        <w:t xml:space="preserve">Practical</w:t>
      </w:r>
      <w:r>
        <w:t xml:space="preserve"> </w:t>
      </w:r>
      <w:r>
        <w:t xml:space="preserve">Information-Theoretic</w:t>
      </w:r>
      <w:r>
        <w:t xml:space="preserve"> </w:t>
      </w:r>
      <w:r>
        <w:t xml:space="preserve">Approach</w:t>
      </w:r>
      <w:r>
        <w:t xml:space="preserve">. Springer New York, New York, NY.</w:t>
      </w:r>
      <w:r>
        <w:t xml:space="preserve"> </w:t>
      </w:r>
      <w:hyperlink r:id="rId44">
        <w:r>
          <w:rPr>
            <w:rStyle w:val="Hyperlink"/>
          </w:rPr>
          <w:t xml:space="preserve">https://doi.org/10.1007/b97636</w:t>
        </w:r>
      </w:hyperlink>
    </w:p>
    <w:bookmarkEnd w:id="45"/>
    <w:bookmarkStart w:id="47" w:name="ref-ssddata"/>
    <w:p>
      <w:pPr>
        <w:pStyle w:val="Bibliography"/>
      </w:pPr>
      <w:r>
        <w:t xml:space="preserve">Fisher, R., Thorley, J., 2021.</w:t>
      </w:r>
      <w:r>
        <w:t xml:space="preserve"> </w:t>
      </w:r>
      <w:r>
        <w:t xml:space="preserve">s</w:t>
      </w:r>
      <w:r>
        <w:t xml:space="preserve">sddata:</w:t>
      </w:r>
      <w:r>
        <w:t xml:space="preserve"> </w:t>
      </w:r>
      <w:r>
        <w:t xml:space="preserve">Species Sensitivity Distribution Data</w:t>
      </w:r>
      <w:r>
        <w:t xml:space="preserve">.</w:t>
      </w:r>
      <w:r>
        <w:t xml:space="preserve"> </w:t>
      </w:r>
      <w:hyperlink r:id="rId46">
        <w:r>
          <w:rPr>
            <w:rStyle w:val="Hyperlink"/>
          </w:rPr>
          <w:t xml:space="preserve">https://doi.org/10.32614/cran.package.ssddata</w:t>
        </w:r>
      </w:hyperlink>
    </w:p>
    <w:bookmarkEnd w:id="47"/>
    <w:bookmarkStart w:id="49" w:name="ref-fox_methodologies_2024"/>
    <w:p>
      <w:pPr>
        <w:pStyle w:val="Bibliography"/>
      </w:pPr>
      <w:r>
        <w:t xml:space="preserve">Fox, D., Fisher, R., Thorley, J., 2024. Final report of the joint investigation into SSD modelling and ssdtools implementation for the derivation of toxicant guidelines values in</w:t>
      </w:r>
      <w:r>
        <w:t xml:space="preserve"> </w:t>
      </w:r>
      <w:r>
        <w:t xml:space="preserve">Australia</w:t>
      </w:r>
      <w:r>
        <w:t xml:space="preserve"> </w:t>
      </w:r>
      <w:r>
        <w:t xml:space="preserve">and</w:t>
      </w:r>
      <w:r>
        <w:t xml:space="preserve"> </w:t>
      </w:r>
      <w:r>
        <w:t xml:space="preserve">New Zealand</w:t>
      </w:r>
      <w:r>
        <w:t xml:space="preserve">. Report prepared for the department of climate change, energy, the environment and water. Environmetrics Australia; Australian Institute of Marine Science.</w:t>
      </w:r>
      <w:r>
        <w:t xml:space="preserve"> </w:t>
      </w:r>
      <w:hyperlink r:id="rId48">
        <w:r>
          <w:rPr>
            <w:rStyle w:val="Hyperlink"/>
          </w:rPr>
          <w:t xml:space="preserve">https://doi.org/10.25845/xtvt-yc51</w:t>
        </w:r>
      </w:hyperlink>
    </w:p>
    <w:bookmarkEnd w:id="49"/>
    <w:bookmarkStart w:id="51" w:name="ref-thorley_ssdtools_2025"/>
    <w:p>
      <w:pPr>
        <w:pStyle w:val="Bibliography"/>
      </w:pPr>
      <w:r>
        <w:t xml:space="preserve">Thorley, J., Fisher, R., Fox, D., Schwarz, C., 2025. Ssdtools v2:</w:t>
      </w:r>
      <w:r>
        <w:t xml:space="preserve"> </w:t>
      </w:r>
      <w:r>
        <w:t xml:space="preserve">An</w:t>
      </w:r>
      <w:r>
        <w:t xml:space="preserve"> </w:t>
      </w:r>
      <w:r>
        <w:t xml:space="preserve">R</w:t>
      </w:r>
      <w:r>
        <w:t xml:space="preserve"> </w:t>
      </w:r>
      <w:r>
        <w:t xml:space="preserve">package to fit</w:t>
      </w:r>
      <w:r>
        <w:t xml:space="preserve"> </w:t>
      </w:r>
      <w:r>
        <w:t xml:space="preserve">Species</w:t>
      </w:r>
      <w:r>
        <w:t xml:space="preserve"> </w:t>
      </w:r>
      <w:r>
        <w:t xml:space="preserve">Sensitivity</w:t>
      </w:r>
      <w:r>
        <w:t xml:space="preserve"> </w:t>
      </w:r>
      <w:r>
        <w:t xml:space="preserve">Distributions</w:t>
      </w:r>
      <w:r>
        <w:t xml:space="preserve">. Journal of Open Source Software 10, 7492.</w:t>
      </w:r>
      <w:r>
        <w:t xml:space="preserve"> </w:t>
      </w:r>
      <w:hyperlink r:id="rId50">
        <w:r>
          <w:rPr>
            <w:rStyle w:val="Hyperlink"/>
          </w:rPr>
          <w:t xml:space="preserve">https://doi.org/10.21105/joss.07492</w:t>
        </w:r>
      </w:hyperlink>
    </w:p>
    <w:bookmarkEnd w:id="51"/>
    <w:bookmarkStart w:id="53" w:name="ref-thorley_ssdtools_2018"/>
    <w:p>
      <w:pPr>
        <w:pStyle w:val="Bibliography"/>
      </w:pPr>
      <w:r>
        <w:t xml:space="preserve">Thorley, J., Schwarz, C., 2018. Ssdtools:</w:t>
      </w:r>
      <w:r>
        <w:t xml:space="preserve"> </w:t>
      </w:r>
      <w:r>
        <w:t xml:space="preserve">An</w:t>
      </w:r>
      <w:r>
        <w:t xml:space="preserve"> </w:t>
      </w:r>
      <w:r>
        <w:t xml:space="preserve">R</w:t>
      </w:r>
      <w:r>
        <w:t xml:space="preserve"> </w:t>
      </w:r>
      <w:r>
        <w:t xml:space="preserve">package to fit</w:t>
      </w:r>
      <w:r>
        <w:t xml:space="preserve"> </w:t>
      </w:r>
      <w:r>
        <w:t xml:space="preserve">Species</w:t>
      </w:r>
      <w:r>
        <w:t xml:space="preserve"> </w:t>
      </w:r>
      <w:r>
        <w:t xml:space="preserve">Sensitivity</w:t>
      </w:r>
      <w:r>
        <w:t xml:space="preserve"> </w:t>
      </w:r>
      <w:r>
        <w:t xml:space="preserve">Distributions</w:t>
      </w:r>
      <w:r>
        <w:t xml:space="preserve">. Journal of Open Source Software 3, 1082.</w:t>
      </w:r>
      <w:r>
        <w:t xml:space="preserve"> </w:t>
      </w:r>
      <w:hyperlink r:id="rId52">
        <w:r>
          <w:rPr>
            <w:rStyle w:val="Hyperlink"/>
          </w:rPr>
          <w:t xml:space="preserve">https://doi.org/10.21105/joss.01082</w:t>
        </w:r>
      </w:hyperlink>
    </w:p>
    <w:bookmarkEnd w:id="53"/>
    <w:bookmarkStart w:id="55" w:name="ref-warne_revised_2018"/>
    <w:p>
      <w:pPr>
        <w:pStyle w:val="Bibliography"/>
      </w:pPr>
      <w:r>
        <w:t xml:space="preserve">Warne, M., Batley, G.E., Dam, R.V., Chapman, J., Fox, D.R., Hickey, C.W., Stauber, J.L., 2018. Revised method for deriving</w:t>
      </w:r>
      <w:r>
        <w:t xml:space="preserve"> </w:t>
      </w:r>
      <w:r>
        <w:t xml:space="preserve">Australian</w:t>
      </w:r>
      <w:r>
        <w:t xml:space="preserve"> </w:t>
      </w:r>
      <w:r>
        <w:t xml:space="preserve">and</w:t>
      </w:r>
      <w:r>
        <w:t xml:space="preserve"> </w:t>
      </w:r>
      <w:r>
        <w:t xml:space="preserve">New</w:t>
      </w:r>
      <w:r>
        <w:t xml:space="preserve"> </w:t>
      </w:r>
      <w:r>
        <w:t xml:space="preserve">Zealand</w:t>
      </w:r>
      <w:r>
        <w:t xml:space="preserve"> </w:t>
      </w:r>
      <w:r>
        <w:t xml:space="preserve">water quality guideline values for toxicants.</w:t>
      </w:r>
      <w:r>
        <w:t xml:space="preserve"> </w:t>
      </w:r>
      <w:hyperlink r:id="rId54">
        <w:r>
          <w:rPr>
            <w:rStyle w:val="Hyperlink"/>
          </w:rPr>
          <w:t xml:space="preserve">https://doi.org/10.13140/RG.2.2.36577.35686</w:t>
        </w:r>
      </w:hyperlink>
    </w:p>
    <w:bookmarkEnd w:id="55"/>
    <w:bookmarkEnd w:id="56"/>
    <w:p>
      <w:r>
        <w:br w:type="page"/>
      </w:r>
    </w:p>
    <w:bookmarkStart w:id="57" w:name="colophon"/>
    <w:p>
      <w:pPr>
        <w:pStyle w:val="Heading3"/>
      </w:pPr>
      <w:r>
        <w:t xml:space="preserve">Colophon</w:t>
      </w:r>
    </w:p>
    <w:p>
      <w:pPr>
        <w:pStyle w:val="FirstParagraph"/>
      </w:pPr>
      <w:r>
        <w:t xml:space="preserve">This draft was generated on 2025-06-10 16:19:25.83653 using the following computational environment and dependencies:</w:t>
      </w:r>
    </w:p>
    <w:p>
      <w:pPr>
        <w:pStyle w:val="SourceCode"/>
      </w:pPr>
      <w:r>
        <w:rPr>
          <w:rStyle w:val="CommentTok"/>
        </w:rPr>
        <w:t xml:space="preserve"># which R packages and versions?</w:t>
      </w:r>
      <w:r>
        <w:br/>
      </w:r>
      <w:r>
        <w:rPr>
          <w:rStyle w:val="ControlFlowTok"/>
        </w:rPr>
        <w:t xml:space="preserve">if</w:t>
      </w:r>
      <w:r>
        <w:rPr>
          <w:rStyle w:val="NormalTok"/>
        </w:rPr>
        <w:t xml:space="preserve"> (</w:t>
      </w:r>
      <w:r>
        <w:rPr>
          <w:rStyle w:val="StringTok"/>
        </w:rPr>
        <w:t xml:space="preserve">"devtools"</w:t>
      </w:r>
      <w:r>
        <w:rPr>
          <w:rStyle w:val="NormalTok"/>
        </w:rPr>
        <w:t xml:space="preserve"> </w:t>
      </w:r>
      <w:r>
        <w:rPr>
          <w:rStyle w:val="SpecialCharTok"/>
        </w:rPr>
        <w:t xml:space="preserve">%in%</w:t>
      </w:r>
      <w:r>
        <w:rPr>
          <w:rStyle w:val="NormalTok"/>
        </w:rPr>
        <w:t xml:space="preserve"> </w:t>
      </w:r>
      <w:r>
        <w:rPr>
          <w:rStyle w:val="FunctionTok"/>
        </w:rPr>
        <w:t xml:space="preserve">installed.packages</w:t>
      </w:r>
      <w:r>
        <w:rPr>
          <w:rStyle w:val="NormalTok"/>
        </w:rPr>
        <w:t xml:space="preserve">()) 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Session info ───────────────────────────────────────────────────────────────</w:t>
      </w:r>
      <w:r>
        <w:br/>
      </w:r>
      <w:r>
        <w:rPr>
          <w:rStyle w:val="VerbatimChar"/>
        </w:rPr>
        <w:t xml:space="preserve"> setting  value</w:t>
      </w:r>
      <w:r>
        <w:br/>
      </w:r>
      <w:r>
        <w:rPr>
          <w:rStyle w:val="VerbatimChar"/>
        </w:rPr>
        <w:t xml:space="preserve"> version  R version 4.4.1 (2024-06-14)</w:t>
      </w:r>
      <w:r>
        <w:br/>
      </w:r>
      <w:r>
        <w:rPr>
          <w:rStyle w:val="VerbatimChar"/>
        </w:rPr>
        <w:t xml:space="preserve"> os       Debian GNU/Linux 13 (trixie)</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C</w:t>
      </w:r>
      <w:r>
        <w:br/>
      </w:r>
      <w:r>
        <w:rPr>
          <w:rStyle w:val="VerbatimChar"/>
        </w:rPr>
        <w:t xml:space="preserve"> ctype    en_US.UTF-8</w:t>
      </w:r>
      <w:r>
        <w:br/>
      </w:r>
      <w:r>
        <w:rPr>
          <w:rStyle w:val="VerbatimChar"/>
        </w:rPr>
        <w:t xml:space="preserve"> tz       Australia/Perth</w:t>
      </w:r>
      <w:r>
        <w:br/>
      </w:r>
      <w:r>
        <w:rPr>
          <w:rStyle w:val="VerbatimChar"/>
        </w:rPr>
        <w:t xml:space="preserve"> date     2025-06-10</w:t>
      </w:r>
      <w:r>
        <w:br/>
      </w:r>
      <w:r>
        <w:rPr>
          <w:rStyle w:val="VerbatimChar"/>
        </w:rPr>
        <w:t xml:space="preserve"> pandoc   3.1.11.1 @ /usr/bin/ (via rmarkdown)</w:t>
      </w:r>
      <w:r>
        <w:br/>
      </w:r>
      <w:r>
        <w:rPr>
          <w:rStyle w:val="VerbatimChar"/>
        </w:rPr>
        <w:t xml:space="preserve"> quarto   1.4.555 @ /usr/lib/rstudio-server/bin/quarto/bin/quarto</w:t>
      </w:r>
      <w:r>
        <w:br/>
      </w:r>
      <w:r>
        <w:br/>
      </w:r>
      <w:r>
        <w:rPr>
          <w:rStyle w:val="VerbatimChar"/>
        </w:rPr>
        <w:t xml:space="preserve">─ Packages ───────────────────────────────────────────────────────────────────</w:t>
      </w:r>
      <w:r>
        <w:br/>
      </w:r>
      <w:r>
        <w:rPr>
          <w:rStyle w:val="VerbatimChar"/>
        </w:rPr>
        <w:t xml:space="preserve"> package        * version    date (UTC) lib source</w:t>
      </w:r>
      <w:r>
        <w:br/>
      </w:r>
      <w:r>
        <w:rPr>
          <w:rStyle w:val="VerbatimChar"/>
        </w:rPr>
        <w:t xml:space="preserve"> abind            1.4-8      2024-09-12 [3] CRAN (R 4.4.1)</w:t>
      </w:r>
      <w:r>
        <w:br/>
      </w:r>
      <w:r>
        <w:rPr>
          <w:rStyle w:val="VerbatimChar"/>
        </w:rPr>
        <w:t xml:space="preserve"> backports        1.5.0      2024-05-23 [3] CRAN (R 4.4.1)</w:t>
      </w:r>
      <w:r>
        <w:br/>
      </w:r>
      <w:r>
        <w:rPr>
          <w:rStyle w:val="VerbatimChar"/>
        </w:rPr>
        <w:t xml:space="preserve"> broom            1.0.7      2024-09-26 [3] CRAN (R 4.4.1)</w:t>
      </w:r>
      <w:r>
        <w:br/>
      </w:r>
      <w:r>
        <w:rPr>
          <w:rStyle w:val="VerbatimChar"/>
        </w:rPr>
        <w:t xml:space="preserve"> cachem           1.1.0      2024-05-16 [3] CRAN (R 4.4.1)</w:t>
      </w:r>
      <w:r>
        <w:br/>
      </w:r>
      <w:r>
        <w:rPr>
          <w:rStyle w:val="VerbatimChar"/>
        </w:rPr>
        <w:t xml:space="preserve"> car              3.1-3      2024-09-27 [3] CRAN (R 4.4.1)</w:t>
      </w:r>
      <w:r>
        <w:br/>
      </w:r>
      <w:r>
        <w:rPr>
          <w:rStyle w:val="VerbatimChar"/>
        </w:rPr>
        <w:t xml:space="preserve"> carData          3.0-5      2022-01-06 [3] CRAN (R 4.1.2)</w:t>
      </w:r>
      <w:r>
        <w:br/>
      </w:r>
      <w:r>
        <w:rPr>
          <w:rStyle w:val="VerbatimChar"/>
        </w:rPr>
        <w:t xml:space="preserve"> chk              0.10.0     2025-01-24 [1] CRAN (R 4.4.1)</w:t>
      </w:r>
      <w:r>
        <w:br/>
      </w:r>
      <w:r>
        <w:rPr>
          <w:rStyle w:val="VerbatimChar"/>
        </w:rPr>
        <w:t xml:space="preserve"> cli              3.6.5      2025-04-23 [1] CRAN (R 4.4.1)</w:t>
      </w:r>
      <w:r>
        <w:br/>
      </w:r>
      <w:r>
        <w:rPr>
          <w:rStyle w:val="VerbatimChar"/>
        </w:rPr>
        <w:t xml:space="preserve"> codetools        0.2-20     2024-03-31 [4] CRAN (R 4.3.3)</w:t>
      </w:r>
      <w:r>
        <w:br/>
      </w:r>
      <w:r>
        <w:rPr>
          <w:rStyle w:val="VerbatimChar"/>
        </w:rPr>
        <w:t xml:space="preserve"> devtools         2.4.5      2022-10-11 [3] CRAN (R 4.2.1)</w:t>
      </w:r>
      <w:r>
        <w:br/>
      </w:r>
      <w:r>
        <w:rPr>
          <w:rStyle w:val="VerbatimChar"/>
        </w:rPr>
        <w:t xml:space="preserve"> dichromat        2.0-0.1    2022-05-02 [3] CRAN (R 4.2.0)</w:t>
      </w:r>
      <w:r>
        <w:br/>
      </w:r>
      <w:r>
        <w:rPr>
          <w:rStyle w:val="VerbatimChar"/>
        </w:rPr>
        <w:t xml:space="preserve"> digest           0.6.37     2024-08-19 [3] CRAN (R 4.4.1)</w:t>
      </w:r>
      <w:r>
        <w:br/>
      </w:r>
      <w:r>
        <w:rPr>
          <w:rStyle w:val="VerbatimChar"/>
        </w:rPr>
        <w:t xml:space="preserve"> dplyr          * 1.1.4      2023-11-17 [3] CRAN (R 4.4.2)</w:t>
      </w:r>
      <w:r>
        <w:br/>
      </w:r>
      <w:r>
        <w:rPr>
          <w:rStyle w:val="VerbatimChar"/>
        </w:rPr>
        <w:t xml:space="preserve"> ellipsis         0.3.2      2021-04-29 [3] CRAN (R 4.1.1)</w:t>
      </w:r>
      <w:r>
        <w:br/>
      </w:r>
      <w:r>
        <w:rPr>
          <w:rStyle w:val="VerbatimChar"/>
        </w:rPr>
        <w:t xml:space="preserve"> evaluate         1.0.3      2025-01-10 [3] CRAN (R 4.4.2)</w:t>
      </w:r>
      <w:r>
        <w:br/>
      </w:r>
      <w:r>
        <w:rPr>
          <w:rStyle w:val="VerbatimChar"/>
        </w:rPr>
        <w:t xml:space="preserve"> farver           2.1.2      2024-05-13 [3] CRAN (R 4.4.1)</w:t>
      </w:r>
      <w:r>
        <w:br/>
      </w:r>
      <w:r>
        <w:rPr>
          <w:rStyle w:val="VerbatimChar"/>
        </w:rPr>
        <w:t xml:space="preserve"> fastmap          1.2.0      2024-05-15 [3] CRAN (R 4.4.1)</w:t>
      </w:r>
      <w:r>
        <w:br/>
      </w:r>
      <w:r>
        <w:rPr>
          <w:rStyle w:val="VerbatimChar"/>
        </w:rPr>
        <w:t xml:space="preserve"> Formula          1.2-5      2023-02-24 [3] CRAN (R 4.2.2)</w:t>
      </w:r>
      <w:r>
        <w:br/>
      </w:r>
      <w:r>
        <w:rPr>
          <w:rStyle w:val="VerbatimChar"/>
        </w:rPr>
        <w:t xml:space="preserve"> fs               1.6.6      2025-04-12 [1] CRAN (R 4.4.1)</w:t>
      </w:r>
      <w:r>
        <w:br/>
      </w:r>
      <w:r>
        <w:rPr>
          <w:rStyle w:val="VerbatimChar"/>
        </w:rPr>
        <w:t xml:space="preserve"> furrr            0.3.1      2022-08-15 [3] CRAN (R 4.2.1)</w:t>
      </w:r>
      <w:r>
        <w:br/>
      </w:r>
      <w:r>
        <w:rPr>
          <w:rStyle w:val="VerbatimChar"/>
        </w:rPr>
        <w:t xml:space="preserve"> future           1.58.0     2025-06-05 [1] CRAN (R 4.4.1)</w:t>
      </w:r>
      <w:r>
        <w:br/>
      </w:r>
      <w:r>
        <w:rPr>
          <w:rStyle w:val="VerbatimChar"/>
        </w:rPr>
        <w:t xml:space="preserve"> generics         0.1.4      2025-05-09 [1] CRAN (R 4.4.1)</w:t>
      </w:r>
      <w:r>
        <w:br/>
      </w:r>
      <w:r>
        <w:rPr>
          <w:rStyle w:val="VerbatimChar"/>
        </w:rPr>
        <w:t xml:space="preserve"> ggplot2        * 3.5.2      2025-04-09 [1] CRAN (R 4.4.1)</w:t>
      </w:r>
      <w:r>
        <w:br/>
      </w:r>
      <w:r>
        <w:rPr>
          <w:rStyle w:val="VerbatimChar"/>
        </w:rPr>
        <w:t xml:space="preserve"> ggpubr         * 0.6.0      2023-02-10 [1] CRAN (R 4.4.1)</w:t>
      </w:r>
      <w:r>
        <w:br/>
      </w:r>
      <w:r>
        <w:rPr>
          <w:rStyle w:val="VerbatimChar"/>
        </w:rPr>
        <w:t xml:space="preserve"> ggsignif         0.6.4      2022-10-13 [3] CRAN (R 4.2.1)</w:t>
      </w:r>
      <w:r>
        <w:br/>
      </w:r>
      <w:r>
        <w:rPr>
          <w:rStyle w:val="VerbatimChar"/>
        </w:rPr>
        <w:t xml:space="preserve"> ggtext           0.1.2      2022-09-16 [1] CRAN (R 4.4.1)</w:t>
      </w:r>
      <w:r>
        <w:br/>
      </w:r>
      <w:r>
        <w:rPr>
          <w:rStyle w:val="VerbatimChar"/>
        </w:rPr>
        <w:t xml:space="preserve"> globals          0.18.0     2025-05-08 [1] CRAN (R 4.4.1)</w:t>
      </w:r>
      <w:r>
        <w:br/>
      </w:r>
      <w:r>
        <w:rPr>
          <w:rStyle w:val="VerbatimChar"/>
        </w:rPr>
        <w:t xml:space="preserve"> glue             1.8.0      2024-09-30 [1] CRAN (R 4.4.1)</w:t>
      </w:r>
      <w:r>
        <w:br/>
      </w:r>
      <w:r>
        <w:rPr>
          <w:rStyle w:val="VerbatimChar"/>
        </w:rPr>
        <w:t xml:space="preserve"> goftest          1.2-3      2021-10-07 [1] CRAN (R 4.4.1)</w:t>
      </w:r>
      <w:r>
        <w:br/>
      </w:r>
      <w:r>
        <w:rPr>
          <w:rStyle w:val="VerbatimChar"/>
        </w:rPr>
        <w:t xml:space="preserve"> gridtext         0.1.5      2022-09-16 [1] CRAN (R 4.4.1)</w:t>
      </w:r>
      <w:r>
        <w:br/>
      </w:r>
      <w:r>
        <w:rPr>
          <w:rStyle w:val="VerbatimChar"/>
        </w:rPr>
        <w:t xml:space="preserve"> gtable           0.3.6      2024-10-25 [1] CRAN (R 4.4.1)</w:t>
      </w:r>
      <w:r>
        <w:br/>
      </w:r>
      <w:r>
        <w:rPr>
          <w:rStyle w:val="VerbatimChar"/>
        </w:rPr>
        <w:t xml:space="preserve"> htmltools        0.5.8.1    2024-04-04 [3] CRAN (R 4.4.0)</w:t>
      </w:r>
      <w:r>
        <w:br/>
      </w:r>
      <w:r>
        <w:rPr>
          <w:rStyle w:val="VerbatimChar"/>
        </w:rPr>
        <w:t xml:space="preserve"> htmlwidgets      1.6.4      2023-12-06 [3] CRAN (R 4.3.2)</w:t>
      </w:r>
      <w:r>
        <w:br/>
      </w:r>
      <w:r>
        <w:rPr>
          <w:rStyle w:val="VerbatimChar"/>
        </w:rPr>
        <w:t xml:space="preserve"> httpuv           1.6.16     2025-04-16 [1] CRAN (R 4.4.1)</w:t>
      </w:r>
      <w:r>
        <w:br/>
      </w:r>
      <w:r>
        <w:rPr>
          <w:rStyle w:val="VerbatimChar"/>
        </w:rPr>
        <w:t xml:space="preserve"> jsonlite         2.0.0      2025-03-27 [1] CRAN (R 4.4.1)</w:t>
      </w:r>
      <w:r>
        <w:br/>
      </w:r>
      <w:r>
        <w:rPr>
          <w:rStyle w:val="VerbatimChar"/>
        </w:rPr>
        <w:t xml:space="preserve"> knitr            1.50       2025-03-16 [3] CRAN (R 4.4.3)</w:t>
      </w:r>
      <w:r>
        <w:br/>
      </w:r>
      <w:r>
        <w:rPr>
          <w:rStyle w:val="VerbatimChar"/>
        </w:rPr>
        <w:t xml:space="preserve"> labeling         0.4.3      2023-08-29 [3] CRAN (R 4.3.1)</w:t>
      </w:r>
      <w:r>
        <w:br/>
      </w:r>
      <w:r>
        <w:rPr>
          <w:rStyle w:val="VerbatimChar"/>
        </w:rPr>
        <w:t xml:space="preserve"> later            1.4.2      2025-04-08 [1] CRAN (R 4.4.1)</w:t>
      </w:r>
      <w:r>
        <w:br/>
      </w:r>
      <w:r>
        <w:rPr>
          <w:rStyle w:val="VerbatimChar"/>
        </w:rPr>
        <w:t xml:space="preserve"> lattice          0.22-7     2025-04-02 [4] CRAN (R 4.4.3)</w:t>
      </w:r>
      <w:r>
        <w:br/>
      </w:r>
      <w:r>
        <w:rPr>
          <w:rStyle w:val="VerbatimChar"/>
        </w:rPr>
        <w:t xml:space="preserve"> lifecycle        1.0.4      2023-11-07 [3] CRAN (R 4.3.2)</w:t>
      </w:r>
      <w:r>
        <w:br/>
      </w:r>
      <w:r>
        <w:rPr>
          <w:rStyle w:val="VerbatimChar"/>
        </w:rPr>
        <w:t xml:space="preserve"> listenv          0.9.1      2024-01-29 [3] CRAN (R 4.3.2)</w:t>
      </w:r>
      <w:r>
        <w:br/>
      </w:r>
      <w:r>
        <w:rPr>
          <w:rStyle w:val="VerbatimChar"/>
        </w:rPr>
        <w:t xml:space="preserve"> magrittr         2.0.3      2022-03-30 [3] CRAN (R 4.2.0)</w:t>
      </w:r>
      <w:r>
        <w:br/>
      </w:r>
      <w:r>
        <w:rPr>
          <w:rStyle w:val="VerbatimChar"/>
        </w:rPr>
        <w:t xml:space="preserve"> Matrix           1.7-3      2025-03-11 [4] CRAN (R 4.4.3)</w:t>
      </w:r>
      <w:r>
        <w:br/>
      </w:r>
      <w:r>
        <w:rPr>
          <w:rStyle w:val="VerbatimChar"/>
        </w:rPr>
        <w:t xml:space="preserve"> memoise          2.0.1      2021-11-26 [3] CRAN (R 4.1.2)</w:t>
      </w:r>
      <w:r>
        <w:br/>
      </w:r>
      <w:r>
        <w:rPr>
          <w:rStyle w:val="VerbatimChar"/>
        </w:rPr>
        <w:t xml:space="preserve"> mime             0.13       2025-03-17 [1] CRAN (R 4.4.1)</w:t>
      </w:r>
      <w:r>
        <w:br/>
      </w:r>
      <w:r>
        <w:rPr>
          <w:rStyle w:val="VerbatimChar"/>
        </w:rPr>
        <w:t xml:space="preserve"> miniUI           0.1.2      2025-04-17 [1] CRAN (R 4.4.1)</w:t>
      </w:r>
      <w:r>
        <w:br/>
      </w:r>
      <w:r>
        <w:rPr>
          <w:rStyle w:val="VerbatimChar"/>
        </w:rPr>
        <w:t xml:space="preserve"> parallelly       1.45.0     2025-06-02 [1] CRAN (R 4.4.1)</w:t>
      </w:r>
      <w:r>
        <w:br/>
      </w:r>
      <w:r>
        <w:rPr>
          <w:rStyle w:val="VerbatimChar"/>
        </w:rPr>
        <w:t xml:space="preserve"> pillar           1.10.2     2025-04-05 [1] CRAN (R 4.4.1)</w:t>
      </w:r>
      <w:r>
        <w:br/>
      </w:r>
      <w:r>
        <w:rPr>
          <w:rStyle w:val="VerbatimChar"/>
        </w:rPr>
        <w:t xml:space="preserve"> pkgbuild         1.4.7      2025-03-24 [1] CRAN (R 4.4.1)</w:t>
      </w:r>
      <w:r>
        <w:br/>
      </w:r>
      <w:r>
        <w:rPr>
          <w:rStyle w:val="VerbatimChar"/>
        </w:rPr>
        <w:t xml:space="preserve"> pkgconfig        2.0.3      2019-09-22 [3] CRAN (R 4.0.0)</w:t>
      </w:r>
      <w:r>
        <w:br/>
      </w:r>
      <w:r>
        <w:rPr>
          <w:rStyle w:val="VerbatimChar"/>
        </w:rPr>
        <w:t xml:space="preserve"> pkgload          1.4.0      2024-06-28 [3] CRAN (R 4.4.1)</w:t>
      </w:r>
      <w:r>
        <w:br/>
      </w:r>
      <w:r>
        <w:rPr>
          <w:rStyle w:val="VerbatimChar"/>
        </w:rPr>
        <w:t xml:space="preserve"> plyr             1.8.9      2023-10-02 [3] CRAN (R 4.3.1)</w:t>
      </w:r>
      <w:r>
        <w:br/>
      </w:r>
      <w:r>
        <w:rPr>
          <w:rStyle w:val="VerbatimChar"/>
        </w:rPr>
        <w:t xml:space="preserve"> profvis          0.4.0      2024-09-20 [3] CRAN (R 4.4.1)</w:t>
      </w:r>
      <w:r>
        <w:br/>
      </w:r>
      <w:r>
        <w:rPr>
          <w:rStyle w:val="VerbatimChar"/>
        </w:rPr>
        <w:t xml:space="preserve"> promises         1.3.2      2024-11-28 [3] CRAN (R 4.4.2)</w:t>
      </w:r>
      <w:r>
        <w:br/>
      </w:r>
      <w:r>
        <w:rPr>
          <w:rStyle w:val="VerbatimChar"/>
        </w:rPr>
        <w:t xml:space="preserve"> purrr          * 1.0.4      2025-02-05 [1] CRAN (R 4.4.1)</w:t>
      </w:r>
      <w:r>
        <w:br/>
      </w:r>
      <w:r>
        <w:rPr>
          <w:rStyle w:val="VerbatimChar"/>
        </w:rPr>
        <w:t xml:space="preserve"> R6               2.6.1      2025-02-15 [1] CRAN (R 4.4.1)</w:t>
      </w:r>
      <w:r>
        <w:br/>
      </w:r>
      <w:r>
        <w:rPr>
          <w:rStyle w:val="VerbatimChar"/>
        </w:rPr>
        <w:t xml:space="preserve"> rbibutils        2.3        2024-10-04 [3] CRAN (R 4.4.1)</w:t>
      </w:r>
      <w:r>
        <w:br/>
      </w:r>
      <w:r>
        <w:rPr>
          <w:rStyle w:val="VerbatimChar"/>
        </w:rPr>
        <w:t xml:space="preserve"> RColorBrewer     1.1-3      2022-04-03 [3] CRAN (R 4.2.0)</w:t>
      </w:r>
      <w:r>
        <w:br/>
      </w:r>
      <w:r>
        <w:rPr>
          <w:rStyle w:val="VerbatimChar"/>
        </w:rPr>
        <w:t xml:space="preserve"> Rcpp             1.0.14     2025-01-12 [1] CRAN (R 4.4.1)</w:t>
      </w:r>
      <w:r>
        <w:br/>
      </w:r>
      <w:r>
        <w:rPr>
          <w:rStyle w:val="VerbatimChar"/>
        </w:rPr>
        <w:t xml:space="preserve"> Rdpack           2.6.4      2025-04-09 [1] CRAN (R 4.4.1)</w:t>
      </w:r>
      <w:r>
        <w:br/>
      </w:r>
      <w:r>
        <w:rPr>
          <w:rStyle w:val="VerbatimChar"/>
        </w:rPr>
        <w:t xml:space="preserve"> remotes          2.5.0      2024-03-17 [3] CRAN (R 4.4.1)</w:t>
      </w:r>
      <w:r>
        <w:br/>
      </w:r>
      <w:r>
        <w:rPr>
          <w:rStyle w:val="VerbatimChar"/>
        </w:rPr>
        <w:t xml:space="preserve"> rlang            1.1.6      2025-04-11 [1] CRAN (R 4.4.1)</w:t>
      </w:r>
      <w:r>
        <w:br/>
      </w:r>
      <w:r>
        <w:rPr>
          <w:rStyle w:val="VerbatimChar"/>
        </w:rPr>
        <w:t xml:space="preserve"> rmarkdown        2.29       2024-11-04 [3] CRAN (R 4.4.2)</w:t>
      </w:r>
      <w:r>
        <w:br/>
      </w:r>
      <w:r>
        <w:rPr>
          <w:rStyle w:val="VerbatimChar"/>
        </w:rPr>
        <w:t xml:space="preserve"> rstatix          0.7.2      2023-02-01 [3] CRAN (R 4.2.2)</w:t>
      </w:r>
      <w:r>
        <w:br/>
      </w:r>
      <w:r>
        <w:rPr>
          <w:rStyle w:val="VerbatimChar"/>
        </w:rPr>
        <w:t xml:space="preserve"> rstudioapi       0.17.1     2024-10-22 [3] CRAN (R 4.4.1)</w:t>
      </w:r>
      <w:r>
        <w:br/>
      </w:r>
      <w:r>
        <w:rPr>
          <w:rStyle w:val="VerbatimChar"/>
        </w:rPr>
        <w:t xml:space="preserve"> scales           1.4.0      2025-04-24 [1] CRAN (R 4.4.1)</w:t>
      </w:r>
      <w:r>
        <w:br/>
      </w:r>
      <w:r>
        <w:rPr>
          <w:rStyle w:val="VerbatimChar"/>
        </w:rPr>
        <w:t xml:space="preserve"> sessioninfo      1.2.3      2025-02-05 [3] CRAN (R 4.4.2)</w:t>
      </w:r>
      <w:r>
        <w:br/>
      </w:r>
      <w:r>
        <w:rPr>
          <w:rStyle w:val="VerbatimChar"/>
        </w:rPr>
        <w:t xml:space="preserve"> shiny            1.10.0     2024-12-14 [3] CRAN (R 4.4.2)</w:t>
      </w:r>
      <w:r>
        <w:br/>
      </w:r>
      <w:r>
        <w:rPr>
          <w:rStyle w:val="VerbatimChar"/>
        </w:rPr>
        <w:t xml:space="preserve"> ssddata        * 1.0.0      2021-11-05 [1] CRAN (R 4.4.1)</w:t>
      </w:r>
      <w:r>
        <w:br/>
      </w:r>
      <w:r>
        <w:rPr>
          <w:rStyle w:val="VerbatimChar"/>
        </w:rPr>
        <w:t xml:space="preserve"> ssdinversionrr * 0.0.0.9000 2025-05-26 [1] local</w:t>
      </w:r>
      <w:r>
        <w:br/>
      </w:r>
      <w:r>
        <w:rPr>
          <w:rStyle w:val="VerbatimChar"/>
        </w:rPr>
        <w:t xml:space="preserve"> ssdtools       * 2.3.0.9004 2025-06-05 [1] Github (poissonconsulting/ssdtools@1e1ae89)</w:t>
      </w:r>
      <w:r>
        <w:br/>
      </w:r>
      <w:r>
        <w:rPr>
          <w:rStyle w:val="VerbatimChar"/>
        </w:rPr>
        <w:t xml:space="preserve"> stringi          1.8.7      2025-03-27 [1] CRAN (R 4.4.1)</w:t>
      </w:r>
      <w:r>
        <w:br/>
      </w:r>
      <w:r>
        <w:rPr>
          <w:rStyle w:val="VerbatimChar"/>
        </w:rPr>
        <w:t xml:space="preserve"> stringr          1.5.1      2023-11-14 [3] CRAN (R 4.3.2)</w:t>
      </w:r>
      <w:r>
        <w:br/>
      </w:r>
      <w:r>
        <w:rPr>
          <w:rStyle w:val="VerbatimChar"/>
        </w:rPr>
        <w:t xml:space="preserve"> tibble           3.2.1      2023-03-20 [3] CRAN (R 4.4.2)</w:t>
      </w:r>
      <w:r>
        <w:br/>
      </w:r>
      <w:r>
        <w:rPr>
          <w:rStyle w:val="VerbatimChar"/>
        </w:rPr>
        <w:t xml:space="preserve"> tidyr          * 1.3.1      2024-01-24 [3] CRAN (R 4.3.2)</w:t>
      </w:r>
      <w:r>
        <w:br/>
      </w:r>
      <w:r>
        <w:rPr>
          <w:rStyle w:val="VerbatimChar"/>
        </w:rPr>
        <w:t xml:space="preserve"> tidyselect       1.2.1      2024-03-11 [3] CRAN (R 4.4.0)</w:t>
      </w:r>
      <w:r>
        <w:br/>
      </w:r>
      <w:r>
        <w:rPr>
          <w:rStyle w:val="VerbatimChar"/>
        </w:rPr>
        <w:t xml:space="preserve"> TMB              1.9.17     2025-03-10 [1] CRAN (R 4.4.1)</w:t>
      </w:r>
      <w:r>
        <w:br/>
      </w:r>
      <w:r>
        <w:rPr>
          <w:rStyle w:val="VerbatimChar"/>
        </w:rPr>
        <w:t xml:space="preserve"> universals       0.0.5      2022-09-22 [1] CRAN (R 4.4.1)</w:t>
      </w:r>
      <w:r>
        <w:br/>
      </w:r>
      <w:r>
        <w:rPr>
          <w:rStyle w:val="VerbatimChar"/>
        </w:rPr>
        <w:t xml:space="preserve"> urlchecker       1.0.1      2021-11-30 [3] CRAN (R 4.2.1)</w:t>
      </w:r>
      <w:r>
        <w:br/>
      </w:r>
      <w:r>
        <w:rPr>
          <w:rStyle w:val="VerbatimChar"/>
        </w:rPr>
        <w:t xml:space="preserve"> usethis          3.1.0      2024-11-26 [3] CRAN (R 4.4.2)</w:t>
      </w:r>
      <w:r>
        <w:br/>
      </w:r>
      <w:r>
        <w:rPr>
          <w:rStyle w:val="VerbatimChar"/>
        </w:rPr>
        <w:t xml:space="preserve"> vctrs            0.6.5      2023-12-01 [3] CRAN (R 4.3.2)</w:t>
      </w:r>
      <w:r>
        <w:br/>
      </w:r>
      <w:r>
        <w:rPr>
          <w:rStyle w:val="VerbatimChar"/>
        </w:rPr>
        <w:t xml:space="preserve"> withr            3.0.2      2024-10-28 [3] CRAN (R 4.4.1)</w:t>
      </w:r>
      <w:r>
        <w:br/>
      </w:r>
      <w:r>
        <w:rPr>
          <w:rStyle w:val="VerbatimChar"/>
        </w:rPr>
        <w:t xml:space="preserve"> xfun             0.52       2025-04-02 [1] CRAN (R 4.4.1)</w:t>
      </w:r>
      <w:r>
        <w:br/>
      </w:r>
      <w:r>
        <w:rPr>
          <w:rStyle w:val="VerbatimChar"/>
        </w:rPr>
        <w:t xml:space="preserve"> xml2             1.3.8      2025-03-14 [1] CRAN (R 4.4.1)</w:t>
      </w:r>
      <w:r>
        <w:br/>
      </w:r>
      <w:r>
        <w:rPr>
          <w:rStyle w:val="VerbatimChar"/>
        </w:rPr>
        <w:t xml:space="preserve"> xtable           1.8-4      2019-04-21 [3] CRAN (R 4.0.0)</w:t>
      </w:r>
      <w:r>
        <w:br/>
      </w:r>
      <w:r>
        <w:rPr>
          <w:rStyle w:val="VerbatimChar"/>
        </w:rPr>
        <w:t xml:space="preserve"> yaml             2.3.10     2024-07-26 [3] CRAN (R 4.4.1)</w:t>
      </w:r>
      <w:r>
        <w:br/>
      </w:r>
      <w:r>
        <w:br/>
      </w:r>
      <w:r>
        <w:rPr>
          <w:rStyle w:val="VerbatimChar"/>
        </w:rPr>
        <w:t xml:space="preserve"> [1] /home/rfisher/R/x86_64-pc-linux-gnu-library/4.4</w:t>
      </w:r>
      <w:r>
        <w:br/>
      </w:r>
      <w:r>
        <w:rPr>
          <w:rStyle w:val="VerbatimChar"/>
        </w:rPr>
        <w:t xml:space="preserve"> [2] /usr/local/lib/R/site-library</w:t>
      </w:r>
      <w:r>
        <w:br/>
      </w:r>
      <w:r>
        <w:rPr>
          <w:rStyle w:val="VerbatimChar"/>
        </w:rPr>
        <w:t xml:space="preserve"> [3] /usr/lib/R/site-library</w:t>
      </w:r>
      <w:r>
        <w:br/>
      </w:r>
      <w:r>
        <w:rPr>
          <w:rStyle w:val="VerbatimChar"/>
        </w:rPr>
        <w:t xml:space="preserve"> [4] /usr/lib/R/library</w:t>
      </w:r>
      <w:r>
        <w:br/>
      </w:r>
      <w:r>
        <w:rPr>
          <w:rStyle w:val="VerbatimChar"/>
        </w:rPr>
        <w:t xml:space="preserve"> * ── Packages attached to the search path.</w:t>
      </w:r>
      <w:r>
        <w:br/>
      </w:r>
      <w:r>
        <w:br/>
      </w:r>
      <w:r>
        <w:rPr>
          <w:rStyle w:val="VerbatimChar"/>
        </w:rPr>
        <w:t xml:space="preserve">──────────────────────────────────────────────────────────────────────────────</w:t>
      </w:r>
    </w:p>
    <w:p>
      <w:pPr>
        <w:pStyle w:val="FirstParagraph"/>
      </w:pPr>
      <w:r>
        <w:t xml:space="preserve">The current Git commit details are:</w:t>
      </w:r>
    </w:p>
    <w:p>
      <w:pPr>
        <w:pStyle w:val="SourceCode"/>
      </w:pPr>
      <w:r>
        <w:rPr>
          <w:rStyle w:val="CommentTok"/>
        </w:rPr>
        <w:t xml:space="preserve"># what commit is this file at? </w:t>
      </w:r>
      <w:r>
        <w:br/>
      </w:r>
      <w:r>
        <w:rPr>
          <w:rStyle w:val="ControlFlowTok"/>
        </w:rPr>
        <w:t xml:space="preserve">if</w:t>
      </w:r>
      <w:r>
        <w:rPr>
          <w:rStyle w:val="NormalTok"/>
        </w:rPr>
        <w:t xml:space="preserve"> (</w:t>
      </w:r>
      <w:r>
        <w:rPr>
          <w:rStyle w:val="StringTok"/>
        </w:rPr>
        <w:t xml:space="preserve">"git2r"</w:t>
      </w:r>
      <w:r>
        <w:rPr>
          <w:rStyle w:val="NormalTok"/>
        </w:rPr>
        <w:t xml:space="preserve"> </w:t>
      </w:r>
      <w:r>
        <w:rPr>
          <w:rStyle w:val="SpecialCharTok"/>
        </w:rPr>
        <w:t xml:space="preserve">%in%</w:t>
      </w:r>
      <w:r>
        <w:rPr>
          <w:rStyle w:val="NormalTok"/>
        </w:rPr>
        <w:t xml:space="preserve"> </w:t>
      </w:r>
      <w:r>
        <w:rPr>
          <w:rStyle w:val="FunctionTok"/>
        </w:rPr>
        <w:t xml:space="preserve">installed.packages</w:t>
      </w:r>
      <w:r>
        <w:rPr>
          <w:rStyle w:val="NormalTok"/>
        </w:rPr>
        <w:t xml:space="preserve">() </w:t>
      </w:r>
      <w:r>
        <w:rPr>
          <w:rStyle w:val="SpecialCharTok"/>
        </w:rPr>
        <w:t xml:space="preserve">&amp;</w:t>
      </w:r>
      <w:r>
        <w:rPr>
          <w:rStyle w:val="NormalTok"/>
        </w:rPr>
        <w:t xml:space="preserve"> git2r</w:t>
      </w:r>
      <w:r>
        <w:rPr>
          <w:rStyle w:val="SpecialCharTok"/>
        </w:rPr>
        <w:t xml:space="preserve">::</w:t>
      </w:r>
      <w:r>
        <w:rPr>
          <w:rStyle w:val="FunctionTok"/>
        </w:rPr>
        <w:t xml:space="preserve">in_repository</w:t>
      </w:r>
      <w:r>
        <w:rPr>
          <w:rStyle w:val="NormalTok"/>
        </w:rPr>
        <w:t xml:space="preserve">(</w:t>
      </w:r>
      <w:r>
        <w:rPr>
          <w:rStyle w:val="AttributeTok"/>
        </w:rPr>
        <w:t xml:space="preserve">path =</w:t>
      </w:r>
      <w:r>
        <w:rPr>
          <w:rStyle w:val="NormalTok"/>
        </w:rPr>
        <w:t xml:space="preserve"> </w:t>
      </w:r>
      <w:r>
        <w:rPr>
          <w:rStyle w:val="StringTok"/>
        </w:rPr>
        <w:t xml:space="preserve">"."</w:t>
      </w:r>
      <w:r>
        <w:rPr>
          <w:rStyle w:val="NormalTok"/>
        </w:rPr>
        <w:t xml:space="preserve">)) git2r</w:t>
      </w:r>
      <w:r>
        <w:rPr>
          <w:rStyle w:val="SpecialCharTok"/>
        </w:rPr>
        <w:t xml:space="preserve">::</w:t>
      </w:r>
      <w:r>
        <w:rPr>
          <w:rStyle w:val="FunctionTok"/>
        </w:rPr>
        <w:t xml:space="preserve">repository</w:t>
      </w:r>
      <w:r>
        <w:rPr>
          <w:rStyle w:val="NormalTok"/>
        </w:rPr>
        <w:t xml:space="preserve">(here</w:t>
      </w:r>
      <w:r>
        <w:rPr>
          <w:rStyle w:val="SpecialCharTok"/>
        </w:rPr>
        <w:t xml:space="preserve">::</w:t>
      </w:r>
      <w:r>
        <w:rPr>
          <w:rStyle w:val="FunctionTok"/>
        </w:rPr>
        <w:t xml:space="preserve">here</w:t>
      </w:r>
      <w:r>
        <w:rPr>
          <w:rStyle w:val="NormalTok"/>
        </w:rPr>
        <w:t xml:space="preserve">())  </w:t>
      </w:r>
    </w:p>
    <w:p>
      <w:pPr>
        <w:pStyle w:val="SourceCode"/>
      </w:pPr>
      <w:r>
        <w:rPr>
          <w:rStyle w:val="VerbatimChar"/>
        </w:rPr>
        <w:t xml:space="preserve">Local:    main /mnt/c/Rworking/ssdinversionrr</w:t>
      </w:r>
      <w:r>
        <w:br/>
      </w:r>
      <w:r>
        <w:rPr>
          <w:rStyle w:val="VerbatimChar"/>
        </w:rPr>
        <w:t xml:space="preserve">Remote:   main @ origin (git@github.com:poissonconsulting/ssdinversionrr.git)</w:t>
      </w:r>
      <w:r>
        <w:br/>
      </w:r>
      <w:r>
        <w:rPr>
          <w:rStyle w:val="VerbatimChar"/>
        </w:rPr>
        <w:t xml:space="preserve">Head:     [1967854] 2025-06-10: equation cross references and added missing reference</w:t>
      </w:r>
    </w:p>
    <w:bookmarkEnd w:id="57"/>
    <w:bookmarkEnd w:id="58"/>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44" Target="https://doi.org/10.1007/b97636" TargetMode="External" /><Relationship Type="http://schemas.openxmlformats.org/officeDocument/2006/relationships/hyperlink" Id="rId42" Target="https://doi.org/10.1080/15715124.2021.2016783" TargetMode="External" /><Relationship Type="http://schemas.openxmlformats.org/officeDocument/2006/relationships/hyperlink" Id="rId54" Target="https://doi.org/10.13140/RG.2.2.36577.35686" TargetMode="External" /><Relationship Type="http://schemas.openxmlformats.org/officeDocument/2006/relationships/hyperlink" Id="rId52" Target="https://doi.org/10.21105/joss.01082" TargetMode="External" /><Relationship Type="http://schemas.openxmlformats.org/officeDocument/2006/relationships/hyperlink" Id="rId50" Target="https://doi.org/10.21105/joss.07492" TargetMode="External" /><Relationship Type="http://schemas.openxmlformats.org/officeDocument/2006/relationships/hyperlink" Id="rId48" Target="https://doi.org/10.25845/xtvt-yc51" TargetMode="External" /><Relationship Type="http://schemas.openxmlformats.org/officeDocument/2006/relationships/hyperlink" Id="rId46" Target="https://doi.org/10.32614/cran.package.ssddata" TargetMode="External" /><Relationship Type="http://schemas.openxmlformats.org/officeDocument/2006/relationships/hyperlink" Id="rId20" Target="mailto:david.fox@environmetrics.net.au"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07/b97636" TargetMode="External" /><Relationship Type="http://schemas.openxmlformats.org/officeDocument/2006/relationships/hyperlink" Id="rId42" Target="https://doi.org/10.1080/15715124.2021.2016783" TargetMode="External" /><Relationship Type="http://schemas.openxmlformats.org/officeDocument/2006/relationships/hyperlink" Id="rId54" Target="https://doi.org/10.13140/RG.2.2.36577.35686" TargetMode="External" /><Relationship Type="http://schemas.openxmlformats.org/officeDocument/2006/relationships/hyperlink" Id="rId52" Target="https://doi.org/10.21105/joss.01082" TargetMode="External" /><Relationship Type="http://schemas.openxmlformats.org/officeDocument/2006/relationships/hyperlink" Id="rId50" Target="https://doi.org/10.21105/joss.07492" TargetMode="External" /><Relationship Type="http://schemas.openxmlformats.org/officeDocument/2006/relationships/hyperlink" Id="rId48" Target="https://doi.org/10.25845/xtvt-yc51" TargetMode="External" /><Relationship Type="http://schemas.openxmlformats.org/officeDocument/2006/relationships/hyperlink" Id="rId46" Target="https://doi.org/10.32614/cran.package.ssddata" TargetMode="External" /><Relationship Type="http://schemas.openxmlformats.org/officeDocument/2006/relationships/hyperlink" Id="rId20" Target="mailto:david.fox@environmetrics.net.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averaging statistical distributions and the inversion principle</dc:title>
  <dc:creator>David Fox1,2,✉, Rebecca Fisher3,5, and Joe Thorley</dc:creator>
  <cp:keywords/>
  <dcterms:created xsi:type="dcterms:W3CDTF">2025-06-10T08:19:29Z</dcterms:created>
  <dcterms:modified xsi:type="dcterms:W3CDTF">2025-06-10T08:19:29Z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affiliation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csl">
    <vt:lpwstr>../templates/journal-of-archaeological-science.csl</vt:lpwstr>
  </property>
  <property fmtid="{D5CDD505-2E9C-101B-9397-08002B2CF9AE}" pid="8" name="date">
    <vt:lpwstr>June 10, 2025</vt:lpwstr>
  </property>
  <property fmtid="{D5CDD505-2E9C-101B-9397-08002B2CF9AE}" pid="9" name="date-format">
    <vt:lpwstr>long</vt:lpwstr>
  </property>
  <property fmtid="{D5CDD505-2E9C-101B-9397-08002B2CF9AE}" pid="10" name="execute">
    <vt:lpwstr/>
  </property>
  <property fmtid="{D5CDD505-2E9C-101B-9397-08002B2CF9AE}" pid="11" name="header-includes">
    <vt:lpwstr/>
  </property>
  <property fmtid="{D5CDD505-2E9C-101B-9397-08002B2CF9AE}" pid="12" name="highlights">
    <vt:lpwstr>This paper descibes how typical arithmetic averaging of statistical distributions fails to satisfy the inversion princple and provides an alternative method for obtaining model averaged values from the extremes of statistical distributions.</vt:lpwstr>
  </property>
  <property fmtid="{D5CDD505-2E9C-101B-9397-08002B2CF9AE}" pid="13" name="include-after">
    <vt:lpwstr/>
  </property>
  <property fmtid="{D5CDD505-2E9C-101B-9397-08002B2CF9AE}" pid="14" name="include-before">
    <vt:lpwstr/>
  </property>
  <property fmtid="{D5CDD505-2E9C-101B-9397-08002B2CF9AE}" pid="15" name="institutes">
    <vt:lpwstr/>
  </property>
  <property fmtid="{D5CDD505-2E9C-101B-9397-08002B2CF9AE}" pid="16" name="labels">
    <vt:lpwstr/>
  </property>
  <property fmtid="{D5CDD505-2E9C-101B-9397-08002B2CF9AE}" pid="17" name="title-block-published">
    <vt:lpwstr>Last updated</vt:lpwstr>
  </property>
  <property fmtid="{D5CDD505-2E9C-101B-9397-08002B2CF9AE}" pid="18" name="toc-title">
    <vt:lpwstr>Table of contents</vt:lpwstr>
  </property>
</Properties>
</file>