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4F46E5"/>
          <w:sz w:val="52"/>
          <w:szCs w:val="52"/>
        </w:rPr>
        <w:t xml:space="preserve">Educa+</w:t>
      </w:r>
    </w:p>
    <w:p>
      <w:pPr>
        <w:spacing w:after="40" w:before="0"/>
        <w:jc w:val="center"/>
      </w:pPr>
      <w:r>
        <w:rPr>
          <w:rFonts w:ascii="Calibri" w:cs="Calibri" w:eastAsia="Calibri" w:hAnsi="Calibri"/>
          <w:color w:val="6B7280"/>
          <w:sz w:val="24"/>
          <w:szCs w:val="24"/>
        </w:rPr>
        <w:t xml:space="preserve">EducaPlus Inc.</w:t>
      </w:r>
    </w:p>
    <w:p>
      <w:pPr>
        <w:spacing w:after="40" w:before="0"/>
        <w:jc w:val="center"/>
      </w:pPr>
      <w:r>
        <w:rPr>
          <w:rFonts w:ascii="Calibri" w:cs="Calibri" w:eastAsia="Calibri" w:hAnsi="Calibri"/>
          <w:i/>
          <w:iCs/>
          <w:color w:val="1E1B4B"/>
          <w:sz w:val="22"/>
          <w:szCs w:val="22"/>
        </w:rPr>
        <w:t xml:space="preserve">Plateforme éducative adaptative — Secondaire québécois</w:t>
      </w:r>
    </w:p>
    <w:p>
      <w:pPr>
        <w:spacing w:after="280" w:before="0"/>
        <w:jc w:val="center"/>
      </w:pPr>
      <w:r>
        <w:rPr>
          <w:rFonts w:ascii="Calibri" w:cs="Calibri" w:eastAsia="Calibri" w:hAnsi="Calibri"/>
          <w:color w:val="6B7280"/>
          <w:sz w:val="18"/>
          <w:szCs w:val="18"/>
        </w:rPr>
        <w:t xml:space="preserve">plateforme-educative.vercel.app  ·  Juillet 2026</w:t>
      </w:r>
    </w:p>
    <w:p>
      <w:pPr>
        <w:pBdr>
          <w:bottom w:val="single" w:color="4F46E5" w:sz="8"/>
        </w:pBdr>
        <w:spacing w:after="280" w:before="0"/>
      </w:pPr>
      <w:r>
        <w:t xml:space="preserve"/>
      </w:r>
    </w:p>
    <w:p>
      <w:pPr>
        <w:pStyle w:val="Heading1"/>
        <w:pBdr>
          <w:bottom w:val="single" w:color="4F46E5" w:sz="4" w:space="6"/>
        </w:pBdr>
        <w:spacing w:after="120" w:before="360"/>
      </w:pPr>
      <w:r>
        <w:rPr>
          <w:rFonts w:ascii="Calibri" w:cs="Calibri" w:eastAsia="Calibri" w:hAnsi="Calibri"/>
          <w:b/>
          <w:bCs/>
          <w:color w:val="4F46E5"/>
          <w:sz w:val="28"/>
          <w:szCs w:val="28"/>
        </w:rPr>
        <w:t xml:space="preserve">1. Description de l'entreprise</w:t>
      </w:r>
    </w:p>
    <w:p>
      <w:pPr>
        <w:spacing w:after="80" w:before="80"/>
      </w:pPr>
      <w:r>
        <w:rPr>
          <w:rFonts w:ascii="Calibri" w:cs="Calibri" w:eastAsia="Calibri" w:hAnsi="Calibri"/>
          <w:color w:val="374151"/>
          <w:sz w:val="20"/>
          <w:szCs w:val="20"/>
        </w:rPr>
        <w:t xml:space="preserve">EducaPlus est une entreprise québécoise qui développe et exploite une plateforme éducative numérique adaptative destinée aux élèves du secondaire (Sec 1 à Sec 5) et à leurs parents. La plateforme est disponible en ligne à l'adresse plateforme-educative.vercel.app et accessible sur ordinateur, tablette et téléphone intelligent.</w:t>
      </w:r>
    </w:p>
    <w:p>
      <w:pPr>
        <w:spacing w:after="0" w:before="80"/>
      </w:pPr>
      <w:r>
        <w:t xml:space="preserve"/>
      </w:r>
    </w:p>
    <w:p>
      <w:pPr>
        <w:spacing w:after="80" w:before="80"/>
      </w:pPr>
      <w:r>
        <w:rPr>
          <w:rFonts w:ascii="Calibri" w:cs="Calibri" w:eastAsia="Calibri" w:hAnsi="Calibri"/>
          <w:color w:val="374151"/>
          <w:sz w:val="20"/>
          <w:szCs w:val="20"/>
        </w:rPr>
        <w:t xml:space="preserve">Notre technologie repose sur un algorithme d'apprentissage adaptatif (modèle BKT — Bayesian Knowledge Tracing) qui ajuste automatiquement le niveau et le contenu des exercices en fonction des progrès de chaque élève, offrant une expérience personnalisée impossible à reproduire avec un manuel scolaire traditionnel.</w:t>
      </w:r>
    </w:p>
    <w:p>
      <w:pPr>
        <w:spacing w:after="0" w:before="120"/>
      </w:pPr>
      <w:r>
        <w:t xml:space="preserve"/>
      </w:r>
    </w:p>
    <w:p>
      <w:pPr>
        <w:pStyle w:val="Heading1"/>
        <w:pBdr>
          <w:bottom w:val="single" w:color="4F46E5" w:sz="4" w:space="6"/>
        </w:pBdr>
        <w:spacing w:after="120" w:before="360"/>
      </w:pPr>
      <w:r>
        <w:rPr>
          <w:rFonts w:ascii="Calibri" w:cs="Calibri" w:eastAsia="Calibri" w:hAnsi="Calibri"/>
          <w:b/>
          <w:bCs/>
          <w:color w:val="4F46E5"/>
          <w:sz w:val="28"/>
          <w:szCs w:val="28"/>
        </w:rPr>
        <w:t xml:space="preserve">2. Produit et services offerts</w:t>
      </w:r>
    </w:p>
    <w:p>
      <w:pPr>
        <w:pStyle w:val="Heading2"/>
        <w:spacing w:after="80" w:before="240"/>
      </w:pPr>
      <w:r>
        <w:rPr>
          <w:rFonts w:ascii="Calibri" w:cs="Calibri" w:eastAsia="Calibri" w:hAnsi="Calibri"/>
          <w:b/>
          <w:bCs/>
          <w:color w:val="1E1B4B"/>
          <w:sz w:val="22"/>
          <w:szCs w:val="22"/>
        </w:rPr>
        <w:t xml:space="preserve">Plateforme web et mobile</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color w:val="374151"/>
          <w:sz w:val="20"/>
          <w:szCs w:val="20"/>
        </w:rPr>
        <w:t xml:space="preserve">Plus de 150 exercices interactifs alignés sur le Programme de formation de l'école québécoise (PFEQ)</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b/>
          <w:bCs/>
          <w:color w:val="1E1B4B"/>
          <w:sz w:val="20"/>
          <w:szCs w:val="20"/>
        </w:rPr>
        <w:t xml:space="preserve">Mathématiques et Français (Sec 1) — Sciences : prochainement</w:t>
      </w:r>
      <w:r>
        <w:rPr>
          <w:rFonts w:ascii="Calibri" w:cs="Calibri" w:eastAsia="Calibri" w:hAnsi="Calibri"/>
          <w:color w:val="374151"/>
          <w:sz w:val="20"/>
          <w:szCs w:val="20"/>
        </w:rPr>
        <w:t xml:space="preserve">Matières disponibles : </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b/>
          <w:bCs/>
          <w:color w:val="1E1B4B"/>
          <w:sz w:val="20"/>
          <w:szCs w:val="20"/>
        </w:rPr>
        <w:t xml:space="preserve">le niveau s'ajuste en temps réel selon les réponses de l'élève</w:t>
      </w:r>
      <w:r>
        <w:rPr>
          <w:rFonts w:ascii="Calibri" w:cs="Calibri" w:eastAsia="Calibri" w:hAnsi="Calibri"/>
          <w:color w:val="374151"/>
          <w:sz w:val="20"/>
          <w:szCs w:val="20"/>
        </w:rPr>
        <w:t xml:space="preserve">Algorithme adaptatif BKT : </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b/>
          <w:bCs/>
          <w:color w:val="1E1B4B"/>
          <w:sz w:val="20"/>
          <w:szCs w:val="20"/>
        </w:rPr>
        <w:t xml:space="preserve">points d'expérience (XP), niveaux, badges et étoiles de maîtrise</w:t>
      </w:r>
      <w:r>
        <w:rPr>
          <w:rFonts w:ascii="Calibri" w:cs="Calibri" w:eastAsia="Calibri" w:hAnsi="Calibri"/>
          <w:color w:val="374151"/>
          <w:sz w:val="20"/>
          <w:szCs w:val="20"/>
        </w:rPr>
        <w:t xml:space="preserve">Système de motivation : </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b/>
          <w:bCs/>
          <w:color w:val="1E1B4B"/>
          <w:sz w:val="20"/>
          <w:szCs w:val="20"/>
        </w:rPr>
        <w:t xml:space="preserve">36 questions pour placer précisément l'élève dès la première session</w:t>
      </w:r>
      <w:r>
        <w:rPr>
          <w:rFonts w:ascii="Calibri" w:cs="Calibri" w:eastAsia="Calibri" w:hAnsi="Calibri"/>
          <w:color w:val="374151"/>
          <w:sz w:val="20"/>
          <w:szCs w:val="20"/>
        </w:rPr>
        <w:t xml:space="preserve">Test de positionnement initial : </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b/>
          <w:bCs/>
          <w:color w:val="1E1B4B"/>
          <w:sz w:val="20"/>
          <w:szCs w:val="20"/>
        </w:rPr>
        <w:t xml:space="preserve">revoir les erreurs après chaque session d'exercices</w:t>
      </w:r>
      <w:r>
        <w:rPr>
          <w:rFonts w:ascii="Calibri" w:cs="Calibri" w:eastAsia="Calibri" w:hAnsi="Calibri"/>
          <w:color w:val="374151"/>
          <w:sz w:val="20"/>
          <w:szCs w:val="20"/>
        </w:rPr>
        <w:t xml:space="preserve">Mode révision : </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b/>
          <w:bCs/>
          <w:color w:val="1E1B4B"/>
          <w:sz w:val="20"/>
          <w:szCs w:val="20"/>
        </w:rPr>
        <w:t xml:space="preserve">politique de confidentialité complète, données hébergées de manière sécurisée</w:t>
      </w:r>
      <w:r>
        <w:rPr>
          <w:rFonts w:ascii="Calibri" w:cs="Calibri" w:eastAsia="Calibri" w:hAnsi="Calibri"/>
          <w:color w:val="374151"/>
          <w:sz w:val="20"/>
          <w:szCs w:val="20"/>
        </w:rPr>
        <w:t xml:space="preserve">Conformité Loi 25 : </w:t>
      </w:r>
    </w:p>
    <w:p>
      <w:pPr>
        <w:spacing w:after="0" w:before="80"/>
      </w:pPr>
      <w:r>
        <w:t xml:space="preserve"/>
      </w:r>
    </w:p>
    <w:p>
      <w:pPr>
        <w:pStyle w:val="Heading2"/>
        <w:spacing w:after="80" w:before="240"/>
      </w:pPr>
      <w:r>
        <w:rPr>
          <w:rFonts w:ascii="Calibri" w:cs="Calibri" w:eastAsia="Calibri" w:hAnsi="Calibri"/>
          <w:b/>
          <w:bCs/>
          <w:color w:val="1E1B4B"/>
          <w:sz w:val="22"/>
          <w:szCs w:val="22"/>
        </w:rPr>
        <w:t xml:space="preserve">Tableau de bord parent</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color w:val="374151"/>
          <w:sz w:val="20"/>
          <w:szCs w:val="20"/>
        </w:rPr>
        <w:t xml:space="preserve">Graphiques de progression en temps réel par compétence</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color w:val="374151"/>
          <w:sz w:val="20"/>
          <w:szCs w:val="20"/>
        </w:rPr>
        <w:t xml:space="preserve">Rapport hebdomadaire automatique envoyé par courriel chaque semaine</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color w:val="374151"/>
          <w:sz w:val="20"/>
          <w:szCs w:val="20"/>
        </w:rPr>
        <w:t xml:space="preserve">Suivi des sessions, du temps d'étude et de la précision par matière</w:t>
      </w:r>
    </w:p>
    <w:p>
      <w:pPr>
        <w:spacing w:after="0" w:before="120"/>
      </w:pPr>
      <w:r>
        <w:t xml:space="preserve"/>
      </w:r>
    </w:p>
    <w:p>
      <w:pPr>
        <w:pStyle w:val="Heading1"/>
        <w:pBdr>
          <w:bottom w:val="single" w:color="4F46E5" w:sz="4" w:space="6"/>
        </w:pBdr>
        <w:spacing w:after="120" w:before="360"/>
      </w:pPr>
      <w:r>
        <w:rPr>
          <w:rFonts w:ascii="Calibri" w:cs="Calibri" w:eastAsia="Calibri" w:hAnsi="Calibri"/>
          <w:b/>
          <w:bCs/>
          <w:color w:val="4F46E5"/>
          <w:sz w:val="28"/>
          <w:szCs w:val="28"/>
        </w:rPr>
        <w:t xml:space="preserve">3. Marché cible et opportunité</w:t>
      </w:r>
    </w:p>
    <w:p>
      <w:pPr>
        <w:spacing w:after="80" w:before="80"/>
      </w:pPr>
      <w:r>
        <w:rPr>
          <w:rFonts w:ascii="Calibri" w:cs="Calibri" w:eastAsia="Calibri" w:hAnsi="Calibri"/>
          <w:color w:val="374151"/>
          <w:sz w:val="20"/>
          <w:szCs w:val="20"/>
        </w:rPr>
        <w:t xml:space="preserve">Le Québec compte environ 450 000 élèves inscrits au niveau secondaire dans les écoles publiques et privées. Chaque famille est une cliente potentielle pour notre service d'abonnement mensuel.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Marché total adressable</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450 000 élèves du secondaire au Québec</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Cible initiale</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Parents d'élèves du Sec 1 (environ 90 000 élèves)</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Profil client</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Parent 30–50 ans, soucieux de la réussite scolaire de son enfant</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Canal d'acquisition</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Référencement web (SEO), bouche-à-oreille, réseaux sociaux</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Différenciateur clé</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Contenu 100 % québécois, aligné PFEQ, en français</w:t>
            </w:r>
          </w:p>
        </w:tc>
      </w:tr>
    </w:tbl>
    <w:p>
      <w:pPr>
        <w:spacing w:after="0" w:before="80"/>
      </w:pPr>
      <w:r>
        <w:t xml:space="preserve"/>
      </w:r>
    </w:p>
    <w:p>
      <w:pPr>
        <w:spacing w:after="80" w:before="80"/>
      </w:pPr>
      <w:r>
        <w:rPr>
          <w:rFonts w:ascii="Calibri" w:cs="Calibri" w:eastAsia="Calibri" w:hAnsi="Calibri"/>
          <w:color w:val="374151"/>
          <w:sz w:val="20"/>
          <w:szCs w:val="20"/>
        </w:rPr>
        <w:t xml:space="preserve">Les plateformes concurrentes (Khan Academy, Alloprof, Eduliko) ne proposent pas toutes un suivi adaptatif personnalisé avec tableau de bord parent et rapport hebdomadaire automatisé. EducaPlus comble ce vide sur le marché québécois.</w:t>
      </w:r>
    </w:p>
    <w:p>
      <w:pPr>
        <w:spacing w:after="0" w:before="120"/>
      </w:pPr>
      <w:r>
        <w:t xml:space="preserve"/>
      </w:r>
    </w:p>
    <w:p>
      <w:pPr>
        <w:pStyle w:val="Heading1"/>
        <w:pBdr>
          <w:bottom w:val="single" w:color="4F46E5" w:sz="4" w:space="6"/>
        </w:pBdr>
        <w:spacing w:after="120" w:before="360"/>
      </w:pPr>
      <w:r>
        <w:rPr>
          <w:rFonts w:ascii="Calibri" w:cs="Calibri" w:eastAsia="Calibri" w:hAnsi="Calibri"/>
          <w:b/>
          <w:bCs/>
          <w:color w:val="4F46E5"/>
          <w:sz w:val="28"/>
          <w:szCs w:val="28"/>
        </w:rPr>
        <w:t xml:space="preserve">4. Modèle de revenus</w:t>
      </w:r>
    </w:p>
    <w:p>
      <w:pPr>
        <w:spacing w:after="80" w:before="80"/>
      </w:pPr>
      <w:r>
        <w:rPr>
          <w:rFonts w:ascii="Calibri" w:cs="Calibri" w:eastAsia="Calibri" w:hAnsi="Calibri"/>
          <w:color w:val="374151"/>
          <w:sz w:val="20"/>
          <w:szCs w:val="20"/>
        </w:rPr>
        <w:t xml:space="preserve">EducaPlus fonctionne selon un modèle freemium éprouvé : accès gratuit limité pour attirer les utilisateurs, puis abonnement mensuel payant pour débloquer toutes les fonctionnalités.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Plan gratuit</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Accès aux 3 premiers thèmes par matière — sans limite de temps</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Plan Premium</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19,99 $ / mois — accès illimité à toutes les matières et fonctionnalités</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Facturation</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Mensuelle, par carte de crédit via Stripe (paiements sécurisés)</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Fidélisation</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Rapport hebdomadaire automatique — incitation forte à maintenir l'abonnement</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Annulation</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Sans engagement, annulation en 1 clic via portail client Stripe</w:t>
            </w:r>
          </w:p>
        </w:tc>
      </w:tr>
    </w:tbl>
    <w:p>
      <w:pPr>
        <w:spacing w:after="0" w:before="120"/>
      </w:pPr>
      <w:r>
        <w:t xml:space="preserve"/>
      </w:r>
    </w:p>
    <w:p>
      <w:pPr>
        <w:pStyle w:val="Heading1"/>
        <w:pBdr>
          <w:bottom w:val="single" w:color="4F46E5" w:sz="4" w:space="6"/>
        </w:pBdr>
        <w:spacing w:after="120" w:before="360"/>
      </w:pPr>
      <w:r>
        <w:rPr>
          <w:rFonts w:ascii="Calibri" w:cs="Calibri" w:eastAsia="Calibri" w:hAnsi="Calibri"/>
          <w:b/>
          <w:bCs/>
          <w:color w:val="4F46E5"/>
          <w:sz w:val="28"/>
          <w:szCs w:val="28"/>
        </w:rPr>
        <w:t xml:space="preserve">5. Projections financières</w:t>
      </w:r>
    </w:p>
    <w:p>
      <w:pPr>
        <w:spacing w:after="80" w:before="80"/>
      </w:pPr>
      <w:r>
        <w:rPr>
          <w:rFonts w:ascii="Calibri" w:cs="Calibri" w:eastAsia="Calibri" w:hAnsi="Calibri"/>
          <w:color w:val="374151"/>
          <w:sz w:val="20"/>
          <w:szCs w:val="20"/>
        </w:rPr>
        <w:t xml:space="preserve">Projections conservatrices basées sur un taux de conversion freemium → premium de 5 % et une croissance organique progressive.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shd w:fill="4F46E5" w:val="clear"/>
            <w:tcMar>
              <w:top w:type="dxa" w:w="80"/>
              <w:left w:type="dxa" w:w="120"/>
              <w:bottom w:type="dxa" w:w="80"/>
              <w:right w:type="dxa" w:w="120"/>
            </w:tcMar>
          </w:tcPr>
          <w:p>
            <w:r>
              <w:rPr>
                <w:rFonts w:ascii="Calibri" w:cs="Calibri" w:eastAsia="Calibri" w:hAnsi="Calibri"/>
                <w:b/>
                <w:bCs/>
                <w:color w:val="FFFFFF"/>
                <w:sz w:val="18"/>
                <w:szCs w:val="18"/>
              </w:rPr>
              <w:t xml:space="preserve">Période</w:t>
            </w:r>
          </w:p>
        </w:tc>
        <w:tc>
          <w:tcPr>
            <w:tcW w:type="dxa" w:w="2880"/>
            <w:shd w:fill="4F46E5" w:val="clear"/>
            <w:tcMar>
              <w:top w:type="dxa" w:w="80"/>
              <w:left w:type="dxa" w:w="120"/>
              <w:bottom w:type="dxa" w:w="80"/>
              <w:right w:type="dxa" w:w="120"/>
            </w:tcMar>
          </w:tcPr>
          <w:p>
            <w:r>
              <w:rPr>
                <w:rFonts w:ascii="Calibri" w:cs="Calibri" w:eastAsia="Calibri" w:hAnsi="Calibri"/>
                <w:b/>
                <w:bCs/>
                <w:color w:val="FFFFFF"/>
                <w:sz w:val="18"/>
                <w:szCs w:val="18"/>
              </w:rPr>
              <w:t xml:space="preserve">Abonnés Premium</w:t>
            </w:r>
          </w:p>
        </w:tc>
        <w:tc>
          <w:tcPr>
            <w:tcW w:type="dxa" w:w="2880"/>
            <w:shd w:fill="4F46E5" w:val="clear"/>
            <w:tcMar>
              <w:top w:type="dxa" w:w="80"/>
              <w:left w:type="dxa" w:w="120"/>
              <w:bottom w:type="dxa" w:w="80"/>
              <w:right w:type="dxa" w:w="120"/>
            </w:tcMar>
          </w:tcPr>
          <w:p>
            <w:r>
              <w:rPr>
                <w:rFonts w:ascii="Calibri" w:cs="Calibri" w:eastAsia="Calibri" w:hAnsi="Calibri"/>
                <w:b/>
                <w:bCs/>
                <w:color w:val="FFFFFF"/>
                <w:sz w:val="18"/>
                <w:szCs w:val="18"/>
              </w:rPr>
              <w:t xml:space="preserve">Revenus mensuels récurrents (MRR)</w:t>
            </w:r>
          </w:p>
        </w:tc>
      </w:tr>
      <w:tr>
        <w:tc>
          <w:tcPr>
            <w:tcW w:type="dxa" w:w="3600"/>
            <w:shd w:fill="FFFFFF" w:val="clear"/>
            <w:tcMar>
              <w:top w:type="dxa" w:w="80"/>
              <w:left w:type="dxa" w:w="120"/>
              <w:bottom w:type="dxa" w:w="80"/>
              <w:right w:type="dxa" w:w="120"/>
            </w:tcMar>
          </w:tcPr>
          <w:p>
            <w:r>
              <w:rPr>
                <w:rFonts w:ascii="Calibri" w:cs="Calibri" w:eastAsia="Calibri" w:hAnsi="Calibri"/>
                <w:b/>
                <w:bCs/>
                <w:color w:val="1E1B4B"/>
                <w:sz w:val="18"/>
                <w:szCs w:val="18"/>
              </w:rPr>
              <w:t xml:space="preserve">Mois 6</w:t>
            </w:r>
          </w:p>
        </w:tc>
        <w:tc>
          <w:tcPr>
            <w:tcW w:type="dxa" w:w="2880"/>
            <w:shd w:fill="FFFFFF" w:val="clear"/>
            <w:tcMar>
              <w:top w:type="dxa" w:w="80"/>
              <w:left w:type="dxa" w:w="120"/>
              <w:bottom w:type="dxa" w:w="80"/>
              <w:right w:type="dxa" w:w="120"/>
            </w:tcMar>
          </w:tcPr>
          <w:p>
            <w:r>
              <w:rPr>
                <w:rFonts w:ascii="Calibri" w:cs="Calibri" w:eastAsia="Calibri" w:hAnsi="Calibri"/>
                <w:b w:val="false"/>
                <w:bCs w:val="false"/>
                <w:color w:val="1E1B4B"/>
                <w:sz w:val="18"/>
                <w:szCs w:val="18"/>
              </w:rPr>
              <w:t xml:space="preserve">50 abonnés</w:t>
            </w:r>
          </w:p>
        </w:tc>
        <w:tc>
          <w:tcPr>
            <w:tcW w:type="dxa" w:w="2880"/>
            <w:shd w:fill="FFFFFF" w:val="clear"/>
            <w:tcMar>
              <w:top w:type="dxa" w:w="80"/>
              <w:left w:type="dxa" w:w="120"/>
              <w:bottom w:type="dxa" w:w="80"/>
              <w:right w:type="dxa" w:w="120"/>
            </w:tcMar>
          </w:tcPr>
          <w:p>
            <w:r>
              <w:rPr>
                <w:rFonts w:ascii="Calibri" w:cs="Calibri" w:eastAsia="Calibri" w:hAnsi="Calibri"/>
                <w:b w:val="false"/>
                <w:bCs w:val="false"/>
                <w:color w:val="1E1B4B"/>
                <w:sz w:val="18"/>
                <w:szCs w:val="18"/>
              </w:rPr>
              <w:t xml:space="preserve">~1 000 $ / mois</w:t>
            </w:r>
          </w:p>
        </w:tc>
      </w:tr>
      <w:tr>
        <w:tc>
          <w:tcPr>
            <w:tcW w:type="dxa" w:w="3600"/>
            <w:shd w:fill="EEF2FF" w:val="clear"/>
            <w:tcMar>
              <w:top w:type="dxa" w:w="80"/>
              <w:left w:type="dxa" w:w="120"/>
              <w:bottom w:type="dxa" w:w="80"/>
              <w:right w:type="dxa" w:w="120"/>
            </w:tcMar>
          </w:tcPr>
          <w:p>
            <w:r>
              <w:rPr>
                <w:rFonts w:ascii="Calibri" w:cs="Calibri" w:eastAsia="Calibri" w:hAnsi="Calibri"/>
                <w:b/>
                <w:bCs/>
                <w:color w:val="1E1B4B"/>
                <w:sz w:val="18"/>
                <w:szCs w:val="18"/>
              </w:rPr>
              <w:t xml:space="preserve">Mois 12</w:t>
            </w:r>
          </w:p>
        </w:tc>
        <w:tc>
          <w:tcPr>
            <w:tcW w:type="dxa" w:w="2880"/>
            <w:shd w:fill="EEF2FF" w:val="clear"/>
            <w:tcMar>
              <w:top w:type="dxa" w:w="80"/>
              <w:left w:type="dxa" w:w="120"/>
              <w:bottom w:type="dxa" w:w="80"/>
              <w:right w:type="dxa" w:w="120"/>
            </w:tcMar>
          </w:tcPr>
          <w:p>
            <w:r>
              <w:rPr>
                <w:rFonts w:ascii="Calibri" w:cs="Calibri" w:eastAsia="Calibri" w:hAnsi="Calibri"/>
                <w:b w:val="false"/>
                <w:bCs w:val="false"/>
                <w:color w:val="1E1B4B"/>
                <w:sz w:val="18"/>
                <w:szCs w:val="18"/>
              </w:rPr>
              <w:t xml:space="preserve">200 abonnés</w:t>
            </w:r>
          </w:p>
        </w:tc>
        <w:tc>
          <w:tcPr>
            <w:tcW w:type="dxa" w:w="2880"/>
            <w:shd w:fill="EEF2FF" w:val="clear"/>
            <w:tcMar>
              <w:top w:type="dxa" w:w="80"/>
              <w:left w:type="dxa" w:w="120"/>
              <w:bottom w:type="dxa" w:w="80"/>
              <w:right w:type="dxa" w:w="120"/>
            </w:tcMar>
          </w:tcPr>
          <w:p>
            <w:r>
              <w:rPr>
                <w:rFonts w:ascii="Calibri" w:cs="Calibri" w:eastAsia="Calibri" w:hAnsi="Calibri"/>
                <w:b w:val="false"/>
                <w:bCs w:val="false"/>
                <w:color w:val="1E1B4B"/>
                <w:sz w:val="18"/>
                <w:szCs w:val="18"/>
              </w:rPr>
              <w:t xml:space="preserve">~4 000 $ / mois</w:t>
            </w:r>
          </w:p>
        </w:tc>
      </w:tr>
      <w:tr>
        <w:tc>
          <w:tcPr>
            <w:tcW w:type="dxa" w:w="3600"/>
            <w:shd w:fill="FFFFFF" w:val="clear"/>
            <w:tcMar>
              <w:top w:type="dxa" w:w="80"/>
              <w:left w:type="dxa" w:w="120"/>
              <w:bottom w:type="dxa" w:w="80"/>
              <w:right w:type="dxa" w:w="120"/>
            </w:tcMar>
          </w:tcPr>
          <w:p>
            <w:r>
              <w:rPr>
                <w:rFonts w:ascii="Calibri" w:cs="Calibri" w:eastAsia="Calibri" w:hAnsi="Calibri"/>
                <w:b/>
                <w:bCs/>
                <w:color w:val="1E1B4B"/>
                <w:sz w:val="18"/>
                <w:szCs w:val="18"/>
              </w:rPr>
              <w:t xml:space="preserve">Mois 24</w:t>
            </w:r>
          </w:p>
        </w:tc>
        <w:tc>
          <w:tcPr>
            <w:tcW w:type="dxa" w:w="2880"/>
            <w:shd w:fill="FFFFFF" w:val="clear"/>
            <w:tcMar>
              <w:top w:type="dxa" w:w="80"/>
              <w:left w:type="dxa" w:w="120"/>
              <w:bottom w:type="dxa" w:w="80"/>
              <w:right w:type="dxa" w:w="120"/>
            </w:tcMar>
          </w:tcPr>
          <w:p>
            <w:r>
              <w:rPr>
                <w:rFonts w:ascii="Calibri" w:cs="Calibri" w:eastAsia="Calibri" w:hAnsi="Calibri"/>
                <w:b w:val="false"/>
                <w:bCs w:val="false"/>
                <w:color w:val="1E1B4B"/>
                <w:sz w:val="18"/>
                <w:szCs w:val="18"/>
              </w:rPr>
              <w:t xml:space="preserve">600 abonnés</w:t>
            </w:r>
          </w:p>
        </w:tc>
        <w:tc>
          <w:tcPr>
            <w:tcW w:type="dxa" w:w="2880"/>
            <w:shd w:fill="FFFFFF" w:val="clear"/>
            <w:tcMar>
              <w:top w:type="dxa" w:w="80"/>
              <w:left w:type="dxa" w:w="120"/>
              <w:bottom w:type="dxa" w:w="80"/>
              <w:right w:type="dxa" w:w="120"/>
            </w:tcMar>
          </w:tcPr>
          <w:p>
            <w:r>
              <w:rPr>
                <w:rFonts w:ascii="Calibri" w:cs="Calibri" w:eastAsia="Calibri" w:hAnsi="Calibri"/>
                <w:b w:val="false"/>
                <w:bCs w:val="false"/>
                <w:color w:val="1E1B4B"/>
                <w:sz w:val="18"/>
                <w:szCs w:val="18"/>
              </w:rPr>
              <w:t xml:space="preserve">~12 000 $ / mois</w:t>
            </w:r>
          </w:p>
        </w:tc>
      </w:tr>
      <w:tr>
        <w:tc>
          <w:tcPr>
            <w:tcW w:type="dxa" w:w="3600"/>
            <w:shd w:fill="EEF2FF" w:val="clear"/>
            <w:tcMar>
              <w:top w:type="dxa" w:w="80"/>
              <w:left w:type="dxa" w:w="120"/>
              <w:bottom w:type="dxa" w:w="80"/>
              <w:right w:type="dxa" w:w="120"/>
            </w:tcMar>
          </w:tcPr>
          <w:p>
            <w:r>
              <w:rPr>
                <w:rFonts w:ascii="Calibri" w:cs="Calibri" w:eastAsia="Calibri" w:hAnsi="Calibri"/>
                <w:b/>
                <w:bCs/>
                <w:color w:val="1E1B4B"/>
                <w:sz w:val="18"/>
                <w:szCs w:val="18"/>
              </w:rPr>
              <w:t xml:space="preserve">Mois 36</w:t>
            </w:r>
          </w:p>
        </w:tc>
        <w:tc>
          <w:tcPr>
            <w:tcW w:type="dxa" w:w="2880"/>
            <w:shd w:fill="EEF2FF" w:val="clear"/>
            <w:tcMar>
              <w:top w:type="dxa" w:w="80"/>
              <w:left w:type="dxa" w:w="120"/>
              <w:bottom w:type="dxa" w:w="80"/>
              <w:right w:type="dxa" w:w="120"/>
            </w:tcMar>
          </w:tcPr>
          <w:p>
            <w:r>
              <w:rPr>
                <w:rFonts w:ascii="Calibri" w:cs="Calibri" w:eastAsia="Calibri" w:hAnsi="Calibri"/>
                <w:b w:val="false"/>
                <w:bCs w:val="false"/>
                <w:color w:val="1E1B4B"/>
                <w:sz w:val="18"/>
                <w:szCs w:val="18"/>
              </w:rPr>
              <w:t xml:space="preserve">1 500 abonnés</w:t>
            </w:r>
          </w:p>
        </w:tc>
        <w:tc>
          <w:tcPr>
            <w:tcW w:type="dxa" w:w="2880"/>
            <w:shd w:fill="EEF2FF" w:val="clear"/>
            <w:tcMar>
              <w:top w:type="dxa" w:w="80"/>
              <w:left w:type="dxa" w:w="120"/>
              <w:bottom w:type="dxa" w:w="80"/>
              <w:right w:type="dxa" w:w="120"/>
            </w:tcMar>
          </w:tcPr>
          <w:p>
            <w:r>
              <w:rPr>
                <w:rFonts w:ascii="Calibri" w:cs="Calibri" w:eastAsia="Calibri" w:hAnsi="Calibri"/>
                <w:b w:val="false"/>
                <w:bCs w:val="false"/>
                <w:color w:val="1E1B4B"/>
                <w:sz w:val="18"/>
                <w:szCs w:val="18"/>
              </w:rPr>
              <w:t xml:space="preserve">~30 000 $ / mois</w:t>
            </w:r>
          </w:p>
        </w:tc>
      </w:tr>
    </w:tbl>
    <w:p>
      <w:pPr>
        <w:spacing w:after="0" w:before="80"/>
      </w:pPr>
      <w:r>
        <w:t xml:space="preserve"/>
      </w:r>
    </w:p>
    <w:p>
      <w:pPr>
        <w:spacing w:after="80" w:before="80"/>
      </w:pPr>
      <w:r>
        <w:rPr>
          <w:rFonts w:ascii="Calibri" w:cs="Calibri" w:eastAsia="Calibri" w:hAnsi="Calibri"/>
          <w:color w:val="374151"/>
          <w:sz w:val="20"/>
          <w:szCs w:val="20"/>
        </w:rPr>
        <w:t xml:space="preserve">Ces projections reposent sur un investissement marketing modéré (SEO, publicité Facebook/Instagram ciblée parents québécois) et l'expansion progressive des matières couvertes (Sec 2 à Sec 5, Sciences, Histoire).</w:t>
      </w:r>
    </w:p>
    <w:p>
      <w:pPr>
        <w:spacing w:after="0" w:before="120"/>
      </w:pPr>
      <w:r>
        <w:t xml:space="preserve"/>
      </w:r>
    </w:p>
    <w:p>
      <w:pPr>
        <w:pStyle w:val="Heading1"/>
        <w:pBdr>
          <w:bottom w:val="single" w:color="4F46E5" w:sz="4" w:space="6"/>
        </w:pBdr>
        <w:spacing w:after="120" w:before="360"/>
      </w:pPr>
      <w:r>
        <w:rPr>
          <w:rFonts w:ascii="Calibri" w:cs="Calibri" w:eastAsia="Calibri" w:hAnsi="Calibri"/>
          <w:b/>
          <w:bCs/>
          <w:color w:val="4F46E5"/>
          <w:sz w:val="28"/>
          <w:szCs w:val="28"/>
        </w:rPr>
        <w:t xml:space="preserve">6. Avantages concurrentiels</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b/>
          <w:bCs/>
          <w:color w:val="1E1B4B"/>
          <w:sz w:val="20"/>
          <w:szCs w:val="20"/>
        </w:rPr>
        <w:t xml:space="preserve">contenu en français, aligné sur le PFEQ — aucun équivalent direct sur le marché</w:t>
      </w:r>
      <w:r>
        <w:rPr>
          <w:rFonts w:ascii="Calibri" w:cs="Calibri" w:eastAsia="Calibri" w:hAnsi="Calibri"/>
          <w:color w:val="374151"/>
          <w:sz w:val="20"/>
          <w:szCs w:val="20"/>
        </w:rPr>
        <w:t xml:space="preserve">100 % québécois : </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b/>
          <w:bCs/>
          <w:color w:val="1E1B4B"/>
          <w:sz w:val="20"/>
          <w:szCs w:val="20"/>
        </w:rPr>
        <w:t xml:space="preserve">algorithme BKT qui personnalise l'expérience de chaque élève</w:t>
      </w:r>
      <w:r>
        <w:rPr>
          <w:rFonts w:ascii="Calibri" w:cs="Calibri" w:eastAsia="Calibri" w:hAnsi="Calibri"/>
          <w:color w:val="374151"/>
          <w:sz w:val="20"/>
          <w:szCs w:val="20"/>
        </w:rPr>
        <w:t xml:space="preserve">Technologie adaptative : </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b/>
          <w:bCs/>
          <w:color w:val="1E1B4B"/>
          <w:sz w:val="20"/>
          <w:szCs w:val="20"/>
        </w:rPr>
        <w:t xml:space="preserve">l'élève joue, le parent suit — deux utilisateurs fidélisés par abonnement</w:t>
      </w:r>
      <w:r>
        <w:rPr>
          <w:rFonts w:ascii="Calibri" w:cs="Calibri" w:eastAsia="Calibri" w:hAnsi="Calibri"/>
          <w:color w:val="374151"/>
          <w:sz w:val="20"/>
          <w:szCs w:val="20"/>
        </w:rPr>
        <w:t xml:space="preserve">Double engagement : </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b/>
          <w:bCs/>
          <w:color w:val="1E1B4B"/>
          <w:sz w:val="20"/>
          <w:szCs w:val="20"/>
        </w:rPr>
        <w:t xml:space="preserve">infrastructure numérique — coût marginal quasi nul par nouvel utilisateur</w:t>
      </w:r>
      <w:r>
        <w:rPr>
          <w:rFonts w:ascii="Calibri" w:cs="Calibri" w:eastAsia="Calibri" w:hAnsi="Calibri"/>
          <w:color w:val="374151"/>
          <w:sz w:val="20"/>
          <w:szCs w:val="20"/>
        </w:rPr>
        <w:t xml:space="preserve">Modèle scalable : </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b/>
          <w:bCs/>
          <w:color w:val="1E1B4B"/>
          <w:sz w:val="20"/>
          <w:szCs w:val="20"/>
        </w:rPr>
        <w:t xml:space="preserve">Loi 25 (vie privée Québec) intégrée dès le lancement</w:t>
      </w:r>
      <w:r>
        <w:rPr>
          <w:rFonts w:ascii="Calibri" w:cs="Calibri" w:eastAsia="Calibri" w:hAnsi="Calibri"/>
          <w:color w:val="374151"/>
          <w:sz w:val="20"/>
          <w:szCs w:val="20"/>
        </w:rPr>
        <w:t xml:space="preserve">Conformité légale : </w:t>
      </w:r>
    </w:p>
    <w:p>
      <w:pPr>
        <w:spacing w:after="60" w:before="60"/>
        <w:ind w:left="360"/>
      </w:pPr>
      <w:r>
        <w:rPr>
          <w:rFonts w:ascii="Calibri" w:cs="Calibri" w:eastAsia="Calibri" w:hAnsi="Calibri"/>
          <w:b/>
          <w:bCs/>
          <w:color w:val="4F46E5"/>
          <w:sz w:val="20"/>
          <w:szCs w:val="20"/>
        </w:rPr>
        <w:t xml:space="preserve">• </w:t>
      </w:r>
      <w:r>
        <w:rPr>
          <w:rFonts w:ascii="Calibri" w:cs="Calibri" w:eastAsia="Calibri" w:hAnsi="Calibri"/>
          <w:b/>
          <w:bCs/>
          <w:color w:val="1E1B4B"/>
          <w:sz w:val="20"/>
          <w:szCs w:val="20"/>
        </w:rPr>
        <w:t xml:space="preserve">abonnement mensuel = revenus prévisibles et stables</w:t>
      </w:r>
      <w:r>
        <w:rPr>
          <w:rFonts w:ascii="Calibri" w:cs="Calibri" w:eastAsia="Calibri" w:hAnsi="Calibri"/>
          <w:color w:val="374151"/>
          <w:sz w:val="20"/>
          <w:szCs w:val="20"/>
        </w:rPr>
        <w:t xml:space="preserve">Revenus récurrents : </w:t>
      </w:r>
    </w:p>
    <w:p>
      <w:pPr>
        <w:spacing w:after="0" w:before="120"/>
      </w:pPr>
      <w:r>
        <w:t xml:space="preserve"/>
      </w:r>
    </w:p>
    <w:p>
      <w:pPr>
        <w:pStyle w:val="Heading1"/>
        <w:pBdr>
          <w:bottom w:val="single" w:color="4F46E5" w:sz="4" w:space="6"/>
        </w:pBdr>
        <w:spacing w:after="120" w:before="360"/>
      </w:pPr>
      <w:r>
        <w:rPr>
          <w:rFonts w:ascii="Calibri" w:cs="Calibri" w:eastAsia="Calibri" w:hAnsi="Calibri"/>
          <w:b/>
          <w:bCs/>
          <w:color w:val="4F46E5"/>
          <w:sz w:val="28"/>
          <w:szCs w:val="28"/>
        </w:rPr>
        <w:t xml:space="preserve">7. État d'avancement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Plateforme</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 Développée et déployée en production</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Exercices</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 150+ questions actives (Mathématiques et Français, Sec 1)</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Paiements</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 Intégration Stripe complète (checkout, webhooks, portail client)</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Tableau de bord</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 Dashboard parent avec graphiques et rapports hebdomadaires</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Conformité</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 Loi 25 — politique de confidentialité publiée</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Authentification</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 Comptes parents sécurisés, réinitialisation de mot de passe</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Mobile</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 Interface responsive — fonctionne sur téléphone et tablette</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Phase suivante</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 Expansion Sec 2-5, Sciences, campagne marketing, domaine personnalisé</w:t>
            </w:r>
          </w:p>
        </w:tc>
      </w:tr>
    </w:tbl>
    <w:p>
      <w:pPr>
        <w:spacing w:after="0" w:before="120"/>
      </w:pPr>
      <w:r>
        <w:t xml:space="preserve"/>
      </w:r>
    </w:p>
    <w:p>
      <w:pPr>
        <w:pStyle w:val="Heading1"/>
        <w:pBdr>
          <w:bottom w:val="single" w:color="4F46E5" w:sz="4" w:space="6"/>
        </w:pBdr>
        <w:spacing w:after="120" w:before="360"/>
      </w:pPr>
      <w:r>
        <w:rPr>
          <w:rFonts w:ascii="Calibri" w:cs="Calibri" w:eastAsia="Calibri" w:hAnsi="Calibri"/>
          <w:b/>
          <w:bCs/>
          <w:color w:val="4F46E5"/>
          <w:sz w:val="28"/>
          <w:szCs w:val="28"/>
        </w:rPr>
        <w:t xml:space="preserve">8. Informations de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Fondatrice</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Wendy Poitevien</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Courriel</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poitevienwendy@gmail.com</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Site web</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plateforme-educative.vercel.app</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Siège social</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Québec, Canada</w:t>
            </w:r>
          </w:p>
        </w:tc>
      </w:tr>
      <w:tr>
        <w:tc>
          <w:tcPr>
            <w:tcW w:type="dxa" w:w="3000"/>
            <w:shd w:fill="EEF2FF" w:val="clear"/>
            <w:tcMar>
              <w:top w:type="dxa" w:w="80"/>
              <w:left w:type="dxa" w:w="120"/>
              <w:bottom w:type="dxa" w:w="80"/>
              <w:right w:type="dxa" w:w="120"/>
            </w:tcMar>
          </w:tcPr>
          <w:p>
            <w:r>
              <w:rPr>
                <w:rFonts w:ascii="Calibri" w:cs="Calibri" w:eastAsia="Calibri" w:hAnsi="Calibri"/>
                <w:b/>
                <w:bCs/>
                <w:color w:val="4F46E5"/>
                <w:sz w:val="18"/>
                <w:szCs w:val="18"/>
              </w:rPr>
              <w:t xml:space="preserve">Date de fondation</w:t>
            </w:r>
          </w:p>
        </w:tc>
        <w:tc>
          <w:tcPr>
            <w:tcW w:type="dxa" w:w="6360"/>
            <w:tcMar>
              <w:top w:type="dxa" w:w="80"/>
              <w:left w:type="dxa" w:w="120"/>
              <w:bottom w:type="dxa" w:w="80"/>
              <w:right w:type="dxa" w:w="120"/>
            </w:tcMar>
          </w:tcPr>
          <w:p>
            <w:r>
              <w:rPr>
                <w:rFonts w:ascii="Calibri" w:cs="Calibri" w:eastAsia="Calibri" w:hAnsi="Calibri"/>
                <w:color w:val="374151"/>
                <w:sz w:val="18"/>
                <w:szCs w:val="18"/>
              </w:rPr>
              <w:t xml:space="preserve">2026</w:t>
            </w:r>
          </w:p>
        </w:tc>
      </w:tr>
    </w:tbl>
    <w:p>
      <w:pPr>
        <w:spacing w:after="0" w:before="160"/>
      </w:pPr>
      <w:r>
        <w:t xml:space="preserve"/>
      </w:r>
    </w:p>
    <w:p>
      <w:pPr>
        <w:pBdr>
          <w:top w:val="single" w:color="4F46E5" w:sz="4"/>
        </w:pBdr>
        <w:spacing w:after="0" w:before="120"/>
        <w:jc w:val="center"/>
      </w:pPr>
      <w:r>
        <w:rPr>
          <w:rFonts w:ascii="Calibri" w:cs="Calibri" w:eastAsia="Calibri" w:hAnsi="Calibri"/>
          <w:i/>
          <w:iCs/>
          <w:color w:val="6B7280"/>
          <w:sz w:val="16"/>
          <w:szCs w:val="16"/>
        </w:rPr>
        <w:t xml:space="preserve">Ce document est confidentiel et destiné exclusivement à l'usage bancaire.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2026-07-15T00:43:28.979Z</dcterms:created>
  <dcterms:modified xsi:type="dcterms:W3CDTF">2026-07-15T00:43:28.980Z</dcterms:modified>
</cp:coreProperties>
</file>

<file path=docProps/custom.xml><?xml version="1.0" encoding="utf-8"?>
<Properties xmlns="http://schemas.openxmlformats.org/officeDocument/2006/custom-properties" xmlns:vt="http://schemas.openxmlformats.org/officeDocument/2006/docPropsVTypes"/>
</file>