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021754" w:rsidRDefault="00021754" w:rsidP="0002175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021754">
        <w:rPr>
          <w:rFonts w:ascii="Segoe UI" w:hAnsi="Segoe UI" w:cs="Segoe UI"/>
          <w:b/>
          <w:color w:val="000000" w:themeColor="text1"/>
          <w:shd w:val="clear" w:color="auto" w:fill="FFFFFF"/>
        </w:rPr>
        <w:t>採用綠色環保、安全無害與循環再生材料</w:t>
      </w:r>
    </w:p>
    <w:p w:rsidR="00021754" w:rsidRPr="00021754" w:rsidRDefault="00021754" w:rsidP="00021754">
      <w:pPr>
        <w:pStyle w:val="a3"/>
        <w:widowControl/>
        <w:ind w:leftChars="0" w:left="482"/>
        <w:rPr>
          <w:rFonts w:ascii="新細明體" w:eastAsia="新細明體" w:hAnsi="新細明體" w:cs="新細明體"/>
          <w:kern w:val="0"/>
          <w:szCs w:val="24"/>
        </w:rPr>
      </w:pPr>
      <w:r w:rsidRPr="00021754">
        <w:rPr>
          <w:rFonts w:ascii="新細明體" w:eastAsia="新細明體" w:hAnsi="新細明體" w:cs="新細明體"/>
          <w:kern w:val="0"/>
          <w:szCs w:val="24"/>
        </w:rPr>
        <w:t>MiTAC 致力於永續發展，在產品外包裝與內部包材設計上，全面導入綠色設計理念。包裝材料選用低毒性、低污染、節能、省資源的可回收與可重複使用材質，從源頭減廢，實現環境友善的目標。所有零組件與材料皆符合國際環保法規，包括歐盟 RoHS、WEEE、REACH、POPs、TSCA、第65號提案、PFAS限制及義大利CONAI包裝法規，並嚴格要求供應鏈遵循 MiTAC 自訂的環境管理規範 (GP-1-00001)，打造無毒安全且可持續的產品生命週期。</w:t>
      </w:r>
    </w:p>
    <w:p w:rsidR="00B27289" w:rsidRPr="00021754" w:rsidRDefault="00B27289" w:rsidP="00EA6234">
      <w:pPr>
        <w:rPr>
          <w:rFonts w:ascii="Segoe UI" w:hAnsi="Segoe UI" w:cs="Segoe UI"/>
          <w:b/>
          <w:bCs/>
          <w:color w:val="000000" w:themeColor="text1"/>
          <w:shd w:val="clear" w:color="auto" w:fill="FFFFFF"/>
        </w:rPr>
      </w:pPr>
    </w:p>
    <w:p w:rsidR="00EA6234" w:rsidRPr="00021754" w:rsidRDefault="00021754" w:rsidP="0002175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021754">
        <w:rPr>
          <w:rFonts w:ascii="Segoe UI" w:hAnsi="Segoe UI" w:cs="Segoe UI"/>
          <w:b/>
          <w:color w:val="000000" w:themeColor="text1"/>
          <w:shd w:val="clear" w:color="auto" w:fill="FFFFFF"/>
        </w:rPr>
        <w:t>全面考量產品生命週期，落實資源循環與減廢</w:t>
      </w:r>
    </w:p>
    <w:p w:rsidR="00EA6234" w:rsidRPr="00EA6234" w:rsidRDefault="00021754" w:rsidP="00021754">
      <w:pPr>
        <w:ind w:left="426"/>
        <w:rPr>
          <w:rFonts w:ascii="Segoe UI" w:hAnsi="Segoe UI" w:cs="Segoe UI"/>
          <w:b/>
          <w:bCs/>
          <w:color w:val="000000" w:themeColor="text1"/>
          <w:shd w:val="clear" w:color="auto" w:fill="FFFFFF"/>
        </w:rPr>
      </w:pPr>
      <w:r w:rsidRPr="00021754">
        <w:rPr>
          <w:rFonts w:ascii="新細明體" w:eastAsia="新細明體" w:hAnsi="新細明體" w:cs="新細明體" w:hint="eastAsia"/>
          <w:kern w:val="0"/>
          <w:szCs w:val="24"/>
        </w:rPr>
        <w:t>從設計到退役階段，MiTAC 所有產品皆納入「耐用性、可升級性、可修復性」三大原則，提升使用壽命並降低整體環境負擔。外包材如紙箱全面採用100%回收紙漿，減少森林砍伐；內包材則使用無毒可回收材質，並優先共用既有包裝設計以降低模具與資源耗損。此外，在內部樣品與行銷傳遞過程中，鼓勵重複利用既有包裝，有效減少一次性包材使用，貫徹減碳與節能精神。</w:t>
      </w:r>
    </w:p>
    <w:p w:rsidR="00B27289" w:rsidRPr="00B27289" w:rsidRDefault="00B27289" w:rsidP="00B27289">
      <w:pPr>
        <w:rPr>
          <w:rFonts w:ascii="Segoe UI" w:hAnsi="Segoe UI" w:cs="Segoe UI"/>
          <w:b/>
          <w:bCs/>
          <w:color w:val="000000" w:themeColor="text1"/>
          <w:shd w:val="clear" w:color="auto" w:fill="FFFFFF"/>
        </w:rPr>
      </w:pPr>
    </w:p>
    <w:p w:rsidR="00021754" w:rsidRPr="00021754" w:rsidRDefault="00021754" w:rsidP="0002175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021754">
        <w:rPr>
          <w:rFonts w:ascii="Segoe UI" w:hAnsi="Segoe UI" w:cs="Segoe UI"/>
          <w:b/>
          <w:color w:val="000000" w:themeColor="text1"/>
          <w:shd w:val="clear" w:color="auto" w:fill="FFFFFF"/>
        </w:rPr>
        <w:t>精進產品與製程能源效率，邁向低碳經營</w:t>
      </w:r>
    </w:p>
    <w:p w:rsidR="00021754" w:rsidRPr="00021754" w:rsidRDefault="00021754" w:rsidP="00021754">
      <w:pPr>
        <w:ind w:left="426"/>
        <w:rPr>
          <w:rFonts w:ascii="新細明體" w:eastAsia="新細明體" w:hAnsi="新細明體" w:cs="新細明體"/>
          <w:kern w:val="0"/>
          <w:szCs w:val="24"/>
        </w:rPr>
      </w:pPr>
      <w:r w:rsidRPr="00021754">
        <w:rPr>
          <w:rFonts w:ascii="新細明體" w:eastAsia="新細明體" w:hAnsi="新細明體" w:cs="新細明體"/>
          <w:kern w:val="0"/>
          <w:szCs w:val="24"/>
        </w:rPr>
        <w:t>作為以組裝為主的製造企業，MiTAC 在工廠設施與製程設計階段，即全面導入高效節能原則，降低能源消耗與溫室氣體排放。工廠持續量測能源使用狀況並推動改善措施，從源頭管理環境績效。公司響應全球減碳趨勢，透過內部節能計畫與政府指導方針並行，建構以「高能源效率、低碳排放、環境永續」為核心的營運策略，實踐企業社會責任。</w:t>
      </w:r>
    </w:p>
    <w:p w:rsidR="00B27289" w:rsidRPr="00B27289" w:rsidRDefault="00B27289" w:rsidP="00B27289">
      <w:pPr>
        <w:rPr>
          <w:b/>
          <w:color w:val="000000" w:themeColor="text1"/>
        </w:rPr>
      </w:pPr>
    </w:p>
    <w:p w:rsidR="00021754" w:rsidRPr="00021754" w:rsidRDefault="00021754" w:rsidP="0002175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021754">
        <w:rPr>
          <w:rFonts w:ascii="Segoe UI" w:hAnsi="Segoe UI" w:cs="Segoe UI"/>
          <w:b/>
          <w:color w:val="000000" w:themeColor="text1"/>
          <w:shd w:val="clear" w:color="auto" w:fill="FFFFFF"/>
        </w:rPr>
        <w:t>建立碳盤查制度，逐步邁向淨零排放</w:t>
      </w:r>
    </w:p>
    <w:p w:rsidR="00021754" w:rsidRDefault="00021754" w:rsidP="00021754">
      <w:pPr>
        <w:ind w:left="426"/>
        <w:rPr>
          <w:rFonts w:ascii="新細明體" w:eastAsia="新細明體" w:hAnsi="新細明體" w:cs="新細明體"/>
          <w:kern w:val="0"/>
          <w:szCs w:val="24"/>
        </w:rPr>
      </w:pPr>
      <w:r w:rsidRPr="00021754">
        <w:rPr>
          <w:rFonts w:ascii="新細明體" w:eastAsia="新細明體" w:hAnsi="新細明體" w:cs="新細明體"/>
          <w:kern w:val="0"/>
          <w:szCs w:val="24"/>
        </w:rPr>
        <w:t>MiTAC 採用國際標準 ISO 14064 進行碳盤查作業，掌握營運過程中的溫室氣體排放來源，其中92%以上來自電力使用。公司定期進行每年度碳排放量的盤點與查證，藉由數據掌握集團減碳進程，並依據碳足跡結果推動能源轉型與排放削減計畫。除降低企業經營成本外，也為全球氣候行動盡一份心力，持續邁向低碳未來。</w:t>
      </w:r>
      <w:r w:rsidR="00586223" w:rsidRPr="00021754">
        <w:rPr>
          <w:rFonts w:ascii="新細明體" w:eastAsia="新細明體" w:hAnsi="新細明體" w:cs="新細明體" w:hint="eastAsia"/>
          <w:kern w:val="0"/>
          <w:szCs w:val="24"/>
        </w:rPr>
        <w:t xml:space="preserve">    </w:t>
      </w:r>
    </w:p>
    <w:p w:rsidR="00021754" w:rsidRDefault="00021754" w:rsidP="00021754">
      <w:pPr>
        <w:ind w:left="426"/>
        <w:rPr>
          <w:rFonts w:ascii="新細明體" w:eastAsia="新細明體" w:hAnsi="新細明體" w:cs="新細明體"/>
          <w:kern w:val="0"/>
          <w:szCs w:val="24"/>
        </w:rPr>
      </w:pPr>
    </w:p>
    <w:p w:rsidR="00B27289" w:rsidRPr="00B27289" w:rsidRDefault="00B27289" w:rsidP="00B27289">
      <w:pPr>
        <w:rPr>
          <w:b/>
          <w:color w:val="000000" w:themeColor="text1"/>
        </w:rPr>
      </w:pPr>
    </w:p>
    <w:p w:rsidR="00021754" w:rsidRPr="00021754" w:rsidRDefault="00021754" w:rsidP="00021754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r w:rsidRPr="00021754">
        <w:rPr>
          <w:rFonts w:ascii="Segoe UI" w:hAnsi="Segoe UI" w:cs="Segoe UI"/>
          <w:b/>
          <w:color w:val="000000" w:themeColor="text1"/>
          <w:shd w:val="clear" w:color="auto" w:fill="FFFFFF"/>
        </w:rPr>
        <w:t>強化產品回收再利用性，助攻循環經濟</w:t>
      </w:r>
    </w:p>
    <w:p w:rsidR="00B27289" w:rsidRDefault="00021754" w:rsidP="00021754">
      <w:pPr>
        <w:ind w:left="426"/>
        <w:rPr>
          <w:rFonts w:ascii="新細明體" w:eastAsia="新細明體" w:hAnsi="新細明體" w:cs="新細明體"/>
          <w:kern w:val="0"/>
          <w:szCs w:val="24"/>
        </w:rPr>
      </w:pPr>
      <w:r w:rsidRPr="00021754">
        <w:rPr>
          <w:rFonts w:ascii="新細明體" w:eastAsia="新細明體" w:hAnsi="新細明體" w:cs="新細明體" w:hint="eastAsia"/>
          <w:kern w:val="0"/>
          <w:szCs w:val="24"/>
        </w:rPr>
        <w:t>產品設計初期即納入回收與拆解便利性的考量，符合歐盟 WEEE 指令，提升可再生材料佔比至 88%以上。供應商與內部材料皆須符合環保與安全標準，產品全面通過歐盟 RoHS 環保指令與 ErP 能效規範。藉由強化材料選擇、延長產品壽命與便捷回收，MiTAC 致力於資源再利用與浪費最小化，推動循環經濟的具體實踐。</w:t>
      </w:r>
    </w:p>
    <w:p w:rsidR="000A5BF9" w:rsidRDefault="000A5BF9" w:rsidP="000A5BF9">
      <w:pPr>
        <w:pStyle w:val="a3"/>
        <w:numPr>
          <w:ilvl w:val="0"/>
          <w:numId w:val="2"/>
        </w:numPr>
        <w:ind w:leftChars="0"/>
        <w:rPr>
          <w:rFonts w:ascii="Segoe UI" w:hAnsi="Segoe UI" w:cs="Segoe UI"/>
          <w:b/>
          <w:color w:val="000000" w:themeColor="text1"/>
          <w:shd w:val="clear" w:color="auto" w:fill="FFFFFF"/>
        </w:rPr>
      </w:pPr>
      <w:bookmarkStart w:id="0" w:name="_GoBack"/>
      <w:bookmarkEnd w:id="0"/>
      <w:r w:rsidRPr="000A5BF9">
        <w:rPr>
          <w:rFonts w:ascii="Segoe UI" w:hAnsi="Segoe UI" w:cs="Segoe UI"/>
          <w:b/>
          <w:color w:val="000000" w:themeColor="text1"/>
          <w:shd w:val="clear" w:color="auto" w:fill="FFFFFF"/>
        </w:rPr>
        <w:lastRenderedPageBreak/>
        <w:t>守護勞工權益，落實企業社會責任</w:t>
      </w:r>
    </w:p>
    <w:p w:rsidR="002072C4" w:rsidRPr="000A5BF9" w:rsidRDefault="000A5BF9" w:rsidP="000A5BF9">
      <w:pPr>
        <w:ind w:left="426"/>
        <w:rPr>
          <w:rFonts w:ascii="新細明體" w:eastAsia="新細明體" w:hAnsi="新細明體" w:cs="新細明體"/>
          <w:kern w:val="0"/>
          <w:szCs w:val="24"/>
        </w:rPr>
      </w:pPr>
      <w:r w:rsidRPr="000A5BF9">
        <w:rPr>
          <w:rFonts w:ascii="新細明體" w:eastAsia="新細明體" w:hAnsi="新細明體" w:cs="新細明體"/>
          <w:kern w:val="0"/>
          <w:szCs w:val="24"/>
        </w:rPr>
        <w:t>MiTAC 全面遵循《世界人權宣言》、《聯合國商業與人權指導原則》及《國際勞工組織》相關準則，並導入 RBA 責任商業聯盟規範，確保全球營運據點皆尊重人權與提供公平待遇。我們制定明確的「聘僱政策」、「禁止童工」、「性別平等」、「自由就業」等制度，並依據所在地法律遵循施行。從研發、生產到包裝各環節皆重視員工職場安全與福利，致力打造永續且具包容性的工作環境。</w:t>
      </w:r>
    </w:p>
    <w:p w:rsidR="002072C4" w:rsidRPr="002072C4" w:rsidRDefault="002072C4" w:rsidP="002072C4">
      <w:pPr>
        <w:pStyle w:val="a3"/>
        <w:ind w:leftChars="0"/>
        <w:rPr>
          <w:b/>
          <w:color w:val="000000" w:themeColor="text1"/>
        </w:rPr>
      </w:pPr>
    </w:p>
    <w:sectPr w:rsidR="002072C4" w:rsidRPr="002072C4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2E576D" w:rsidRDefault="002E576D" w:rsidP="00021754">
      <w:r>
        <w:separator/>
      </w:r>
    </w:p>
  </w:endnote>
  <w:endnote w:type="continuationSeparator" w:id="0">
    <w:p w:rsidR="002E576D" w:rsidRDefault="002E576D" w:rsidP="000217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2E576D" w:rsidRDefault="002E576D" w:rsidP="00021754">
      <w:r>
        <w:separator/>
      </w:r>
    </w:p>
  </w:footnote>
  <w:footnote w:type="continuationSeparator" w:id="0">
    <w:p w:rsidR="002E576D" w:rsidRDefault="002E576D" w:rsidP="0002175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9DF40A1"/>
    <w:multiLevelType w:val="hybridMultilevel"/>
    <w:tmpl w:val="B44084C4"/>
    <w:lvl w:ilvl="0" w:tplc="ECE25060">
      <w:start w:val="1"/>
      <w:numFmt w:val="decimal"/>
      <w:lvlText w:val="%1."/>
      <w:lvlJc w:val="left"/>
      <w:pPr>
        <w:ind w:left="480" w:hanging="480"/>
      </w:pPr>
      <w:rPr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4CD970C7"/>
    <w:multiLevelType w:val="hybridMultilevel"/>
    <w:tmpl w:val="F1C81EAC"/>
    <w:lvl w:ilvl="0" w:tplc="47AAC9EC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color w:val="212529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4D7257DF"/>
    <w:multiLevelType w:val="multilevel"/>
    <w:tmpl w:val="83A8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646E0A79"/>
    <w:multiLevelType w:val="multilevel"/>
    <w:tmpl w:val="D7AA1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bordersDoNotSurroundHeader/>
  <w:bordersDoNotSurroundFooter/>
  <w:defaultTabStop w:val="48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D12FB"/>
    <w:rsid w:val="00021754"/>
    <w:rsid w:val="000450BE"/>
    <w:rsid w:val="000A5BF9"/>
    <w:rsid w:val="00137DEF"/>
    <w:rsid w:val="002072C4"/>
    <w:rsid w:val="0024456B"/>
    <w:rsid w:val="002E576D"/>
    <w:rsid w:val="004A40D5"/>
    <w:rsid w:val="00586223"/>
    <w:rsid w:val="008D12FB"/>
    <w:rsid w:val="009F6573"/>
    <w:rsid w:val="00B27289"/>
    <w:rsid w:val="00BF0B94"/>
    <w:rsid w:val="00C533D0"/>
    <w:rsid w:val="00D20B60"/>
    <w:rsid w:val="00EA6234"/>
    <w:rsid w:val="00F57B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A7DDAC6F-54D0-423E-B39C-501F85EA8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24456B"/>
    <w:pPr>
      <w:ind w:leftChars="200" w:left="480"/>
    </w:pPr>
  </w:style>
  <w:style w:type="paragraph" w:styleId="Web">
    <w:name w:val="Normal (Web)"/>
    <w:basedOn w:val="a"/>
    <w:uiPriority w:val="99"/>
    <w:unhideWhenUsed/>
    <w:rsid w:val="00EA6234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paragraph" w:styleId="HTML">
    <w:name w:val="HTML Preformatted"/>
    <w:basedOn w:val="a"/>
    <w:link w:val="HTML0"/>
    <w:uiPriority w:val="99"/>
    <w:unhideWhenUsed/>
    <w:rsid w:val="000450B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細明體" w:eastAsia="細明體" w:hAnsi="細明體" w:cs="細明體"/>
      <w:kern w:val="0"/>
      <w:szCs w:val="24"/>
    </w:rPr>
  </w:style>
  <w:style w:type="character" w:customStyle="1" w:styleId="HTML0">
    <w:name w:val="HTML 預設格式 字元"/>
    <w:basedOn w:val="a0"/>
    <w:link w:val="HTML"/>
    <w:uiPriority w:val="99"/>
    <w:rsid w:val="000450BE"/>
    <w:rPr>
      <w:rFonts w:ascii="細明體" w:eastAsia="細明體" w:hAnsi="細明體" w:cs="細明體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021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21754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21754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21754"/>
    <w:rPr>
      <w:sz w:val="20"/>
      <w:szCs w:val="20"/>
    </w:rPr>
  </w:style>
  <w:style w:type="character" w:styleId="a8">
    <w:name w:val="Strong"/>
    <w:basedOn w:val="a0"/>
    <w:uiPriority w:val="22"/>
    <w:qFormat/>
    <w:rsid w:val="000217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7800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99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8525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063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34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784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828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0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63966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6263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4807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7991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580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83132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54854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487793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80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88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24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6488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50133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31149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4418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96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8381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0769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3337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867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14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3482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4357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77814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743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52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798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36746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8574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445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398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752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8333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20863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92025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44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815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78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07336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313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4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916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17841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21554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608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9496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74948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31084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20599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568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817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1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240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8595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83648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80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5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539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5120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8916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007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891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3358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8419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253866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57948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3568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2586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1315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219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05179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755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9300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690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71894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4080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098013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5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3117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9011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9479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0989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jolin.yen (顏璇慧 - MDT)</dc:creator>
  <cp:keywords/>
  <dc:description/>
  <cp:lastModifiedBy>jolin.yen (顏璇慧 - MDT)</cp:lastModifiedBy>
  <cp:revision>15</cp:revision>
  <dcterms:created xsi:type="dcterms:W3CDTF">2024-04-01T03:58:00Z</dcterms:created>
  <dcterms:modified xsi:type="dcterms:W3CDTF">2025-05-13T07:16:00Z</dcterms:modified>
</cp:coreProperties>
</file>