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</w:r>
    </w:p>
    <w:p>
      <w:pPr>
        <w:spacing w:after="80"/>
        <w:jc w:val="center"/>
      </w:pPr>
      <w:r>
        <w:rPr>
          <w:rFonts w:ascii="Calibri" w:hAnsi="Calibri" w:eastAsia="微軟正黑體"/>
          <w:b/>
          <w:i w:val="0"/>
          <w:sz w:val="40"/>
        </w:rPr>
        <w:t>以 K-means 非監督式學習分析顧問績效</w:t>
      </w:r>
    </w:p>
    <w:p>
      <w:pPr>
        <w:spacing w:after="600"/>
        <w:jc w:val="center"/>
      </w:pPr>
      <w:r>
        <w:rPr>
          <w:rFonts w:ascii="Calibri" w:hAnsi="Calibri" w:eastAsia="微軟正黑體"/>
          <w:b w:val="0"/>
          <w:i w:val="0"/>
          <w:sz w:val="28"/>
        </w:rPr>
        <w:t>—— IBM 獎金級距設計建議</w:t>
      </w:r>
    </w:p>
    <w:p>
      <w:pPr>
        <w:spacing w:after="120"/>
        <w:jc w:val="center"/>
      </w:pPr>
      <w:r>
        <w:rPr>
          <w:rFonts w:ascii="Calibri" w:hAnsi="Calibri" w:eastAsia="微軟正黑體"/>
          <w:b w:val="0"/>
          <w:i w:val="0"/>
          <w:sz w:val="24"/>
        </w:rPr>
        <w:t>評估任務 2b</w:t>
      </w:r>
    </w:p>
    <w:p>
      <w:pPr>
        <w:spacing w:after="120"/>
        <w:jc w:val="center"/>
      </w:pPr>
      <w:r>
        <w:rPr>
          <w:rFonts w:ascii="Calibri" w:hAnsi="Calibri" w:eastAsia="微軟正黑體"/>
          <w:b w:val="0"/>
          <w:i w:val="0"/>
          <w:sz w:val="24"/>
        </w:rPr>
        <w:t>課程:421104 企業人工智慧</w:t>
      </w:r>
    </w:p>
    <w:p>
      <w:pPr>
        <w:spacing w:after="120"/>
        <w:jc w:val="center"/>
      </w:pPr>
      <w:r>
        <w:rPr>
          <w:rFonts w:ascii="Calibri" w:hAnsi="Calibri" w:eastAsia="微軟正黑體"/>
          <w:b w:val="0"/>
          <w:i w:val="0"/>
          <w:sz w:val="24"/>
        </w:rPr>
        <w:t>姓名:Po-Kai Huang    學號:26254793</w:t>
      </w:r>
    </w:p>
    <w:p>
      <w:pPr>
        <w:spacing w:after="120"/>
        <w:jc w:val="center"/>
      </w:pPr>
      <w:r>
        <w:rPr>
          <w:rFonts w:ascii="Calibri" w:hAnsi="Calibri" w:eastAsia="微軟正黑體"/>
          <w:b w:val="0"/>
          <w:i w:val="0"/>
          <w:sz w:val="24"/>
        </w:rPr>
        <w:t>繳交日期:2026 年 8 月 2 日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</w:r>
    </w:p>
    <w:p>
      <w:pPr>
        <w:spacing w:after="120"/>
        <w:jc w:val="center"/>
      </w:pPr>
      <w:r>
        <w:rPr>
          <w:rFonts w:ascii="Calibri" w:hAnsi="Calibri" w:eastAsia="微軟正黑體"/>
          <w:b w:val="0"/>
          <w:i w:val="0"/>
          <w:sz w:val="21"/>
        </w:rPr>
        <w:t>附件:Huang_26254793_421104_Assessment 2b.ipynb</w:t>
      </w:r>
    </w:p>
    <w:p>
      <w:r>
        <w:br w:type="page"/>
      </w:r>
    </w:p>
    <w:p>
      <w:pPr>
        <w:spacing w:after="160"/>
      </w:pPr>
      <w:r>
        <w:rPr>
          <w:rFonts w:ascii="Calibri" w:hAnsi="Calibri" w:eastAsia="微軟正黑體"/>
          <w:b/>
          <w:i w:val="0"/>
          <w:sz w:val="28"/>
        </w:rPr>
        <w:t>目錄</w:t>
      </w:r>
    </w:p>
    <w:p>
      <w:r>
        <w:fldChar w:fldCharType="begin" w:dirty="true"/>
        <w:instrText xml:space="preserve">TOC \o "1-1" \h \z \u</w:instrText>
        <w:fldChar w:fldCharType="separate"/>
        <w:t xml:space="preserve">管理摘要　|　一、主要數據特徵:納入與排除的決策　|　二、最優聚類數的決定　|　三、四個群組的語言解釋　|　四、績效最優群組的識別　|　五、方法限制　|　結論　|　參考文獻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管理摘要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本報告以 K-means 將 107 位 IBM 顧問依三項績效指標分為四群,作為獎金級距依據(流程見圖五)。分析排除員工識別碼並施以標準化,此決策改變了 10 位顧問的歸屬。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「帶隊核心群」(4 人)三項指標同時第一,為績效最優群,惟僅佔 3.7%。更具管理價值的是「高投入待認可群」(25 人):投入度達平均 2.2 倍但認可度低於平均,在未標準化的分析中無法辨識。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圖五　分析流程與各階段的關鍵判斷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1585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585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註:取自 notebook §3.6a。各節點標示的數值均為本次分析的實際結果,非流程示意。全程固定 random_state = 42、n_init = 10。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一、主要數據特徵:納入與排除的決策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排除 EmployeeID:它是標稱型識別碼,數值不承載順序意義;且其標準差為其餘三欄的 36 至 103 倍,納入後獨佔距離平方 99% 以上(表一)。保留該欄實跑的反證顯示,分群會退化為按編號切段。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第二層決策是尺度。常見誤解是「不標準化較中立」,事實相反:未縮放時權重由各欄離散程度決定,而非由業務判斷決定——認可度一欄即佔距離平方的 79.6%,使分群退化為單變數複製,與「直接按認可度分組」的調整後蘭德指數(Hubert &amp; Arabie, 1985)達 0.99。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其影響可具體量化(圖三):10 位使用率達 0.61 至 0.92 但認可度為 0 的顧問,未縮放時被併入一個 86 人的群,該群使用率跨幅 0.00 至 0.92(表二)。z 分數與 MinMax 產生相同分群(Milligan &amp; Cooper, 1988)。標準化並非「不加權」,而是把權重改為可依政策調整的假設。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表一　變數審核與納入決策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變數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型別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範圍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標準差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零值佔比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佔距離平方權重(未縮放)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決策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EmployeeID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整數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1–107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30.89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99%+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排除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UsageRate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小數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0.00–0.99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0.3145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10.7%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納入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Recognition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整數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0–4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0.8595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80%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79.6%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納入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Leader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整數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0–2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0.3005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96%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9.7%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納入</w:t>
            </w:r>
          </w:p>
        </w:tc>
      </w:tr>
    </w:tbl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註:數值取自 notebook §1.2 逐欄審核表與 §1.5 權重計算。「佔距離權重」指該欄變異數佔歐氏距離平方總變異的比例。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表二　縮放決策對 10 位高投入顧問的實質影響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尺度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該 10 人所屬群人數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該群使用率跨幅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業務可解釋性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未縮放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86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0.00–0.92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否:投入 92% 與 0% 同級距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標準化 z 分數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0.41–0.94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是:自成「高投入待認可群」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MinMax 0–1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0.41–0.94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是:與 z 分數結果完全相同</w:t>
            </w:r>
          </w:p>
        </w:tc>
      </w:tr>
    </w:tbl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註:取自 notebook §1.7。該 10 人定義為使用率 ≥ 0.60 且認可度 = 0(員工編號 2、44、47、60、77、81、88、91、96、97)。k 固定為 4。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圖三　是否縮放,決定了 10 位高投入顧問被歸入哪一群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139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aling_eff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13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註:取自 notebook §3.5。左圖未縮放,10 位高投入者(紅色區域)被併入低投入群;右圖標準化後自成一群。認可度為整數,已加隨機抖動以避免點重疊。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二、最優聚類數的決定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為避免先看結果再找理由,四項判準於掃描前即已訂定,門檻與逐 k 裁決見表三:統計面為輪廓係數(Rousseeuw, 1987)與肘部法,業務面為每群最小人數與群內單一 KPI 全距。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統計面兩項互相衝突:輪廓係數最高值在 k = 5(0.6823),但 k = 3、4、5 全距僅 0.0146,依判準視為平手;肘部法指向 k = 4(圖一)。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業務面兩項則排除相鄰候選:k = 5 產生兩個各 2 人的群;k = 3 的中間群 27 人,群內認可度全距等於全體全距的 100%——獲指派 4 個專案者與完全未獲指派者同屬一級,該指標在此級距內無區分力,k = 4 拆開後降至 50% 以下。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判準門檻本身亦須檢驗,否則仍可能是為結論量身訂做:人數門檻取 3 或 4 人結論同為 k = 4,全距判準改用對極值較不敏感的度量亦然(notebook §2.5c);惟該人數門檻無外部依據,一併揭露。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穩定性亦須揭露:k = 4 的種子平均調整後蘭德指數 0.961 略低於 k = 3,但僅 10 人曾變動且全在邊界。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表三　四項判準的掃描結果與裁決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k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判準1 輪廓係數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判準2 平方和降幅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判準3 最小群人數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判準4 群內認可度全距 ÷ 全體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種子平均 ARI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裁決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0.6435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100%  ✗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0.801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否(判準4)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0.6703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55.7%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100%  ✗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否(判準4)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0.6677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44.0%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50%  ✓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0.961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採用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0.6823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29.3%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  ✗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50%  ✓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0.980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否(判準3)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0.6708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30.2%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  ✗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50%  ✓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0.988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否(判準3)</w:t>
            </w:r>
          </w:p>
        </w:tc>
      </w:tr>
    </w:tbl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註:取自 notebook §2.1、§2.2、§2.4、§2.5。四項判準於執行掃描前訂定,未因結果調整門檻。判準4 為群內單一 KPI 全距佔全體全距的比例,達 100% 者表示該指標在群內無區分力。ARI 以 20 組隨機種子(100–119)與 random_state = 42 的結果比對。k = 7 至 9 同樣含 2 人群,已略。判準3 的人數門檻無外部依據,已於 notebook §2.5c 做敏感度檢驗:取 3 或 4 人結論同為 k = 4。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圖一　輪廓係數與肘部法對 k 的建議不一致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6911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k_sel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91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註:取自 notebook §2.3。輪廓係數(藍,左軸)最高點在 k = 5,群內平方和(紅,右軸)的轉折在 k = 4;兩法不一致時以業務可操作性裁決。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三、四個群組的語言解釋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分群於標準化空間進行,呈現時還原為原始單位以便解讀(表四、圖二、圖六)。聚類為描述性技術,以下呈現群組間差異,不主張因果關係。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對人力資源部門:四群提供可對應的四級獎金級距(配置建議見圖七),公平性的辯護基礎在於級距由三項 KPI 的實際分布劃分,而非主觀判定。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對部門主管:受認可的專業骨幹尚未帶隊,是負責人職位最直接的候補來源;高投入待認可群投入度達平均 2.2 倍卻幾乎未獲指派,應檢視指派流程。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對高階主管:樣本中 96% 的顧問從未擔任負責人,人才梯隊風險高於個別績效問題。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最後須反思結果的性質。認可度與領導角色記錄的是組織給予的機會,非顧問單方面的產出;「高投入待認可群」認可度偏低,可能反映指派制度而非能力。命名亦有管理後果——稱「低度參與群」或「未獲投入機會群」會導向不同行動;本報告採前者,因資料僅記錄結果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表四　質心表(原始單位)與群組畫像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群組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人數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佔比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使用率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認可度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領導角色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特徵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低度參與群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70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65.4%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0.102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投入度為全體平均三分之一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高投入待認可群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23.4%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0.674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0.36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投入高但幾乎未獲指派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受認可的專業骨幹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7.5%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0.751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2.50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投入與認可皆高,尚未帶隊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帶隊核心群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3.7%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0.810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2.75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三項全數領先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(全體平均)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107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0.311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0.374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0.056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註:取自 notebook §3.1、§3.3。分群於標準化空間進行,本表將各群還原為原始欄位的平均值以便解讀;標準化空間的質心 z 分數見 notebook §3.1 對照表。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圖二　四個群組的績效輪廓(0 = 全體平均)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83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luster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83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註:取自 notebook §3.4。縱軸單位為標準差;「高投入待認可群」的使用率明顯高於平均,但認可度與領導角色皆在平均之下。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圖六　四個群組的畫像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18231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luster_ca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82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註:取自 notebook §3.6b。四張卡共用 0–100% 同一刻度,條長為該群質心佔該指標全體最大值的百分比,黑色短線為全體平均,條末數字為原始單位的質心值。此處不採「相對全體平均的倍數」——領導角色全體平均僅 0.056,倍數會達 26.8 而使四張卡刻度不一致、無法比較。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四、績效最優群組的識別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群 1「帶隊核心群」為績效最優群,共 4 人(員工編號 78、86、98、104)。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依據為質心表的逐欄比較(表五):三項指標同時排名第一,使用率與認可度為全體平均的2.6 與 7.4 倍。領導角色不採倍數表述——其平均僅 0.056、96% 的顧問為 0,近零分母會誇大差異;改以絕對數:樣本 107 人中僅 4 人有帶隊紀錄,恰為此群,其職位合計 6 個。惟領導角色本身即為分群變數,此屬該群的描述性特徵,不構成獨立驗證。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第三節指出認可度與領導角色帶有「機會」成分,故須確認判定不倚賴此二者:僅以使用率排序,群 1 仍為最高 0.810,結論不變(notebook §4.2b);另以三種權重方案檢查,群 1 亦皆為最高。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此群成員在 20 組隨機種子下完全未變動。惟其僅佔 3.7%,配置建議見圖七;群 2 僅在領導角色上落後,若政策不將帶隊列為必要條件,兩群可併為最高級距(12 人)。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表五　質心逐欄比較與權重敏感度檢查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群組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使用率(排名)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認可度(排名)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領導角色(排名)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等權分數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重領導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重投入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帶隊核心群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0.810(1)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2.75(1)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1.50(1)　樣本內 6 個帶隊職位全數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0.752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0.745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0.765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受認可的專業骨幹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0.751(2)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2.50(2)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0.00(3)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0.461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0.339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0.567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高投入待認可群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0.674(3)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0.36(3)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0.00(3)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0.257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0.163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0.367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低度參與群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0.102(4)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0.00(4)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0.00(3)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0.034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0.021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0.052</w:t>
            </w:r>
          </w:p>
        </w:tc>
      </w:tr>
    </w:tbl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註:取自 notebook §4.1、§4.3。排名 1 為該指標最高。三種權重方案的分數係將質心以 min-max 轉為 0–1 後加權求和;三方案結論一致,均指向帶隊核心群。領導角色不列倍數:其全體平均僅 0.056(96% 為 0),以近零數值為分母會誇大差異,故改列絕對數。另註:領導角色本身即為分群變數,該群集中持有帶隊職位屬描述性特徵,不構成獨立驗證。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圖七　四級獎金級距、配置建議與對應行動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3175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bonus_ti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31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註:取自 notebook §3.6c。人數為 k = 4 分群實算結果;配置佔比與行動為依分析結論提出的建議值,非模型輸出,須由人力資源部門依獎金政策核定。配置刻意不與人數成正比——最高級距僅 4 人,按人頭配置將使涵蓋面過窄。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圖四　各群個體輪廓值分布(k = 4)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684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ilhouet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8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註:取自 notebook §5.4。無任何個體輪廓值為負,表示沒有明顯被錯置的個案;紅色虛線為整體平均 0.668。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五、方法限制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其一,序位變數被視為等距;以秩轉換重跑,調整後蘭德指數為 0.38,群組邊界會隨處理方式移動,惟核心發現在兩種處理下皆成立。其二,聚類為描述性技術,不能推論因果。其三,資料為單一時點。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結論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採用方案為:排除員工識別碼、施以標準化、以 k = 4 分群。標準化的必要性由認可度獨佔 79.6% 距離權重、分群退化為單變數複製、10 位高投入顧問遭錯置三項證據支持;k = 4 由事前判準裁決並經門檻敏感度檢驗。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建議下一步:確認獎金級距與配置比例(圖七)、檢視指派流程、將專業骨幹納入接班規劃。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參考文獻</w:t>
      </w:r>
    </w:p>
    <w:p>
      <w:pPr>
        <w:spacing w:after="160"/>
        <w:ind w:left="720" w:hanging="720"/>
      </w:pPr>
      <w:r>
        <w:rPr>
          <w:rFonts w:ascii="Calibri" w:hAnsi="Calibri" w:eastAsia="微軟正黑體"/>
          <w:b w:val="0"/>
          <w:i w:val="0"/>
          <w:sz w:val="21"/>
        </w:rPr>
        <w:t>Hubert, L., &amp; Arabie, P. (1985). Comparing partitions. Journal of Classification, 2(1), 193–218. https://doi.org/10.1007/BF01908075</w:t>
      </w:r>
    </w:p>
    <w:p>
      <w:pPr>
        <w:spacing w:after="160"/>
        <w:ind w:left="720" w:hanging="720"/>
      </w:pPr>
      <w:r>
        <w:rPr>
          <w:rFonts w:ascii="Calibri" w:hAnsi="Calibri" w:eastAsia="微軟正黑體"/>
          <w:b w:val="0"/>
          <w:i w:val="0"/>
          <w:sz w:val="21"/>
        </w:rPr>
        <w:t>Milligan, G. W., &amp; Cooper, M. C. (1988). A study of standardization of variables in cluster analysis. Journal of Classification, 5(2), 181–204. https://doi.org/10.1007/BF01897163</w:t>
      </w:r>
    </w:p>
    <w:p>
      <w:pPr>
        <w:spacing w:after="160"/>
        <w:ind w:left="720" w:hanging="720"/>
      </w:pPr>
      <w:r>
        <w:rPr>
          <w:rFonts w:ascii="Calibri" w:hAnsi="Calibri" w:eastAsia="微軟正黑體"/>
          <w:b w:val="0"/>
          <w:i w:val="0"/>
          <w:sz w:val="21"/>
        </w:rPr>
        <w:t>Rousseeuw, P. J. (1987). Silhouettes: A graphical aid to the interpretation and validation of cluster analysis. Journal of Computational and Applied Mathematics, 20, 53–65. https://doi.org/10.1016/0377-0427(87)90125-7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軟正黑體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