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C8B5E" w14:textId="77777777" w:rsidR="00767104" w:rsidRDefault="00767104"/>
    <w:p w14:paraId="32FB6F4A" w14:textId="77777777" w:rsidR="00767104" w:rsidRDefault="00767104"/>
    <w:p w14:paraId="72E93110" w14:textId="77777777" w:rsidR="00767104" w:rsidRDefault="00767104"/>
    <w:p w14:paraId="770C2214" w14:textId="77777777" w:rsidR="00767104" w:rsidRDefault="00767104"/>
    <w:p w14:paraId="27844F6E" w14:textId="77777777" w:rsidR="00767104" w:rsidRDefault="00767104"/>
    <w:p w14:paraId="19E7F3AC" w14:textId="77777777" w:rsidR="00767104" w:rsidRDefault="00000000">
      <w:pPr>
        <w:jc w:val="center"/>
      </w:pPr>
      <w:r>
        <w:t>UTS 231708 — Foundation Studio(Session 3, 2026)</w:t>
      </w:r>
    </w:p>
    <w:p w14:paraId="727BD69D" w14:textId="77777777" w:rsidR="00767104" w:rsidRDefault="00767104"/>
    <w:p w14:paraId="13E529AB" w14:textId="77777777" w:rsidR="00767104" w:rsidRDefault="00000000">
      <w:pPr>
        <w:jc w:val="center"/>
        <w:rPr>
          <w:lang w:eastAsia="zh-TW"/>
        </w:rPr>
      </w:pPr>
      <w:r>
        <w:rPr>
          <w:b/>
          <w:sz w:val="44"/>
          <w:lang w:eastAsia="zh-TW"/>
        </w:rPr>
        <w:t>評估三:商業分析項目</w:t>
      </w:r>
    </w:p>
    <w:p w14:paraId="597C367F" w14:textId="77777777" w:rsidR="00767104" w:rsidRDefault="00000000">
      <w:pPr>
        <w:jc w:val="center"/>
        <w:rPr>
          <w:lang w:eastAsia="zh-TW"/>
        </w:rPr>
      </w:pPr>
      <w:r>
        <w:rPr>
          <w:b/>
          <w:sz w:val="32"/>
          <w:lang w:eastAsia="zh-TW"/>
        </w:rPr>
        <w:t>NIB Holdings 案例分析</w:t>
      </w:r>
    </w:p>
    <w:p w14:paraId="0D439AE1" w14:textId="77777777" w:rsidR="00767104" w:rsidRDefault="00767104">
      <w:pPr>
        <w:rPr>
          <w:lang w:eastAsia="zh-TW"/>
        </w:rPr>
      </w:pPr>
    </w:p>
    <w:p w14:paraId="75995D10" w14:textId="77777777" w:rsidR="00767104" w:rsidRDefault="00767104">
      <w:pPr>
        <w:rPr>
          <w:lang w:eastAsia="zh-TW"/>
        </w:rPr>
      </w:pPr>
    </w:p>
    <w:p w14:paraId="179418EA" w14:textId="77777777" w:rsidR="00767104" w:rsidRDefault="00767104">
      <w:pPr>
        <w:rPr>
          <w:lang w:eastAsia="zh-TW"/>
        </w:rPr>
      </w:pPr>
    </w:p>
    <w:p w14:paraId="278C8447" w14:textId="77777777" w:rsidR="00767104" w:rsidRDefault="00767104">
      <w:pPr>
        <w:rPr>
          <w:lang w:eastAsia="zh-TW"/>
        </w:rPr>
      </w:pPr>
    </w:p>
    <w:p w14:paraId="54BB6545" w14:textId="77777777" w:rsidR="00767104" w:rsidRDefault="00767104">
      <w:pPr>
        <w:rPr>
          <w:lang w:eastAsia="zh-TW"/>
        </w:rPr>
      </w:pPr>
    </w:p>
    <w:p w14:paraId="3428DADD" w14:textId="77777777" w:rsidR="00767104" w:rsidRDefault="00767104">
      <w:pPr>
        <w:rPr>
          <w:lang w:eastAsia="zh-TW"/>
        </w:rPr>
      </w:pPr>
    </w:p>
    <w:p w14:paraId="1E611F1D" w14:textId="77777777" w:rsidR="00767104" w:rsidRDefault="00000000">
      <w:pPr>
        <w:jc w:val="center"/>
        <w:rPr>
          <w:lang w:eastAsia="zh-TW"/>
        </w:rPr>
      </w:pPr>
      <w:r>
        <w:rPr>
          <w:sz w:val="28"/>
          <w:lang w:eastAsia="zh-TW"/>
        </w:rPr>
        <w:t>PoKai Huang(黃柏凱)</w:t>
      </w:r>
    </w:p>
    <w:p w14:paraId="0EF35250" w14:textId="77777777" w:rsidR="00767104" w:rsidRDefault="00000000">
      <w:pPr>
        <w:jc w:val="center"/>
        <w:rPr>
          <w:lang w:eastAsia="zh-TW"/>
        </w:rPr>
      </w:pPr>
      <w:r>
        <w:rPr>
          <w:lang w:eastAsia="zh-TW"/>
        </w:rPr>
        <w:t>學號:26254793</w:t>
      </w:r>
    </w:p>
    <w:p w14:paraId="27A97213" w14:textId="77777777" w:rsidR="00767104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2A8A006C" w14:textId="77777777" w:rsidR="00767104" w:rsidRDefault="00000000">
      <w:pPr>
        <w:spacing w:before="200"/>
        <w:rPr>
          <w:lang w:eastAsia="zh-TW"/>
        </w:rPr>
      </w:pPr>
      <w:r>
        <w:rPr>
          <w:b/>
          <w:sz w:val="28"/>
          <w:lang w:eastAsia="zh-TW"/>
        </w:rPr>
        <w:lastRenderedPageBreak/>
        <w:t>引言</w:t>
      </w:r>
    </w:p>
    <w:p w14:paraId="0B3EE796" w14:textId="123FD960" w:rsidR="00767104" w:rsidRDefault="00000000">
      <w:pPr>
        <w:jc w:val="both"/>
        <w:rPr>
          <w:lang w:eastAsia="zh-TW"/>
        </w:rPr>
      </w:pPr>
      <w:r>
        <w:rPr>
          <w:lang w:eastAsia="zh-TW"/>
        </w:rPr>
        <w:t>這份報告把我放在 NIB 一位資料分析師的位置。公司的執行長有個擔憂:隨著醫療成本逐年墊高,加上政府未來有可能縮減鼓勵民眾投保的稅務誘因,NIB 恐怕得被迫調漲保費。想先弄清楚一件事——如果保費往上調 10%,需求會掉多少?</w:t>
      </w:r>
    </w:p>
    <w:p w14:paraId="07470963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t>本報告分三步回答。先盤點 NIB 在整個私人健康保險市場的位置與表現(第一部分);接著回顧實證文獻,看價格變動對保險需求到底有多大影響(第二部分);最後提出一套自己的評估方案,說明在只有觀測資料的情況下,該怎麼</w:t>
      </w:r>
      <w:proofErr w:type="gramStart"/>
      <w:r>
        <w:rPr>
          <w:lang w:eastAsia="zh-TW"/>
        </w:rPr>
        <w:t>可信地估出</w:t>
      </w:r>
      <w:proofErr w:type="gramEnd"/>
      <w:r>
        <w:rPr>
          <w:lang w:eastAsia="zh-TW"/>
        </w:rPr>
        <w:t>漲價對需求的因果效應(第三部分)。</w:t>
      </w:r>
    </w:p>
    <w:p w14:paraId="4B3FCEAA" w14:textId="77777777" w:rsidR="00767104" w:rsidRDefault="00000000">
      <w:pPr>
        <w:spacing w:before="200"/>
        <w:rPr>
          <w:lang w:eastAsia="zh-TW"/>
        </w:rPr>
      </w:pPr>
      <w:r>
        <w:rPr>
          <w:b/>
          <w:sz w:val="28"/>
          <w:lang w:eastAsia="zh-TW"/>
        </w:rPr>
        <w:t>第一部分:公司分析</w:t>
      </w:r>
    </w:p>
    <w:p w14:paraId="69E83655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t>澳洲的醫療體系是公私並行的。政府的 Medicare 替大多數人負擔了基本門診和必要的住院費用,但如果想要更短的候診時間、自己挑醫生、甚至</w:t>
      </w:r>
      <w:proofErr w:type="gramStart"/>
      <w:r>
        <w:rPr>
          <w:lang w:eastAsia="zh-TW"/>
        </w:rPr>
        <w:t>住進單人</w:t>
      </w:r>
      <w:proofErr w:type="gramEnd"/>
      <w:r>
        <w:rPr>
          <w:lang w:eastAsia="zh-TW"/>
        </w:rPr>
        <w:t>房,就得另外買一份私人健康保險。截至 2026 年 3 月,全澳大約有 45.8% 的人持有住院險(APRA, 2026)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不過這個數字是熬過一段下坡才爬回來的:覆蓋率在 2015 年中見頂(47.3%),接著一路滑到 2020 年</w:t>
      </w:r>
      <w:proofErr w:type="gramStart"/>
      <w:r>
        <w:rPr>
          <w:lang w:eastAsia="zh-TW"/>
        </w:rPr>
        <w:t>疫</w:t>
      </w:r>
      <w:proofErr w:type="gramEnd"/>
      <w:r>
        <w:rPr>
          <w:lang w:eastAsia="zh-TW"/>
        </w:rPr>
        <w:t>情期間的 43.7% 谷底,近兩年才逐步回升(圖一)。換句話說,NIB 所處的這個市場,需求面本身就帶著一點逆風。</w:t>
      </w:r>
    </w:p>
    <w:p w14:paraId="0C794E46" w14:textId="77777777" w:rsidR="00767104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289D1512" wp14:editId="2D3E0930">
            <wp:extent cx="5220000" cy="30128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coverage_tren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7C6B" w14:textId="77777777" w:rsidR="00767104" w:rsidRDefault="00000000">
      <w:pPr>
        <w:spacing w:after="200"/>
        <w:jc w:val="center"/>
        <w:rPr>
          <w:lang w:eastAsia="zh-TW"/>
        </w:rPr>
      </w:pPr>
      <w:r>
        <w:rPr>
          <w:i/>
          <w:sz w:val="20"/>
          <w:lang w:eastAsia="zh-TW"/>
        </w:rPr>
        <w:t>圖一  澳洲住院險覆蓋率,2007</w:t>
      </w:r>
      <w:proofErr w:type="gramStart"/>
      <w:r>
        <w:rPr>
          <w:i/>
          <w:sz w:val="20"/>
          <w:lang w:eastAsia="zh-TW"/>
        </w:rPr>
        <w:t>–</w:t>
      </w:r>
      <w:proofErr w:type="gramEnd"/>
      <w:r>
        <w:rPr>
          <w:i/>
          <w:sz w:val="20"/>
          <w:lang w:eastAsia="zh-TW"/>
        </w:rPr>
        <w:t>2026(來源:APRA 季度統計)</w:t>
      </w:r>
    </w:p>
    <w:p w14:paraId="6DFDD60E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t>NIB(ASX:NHF)是一家營利性的私人健康保險公司,2007 年於澳洲證券交易所上市,以保費收入計是全澳第四大的保險商。若把所有保險公司攤開來比,NIB 其實是個中段班。以 2024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>25 年度的保費收入計,市場由 Bupa(25.5%)和 Medibank(24.7%)</w:t>
      </w:r>
      <w:proofErr w:type="gramStart"/>
      <w:r>
        <w:rPr>
          <w:lang w:eastAsia="zh-TW"/>
        </w:rPr>
        <w:t>兩家領跑</w:t>
      </w:r>
      <w:proofErr w:type="gramEnd"/>
      <w:r>
        <w:rPr>
          <w:lang w:eastAsia="zh-TW"/>
        </w:rPr>
        <w:t>,接著是 HCF(13.2%),NIB 以 9.0% 排第四(圖二;APRA, 2025)。它的規模大概只有龍頭的三分之一,離市場主導者還有不小距離。</w:t>
      </w:r>
    </w:p>
    <w:p w14:paraId="3E09D856" w14:textId="77777777" w:rsidR="00767104" w:rsidRDefault="00000000">
      <w:pPr>
        <w:spacing w:before="80"/>
        <w:jc w:val="center"/>
      </w:pPr>
      <w:r>
        <w:rPr>
          <w:noProof/>
        </w:rPr>
        <w:drawing>
          <wp:inline distT="0" distB="0" distL="0" distR="0" wp14:anchorId="3FF35260" wp14:editId="74AC01D7">
            <wp:extent cx="5220000" cy="301535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market_sha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41D2" w14:textId="77777777" w:rsidR="00767104" w:rsidRDefault="00000000">
      <w:pPr>
        <w:spacing w:after="200"/>
        <w:jc w:val="center"/>
        <w:rPr>
          <w:lang w:eastAsia="zh-TW"/>
        </w:rPr>
      </w:pPr>
      <w:r>
        <w:rPr>
          <w:i/>
          <w:sz w:val="20"/>
          <w:lang w:eastAsia="zh-TW"/>
        </w:rPr>
        <w:lastRenderedPageBreak/>
        <w:t>圖二  各保險商市</w:t>
      </w:r>
      <w:proofErr w:type="gramStart"/>
      <w:r>
        <w:rPr>
          <w:i/>
          <w:sz w:val="20"/>
          <w:lang w:eastAsia="zh-TW"/>
        </w:rPr>
        <w:t>佔</w:t>
      </w:r>
      <w:proofErr w:type="gramEnd"/>
      <w:r>
        <w:rPr>
          <w:i/>
          <w:sz w:val="20"/>
          <w:lang w:eastAsia="zh-TW"/>
        </w:rPr>
        <w:t>率(以保費收入計),2024</w:t>
      </w:r>
      <w:proofErr w:type="gramStart"/>
      <w:r>
        <w:rPr>
          <w:i/>
          <w:sz w:val="20"/>
          <w:lang w:eastAsia="zh-TW"/>
        </w:rPr>
        <w:t>–</w:t>
      </w:r>
      <w:proofErr w:type="gramEnd"/>
      <w:r>
        <w:rPr>
          <w:i/>
          <w:sz w:val="20"/>
          <w:lang w:eastAsia="zh-TW"/>
        </w:rPr>
        <w:t>25(來源:APRA)</w:t>
      </w:r>
    </w:p>
    <w:p w14:paraId="6992E250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t>但市場顯然不是只看規模。把 NIB 的股價和整個大盤(ASX 200)都從 2011 年設為 100 來看,NIB 一路漲到約 520,是 15 年前的五倍多,同期大盤只翻了一倍(圖三)。投資人願意給它這麼高的評價,看的不是它有多大,而是它賺錢的方式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這就帶到 NIB 真正的強項:利潤率。</w:t>
      </w:r>
    </w:p>
    <w:p w14:paraId="43010CC6" w14:textId="77777777" w:rsidR="00767104" w:rsidRDefault="00000000">
      <w:pPr>
        <w:spacing w:before="80"/>
        <w:jc w:val="center"/>
      </w:pPr>
      <w:r>
        <w:rPr>
          <w:noProof/>
        </w:rPr>
        <w:drawing>
          <wp:inline distT="0" distB="0" distL="0" distR="0" wp14:anchorId="05CF9490" wp14:editId="07830ABE">
            <wp:extent cx="5220000" cy="30128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share_pri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3EF7C" w14:textId="77777777" w:rsidR="00767104" w:rsidRDefault="00000000">
      <w:pPr>
        <w:spacing w:after="200"/>
        <w:jc w:val="center"/>
      </w:pPr>
      <w:r>
        <w:rPr>
          <w:i/>
          <w:sz w:val="20"/>
        </w:rPr>
        <w:t>圖三  NIB 股價 vs ASX 200,2011 年 = 100(來源:Yahoo Finance)</w:t>
      </w:r>
    </w:p>
    <w:p w14:paraId="21171C93" w14:textId="77777777" w:rsidR="00767104" w:rsidRDefault="00000000">
      <w:pPr>
        <w:jc w:val="both"/>
        <w:rPr>
          <w:lang w:eastAsia="zh-TW"/>
        </w:rPr>
      </w:pPr>
      <w:r>
        <w:t xml:space="preserve">用 APRA </w:t>
      </w:r>
      <w:proofErr w:type="gramStart"/>
      <w:r>
        <w:t>的口徑來算(</w:t>
      </w:r>
      <w:proofErr w:type="gramEnd"/>
      <w:r>
        <w:t xml:space="preserve">淨利率 = 1 −(理賠 + </w:t>
      </w:r>
      <w:proofErr w:type="gramStart"/>
      <w:r>
        <w:t>營運費用)÷</w:t>
      </w:r>
      <w:proofErr w:type="gramEnd"/>
      <w:r>
        <w:t xml:space="preserve"> 保費收入</w:t>
      </w:r>
      <w:proofErr w:type="gramStart"/>
      <w:r>
        <w:t>),NIB</w:t>
      </w:r>
      <w:proofErr w:type="gramEnd"/>
      <w:r>
        <w:t xml:space="preserve"> 在 2024–25 年的健康險淨利率是 7.7</w:t>
      </w:r>
      <w:proofErr w:type="gramStart"/>
      <w:r>
        <w:t>%,不只贏過</w:t>
      </w:r>
      <w:proofErr w:type="gramEnd"/>
      <w:r>
        <w:t xml:space="preserve"> </w:t>
      </w:r>
      <w:proofErr w:type="gramStart"/>
      <w:r>
        <w:t>Medibank(</w:t>
      </w:r>
      <w:proofErr w:type="gramEnd"/>
      <w:r>
        <w:t>7.2</w:t>
      </w:r>
      <w:proofErr w:type="gramStart"/>
      <w:r>
        <w:t>%)和</w:t>
      </w:r>
      <w:proofErr w:type="gramEnd"/>
      <w:r>
        <w:t xml:space="preserve"> Bupa(5.5%</w:t>
      </w:r>
      <w:proofErr w:type="gramStart"/>
      <w:r>
        <w:t>),更是幾家大型保險商裡最高的</w:t>
      </w:r>
      <w:proofErr w:type="gramEnd"/>
      <w:r>
        <w:t>(圖四)。</w:t>
      </w:r>
      <w:proofErr w:type="gramStart"/>
      <w:r>
        <w:rPr>
          <w:lang w:eastAsia="zh-TW"/>
        </w:rPr>
        <w:t>對照之下,幾家非營利的互助型基金就吃力得多</w:t>
      </w:r>
      <w:proofErr w:type="gramEnd"/>
      <w:r>
        <w:rPr>
          <w:lang w:eastAsia="zh-TW"/>
        </w:rPr>
        <w:t>——HCF 的承保淨利率甚至是 −0.8</w:t>
      </w:r>
      <w:proofErr w:type="gramStart"/>
      <w:r>
        <w:rPr>
          <w:lang w:eastAsia="zh-TW"/>
        </w:rPr>
        <w:t>%,等於本業在賠錢</w:t>
      </w:r>
      <w:proofErr w:type="gramEnd"/>
      <w:r>
        <w:rPr>
          <w:lang w:eastAsia="zh-TW"/>
        </w:rPr>
        <w:t>、得靠投資收益來補。</w:t>
      </w:r>
      <w:proofErr w:type="gramStart"/>
      <w:r>
        <w:rPr>
          <w:lang w:eastAsia="zh-TW"/>
        </w:rPr>
        <w:t>這個落差不是巧合:NIB</w:t>
      </w:r>
      <w:proofErr w:type="gramEnd"/>
      <w:r>
        <w:rPr>
          <w:lang w:eastAsia="zh-TW"/>
        </w:rPr>
        <w:t xml:space="preserve"> 和 Medibank </w:t>
      </w:r>
      <w:proofErr w:type="gramStart"/>
      <w:r>
        <w:rPr>
          <w:lang w:eastAsia="zh-TW"/>
        </w:rPr>
        <w:t>這類上市營利公司,本來就背著股東對報酬的期待</w:t>
      </w:r>
      <w:proofErr w:type="gramEnd"/>
      <w:r>
        <w:rPr>
          <w:lang w:eastAsia="zh-TW"/>
        </w:rPr>
        <w:t>,在成本控制和訂價上會更斤斤計較。</w:t>
      </w:r>
      <w:proofErr w:type="gramStart"/>
      <w:r>
        <w:rPr>
          <w:lang w:eastAsia="zh-TW"/>
        </w:rPr>
        <w:t>具體看,NIB</w:t>
      </w:r>
      <w:proofErr w:type="gramEnd"/>
      <w:r>
        <w:rPr>
          <w:lang w:eastAsia="zh-TW"/>
        </w:rPr>
        <w:t xml:space="preserve"> </w:t>
      </w:r>
      <w:proofErr w:type="gramStart"/>
      <w:r>
        <w:rPr>
          <w:lang w:eastAsia="zh-TW"/>
        </w:rPr>
        <w:t>的管理費用率(</w:t>
      </w:r>
      <w:proofErr w:type="gramEnd"/>
      <w:r>
        <w:rPr>
          <w:lang w:eastAsia="zh-TW"/>
        </w:rPr>
        <w:t xml:space="preserve">營運費用 ÷ </w:t>
      </w:r>
      <w:proofErr w:type="gramStart"/>
      <w:r>
        <w:rPr>
          <w:lang w:eastAsia="zh-TW"/>
        </w:rPr>
        <w:t>保費收入)大約只有</w:t>
      </w:r>
      <w:proofErr w:type="gramEnd"/>
      <w:r>
        <w:rPr>
          <w:lang w:eastAsia="zh-TW"/>
        </w:rPr>
        <w:t xml:space="preserve"> 11</w:t>
      </w:r>
      <w:proofErr w:type="gramStart"/>
      <w:r>
        <w:rPr>
          <w:lang w:eastAsia="zh-TW"/>
        </w:rPr>
        <w:t>%,在同業裡偏低</w:t>
      </w:r>
      <w:proofErr w:type="gramEnd"/>
      <w:r>
        <w:rPr>
          <w:lang w:eastAsia="zh-TW"/>
        </w:rPr>
        <w:t>,這正是它淨利率能領先的主因。</w:t>
      </w:r>
    </w:p>
    <w:p w14:paraId="0EAFF38B" w14:textId="77777777" w:rsidR="00767104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493FD7DD" wp14:editId="31492602">
            <wp:extent cx="5220000" cy="30221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net_mar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2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E18F" w14:textId="77777777" w:rsidR="00767104" w:rsidRDefault="00000000">
      <w:pPr>
        <w:spacing w:after="200"/>
        <w:jc w:val="center"/>
        <w:rPr>
          <w:lang w:eastAsia="zh-TW"/>
        </w:rPr>
      </w:pPr>
      <w:r>
        <w:rPr>
          <w:i/>
          <w:sz w:val="20"/>
          <w:lang w:eastAsia="zh-TW"/>
        </w:rPr>
        <w:t>圖四  大型保險商健康險淨利率,2024</w:t>
      </w:r>
      <w:proofErr w:type="gramStart"/>
      <w:r>
        <w:rPr>
          <w:i/>
          <w:sz w:val="20"/>
          <w:lang w:eastAsia="zh-TW"/>
        </w:rPr>
        <w:t>–</w:t>
      </w:r>
      <w:proofErr w:type="gramEnd"/>
      <w:r>
        <w:rPr>
          <w:i/>
          <w:sz w:val="20"/>
          <w:lang w:eastAsia="zh-TW"/>
        </w:rPr>
        <w:t>25(來源:APRA)</w:t>
      </w:r>
    </w:p>
    <w:p w14:paraId="2EBFD80F" w14:textId="77777777" w:rsidR="00767104" w:rsidRDefault="00000000">
      <w:pPr>
        <w:jc w:val="both"/>
      </w:pPr>
      <w:r>
        <w:rPr>
          <w:lang w:eastAsia="zh-TW"/>
        </w:rPr>
        <w:t>不過,把時間拉長就看得到壓力。NIB 的承保營運利潤(UOP,公司自己用來跨年比較的指標)從 FY21 的 2.05 億澳元一路爬到 FY23 的 2.63 億見頂,接著連兩年回落到 FY25 的 2.39 億(圖五;nib Holdings, 2021)。原因是這兩年醫療理賠成長得比保費還快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而這正是執行長擔心、</w:t>
      </w:r>
      <w:proofErr w:type="gramStart"/>
      <w:r>
        <w:rPr>
          <w:lang w:eastAsia="zh-TW"/>
        </w:rPr>
        <w:t>想靠漲保費</w:t>
      </w:r>
      <w:proofErr w:type="gramEnd"/>
      <w:r>
        <w:rPr>
          <w:lang w:eastAsia="zh-TW"/>
        </w:rPr>
        <w:t>補回來的那股壓力。</w:t>
      </w:r>
      <w:proofErr w:type="spellStart"/>
      <w:r>
        <w:t>即便如此,NIB</w:t>
      </w:r>
      <w:proofErr w:type="spellEnd"/>
      <w:r>
        <w:t xml:space="preserve"> 的底線還算穩:FY25 </w:t>
      </w:r>
      <w:proofErr w:type="spellStart"/>
      <w:r>
        <w:t>稅後淨利</w:t>
      </w:r>
      <w:proofErr w:type="spellEnd"/>
      <w:r>
        <w:t xml:space="preserve"> 1.986 億澳元,比前一年又多了 9.4%(nib Holdings, 2025)。</w:t>
      </w:r>
    </w:p>
    <w:p w14:paraId="10D07844" w14:textId="77777777" w:rsidR="00767104" w:rsidRDefault="00000000">
      <w:pPr>
        <w:spacing w:before="80"/>
        <w:jc w:val="center"/>
      </w:pPr>
      <w:r>
        <w:rPr>
          <w:noProof/>
        </w:rPr>
        <w:drawing>
          <wp:inline distT="0" distB="0" distL="0" distR="0" wp14:anchorId="5E43E3B5" wp14:editId="6D836D72">
            <wp:extent cx="5220000" cy="30128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nib_u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80C0" w14:textId="77777777" w:rsidR="00767104" w:rsidRDefault="00000000">
      <w:pPr>
        <w:spacing w:after="200"/>
        <w:jc w:val="center"/>
        <w:rPr>
          <w:lang w:eastAsia="zh-TW"/>
        </w:rPr>
      </w:pPr>
      <w:r>
        <w:rPr>
          <w:i/>
          <w:sz w:val="20"/>
          <w:lang w:eastAsia="zh-TW"/>
        </w:rPr>
        <w:lastRenderedPageBreak/>
        <w:t>圖五  NIB 承保營運利潤(UOP),FY21</w:t>
      </w:r>
      <w:proofErr w:type="gramStart"/>
      <w:r>
        <w:rPr>
          <w:i/>
          <w:sz w:val="20"/>
          <w:lang w:eastAsia="zh-TW"/>
        </w:rPr>
        <w:t>–</w:t>
      </w:r>
      <w:proofErr w:type="gramEnd"/>
      <w:r>
        <w:rPr>
          <w:i/>
          <w:sz w:val="20"/>
          <w:lang w:eastAsia="zh-TW"/>
        </w:rPr>
        <w:t>FY25(來源:NIB 年報)</w:t>
      </w:r>
    </w:p>
    <w:p w14:paraId="7D321A7E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t>整體看,NIB 是一家規模不大、但很會賺的營利型保險商。它的競爭策略不是跟兩大龍頭硬</w:t>
      </w:r>
      <w:proofErr w:type="gramStart"/>
      <w:r>
        <w:rPr>
          <w:lang w:eastAsia="zh-TW"/>
        </w:rPr>
        <w:t>拚</w:t>
      </w:r>
      <w:proofErr w:type="gramEnd"/>
      <w:r>
        <w:rPr>
          <w:lang w:eastAsia="zh-TW"/>
        </w:rPr>
        <w:t>市</w:t>
      </w:r>
      <w:proofErr w:type="gramStart"/>
      <w:r>
        <w:rPr>
          <w:lang w:eastAsia="zh-TW"/>
        </w:rPr>
        <w:t>佔</w:t>
      </w:r>
      <w:proofErr w:type="gramEnd"/>
      <w:r>
        <w:rPr>
          <w:lang w:eastAsia="zh-TW"/>
        </w:rPr>
        <w:t>,而是守住利潤率、再靠海外學生和紐西蘭等業務找成長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它的澳洲健保會員數在 FY25 還逆勢成長了 3.2%。但它和整個產業一樣,得面對覆蓋率停滯、年輕族群慢慢流失的長期逆風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這也就把問題帶到了核心:萬一真的漲保費,需求會怎麼反應?</w:t>
      </w:r>
    </w:p>
    <w:p w14:paraId="062F3E53" w14:textId="77777777" w:rsidR="00767104" w:rsidRDefault="00000000">
      <w:pPr>
        <w:spacing w:before="200"/>
        <w:rPr>
          <w:lang w:eastAsia="zh-TW"/>
        </w:rPr>
      </w:pPr>
      <w:r>
        <w:rPr>
          <w:b/>
          <w:sz w:val="28"/>
          <w:lang w:eastAsia="zh-TW"/>
        </w:rPr>
        <w:t>第二部分:文獻綜述</w:t>
      </w:r>
    </w:p>
    <w:p w14:paraId="5D76B504" w14:textId="77777777" w:rsidR="00767104" w:rsidRDefault="00000000">
      <w:pPr>
        <w:jc w:val="both"/>
        <w:rPr>
          <w:lang w:eastAsia="zh-TW"/>
        </w:rPr>
      </w:pPr>
      <w:proofErr w:type="gramStart"/>
      <w:r>
        <w:rPr>
          <w:lang w:eastAsia="zh-TW"/>
        </w:rPr>
        <w:t>執行長想知道</w:t>
      </w:r>
      <w:proofErr w:type="gramEnd"/>
      <w:r>
        <w:rPr>
          <w:lang w:eastAsia="zh-TW"/>
        </w:rPr>
        <w:t>的,其實是一個經濟學概念:</w:t>
      </w:r>
      <w:proofErr w:type="gramStart"/>
      <w:r>
        <w:rPr>
          <w:lang w:eastAsia="zh-TW"/>
        </w:rPr>
        <w:t>私保需求</w:t>
      </w:r>
      <w:proofErr w:type="gramEnd"/>
      <w:r>
        <w:rPr>
          <w:lang w:eastAsia="zh-TW"/>
        </w:rPr>
        <w:t>的「價格彈性」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保費漲了,人會少投保多少。這得看實證證據,不能憑直覺。</w:t>
      </w:r>
    </w:p>
    <w:p w14:paraId="2E0B4381" w14:textId="77777777" w:rsidR="00767104" w:rsidRDefault="00000000">
      <w:pPr>
        <w:jc w:val="both"/>
        <w:rPr>
          <w:lang w:eastAsia="zh-TW"/>
        </w:rPr>
      </w:pPr>
      <w:proofErr w:type="spellStart"/>
      <w:r>
        <w:t>最直接的一篇是</w:t>
      </w:r>
      <w:proofErr w:type="spellEnd"/>
      <w:r>
        <w:t xml:space="preserve"> </w:t>
      </w:r>
      <w:proofErr w:type="spellStart"/>
      <w:r>
        <w:t>Buchmueller</w:t>
      </w:r>
      <w:proofErr w:type="spellEnd"/>
      <w:r>
        <w:t xml:space="preserve"> </w:t>
      </w:r>
      <w:proofErr w:type="spellStart"/>
      <w:r>
        <w:t>等人</w:t>
      </w:r>
      <w:proofErr w:type="spellEnd"/>
      <w:r>
        <w:t>(</w:t>
      </w:r>
      <w:proofErr w:type="gramStart"/>
      <w:r>
        <w:t>2021)。</w:t>
      </w:r>
      <w:r>
        <w:rPr>
          <w:lang w:eastAsia="zh-TW"/>
        </w:rPr>
        <w:t>他們拿澳洲的醫療保險附加稅(MLS,對高收入卻沒買私保者課的稅</w:t>
      </w:r>
      <w:proofErr w:type="gramEnd"/>
      <w:r>
        <w:rPr>
          <w:lang w:eastAsia="zh-TW"/>
        </w:rPr>
        <w:t xml:space="preserve">)當天然實驗:2008 </w:t>
      </w:r>
      <w:proofErr w:type="gramStart"/>
      <w:r>
        <w:rPr>
          <w:lang w:eastAsia="zh-TW"/>
        </w:rPr>
        <w:t>年政府大幅調高課稅門檻,等於讓一批人突然不必再為省稅而投保</w:t>
      </w:r>
      <w:proofErr w:type="gramEnd"/>
      <w:r>
        <w:rPr>
          <w:lang w:eastAsia="zh-TW"/>
        </w:rPr>
        <w:t xml:space="preserve">。配上 HILDA </w:t>
      </w:r>
      <w:proofErr w:type="gramStart"/>
      <w:r>
        <w:rPr>
          <w:lang w:eastAsia="zh-TW"/>
        </w:rPr>
        <w:t>這份多年追蹤的家戶資料,他們發現被課</w:t>
      </w:r>
      <w:proofErr w:type="gramEnd"/>
      <w:r>
        <w:rPr>
          <w:lang w:eastAsia="zh-TW"/>
        </w:rPr>
        <w:t xml:space="preserve"> MLS 會讓當年投保機率上升 2 到 3 </w:t>
      </w:r>
      <w:proofErr w:type="gramStart"/>
      <w:r>
        <w:rPr>
          <w:lang w:eastAsia="zh-TW"/>
        </w:rPr>
        <w:t>個百分點,長期持續被課則逐年累積</w:t>
      </w:r>
      <w:proofErr w:type="gramEnd"/>
      <w:r>
        <w:rPr>
          <w:lang w:eastAsia="zh-TW"/>
        </w:rPr>
        <w:t xml:space="preserve">、十年後高達 13 </w:t>
      </w:r>
      <w:proofErr w:type="gramStart"/>
      <w:r>
        <w:rPr>
          <w:lang w:eastAsia="zh-TW"/>
        </w:rPr>
        <w:t>個百分點,而且年輕人的反應特別大</w:t>
      </w:r>
      <w:proofErr w:type="gramEnd"/>
      <w:r>
        <w:rPr>
          <w:lang w:eastAsia="zh-TW"/>
        </w:rPr>
        <w:t>。</w:t>
      </w:r>
      <w:proofErr w:type="gramStart"/>
      <w:r>
        <w:rPr>
          <w:lang w:eastAsia="zh-TW"/>
        </w:rPr>
        <w:t>這個估計要能解讀成因果,前提是門檻邊緣剛好被課和剛好沒被課的人在其他條件上夠相似</w:t>
      </w:r>
      <w:proofErr w:type="gramEnd"/>
      <w:r>
        <w:rPr>
          <w:lang w:eastAsia="zh-TW"/>
        </w:rPr>
        <w:t>、</w:t>
      </w:r>
      <w:proofErr w:type="gramStart"/>
      <w:r>
        <w:rPr>
          <w:lang w:eastAsia="zh-TW"/>
        </w:rPr>
        <w:t>沒有刻意壓低申報所得來避稅;在這個假設下它的識別很乾淨</w:t>
      </w:r>
      <w:proofErr w:type="gramEnd"/>
      <w:r>
        <w:rPr>
          <w:lang w:eastAsia="zh-TW"/>
        </w:rPr>
        <w:t>,</w:t>
      </w:r>
      <w:proofErr w:type="gramStart"/>
      <w:r>
        <w:rPr>
          <w:lang w:eastAsia="zh-TW"/>
        </w:rPr>
        <w:t>但也因此只說明了門檻附近那群高收入者,未必能推廣到全體</w:t>
      </w:r>
      <w:proofErr w:type="gramEnd"/>
      <w:r>
        <w:rPr>
          <w:lang w:eastAsia="zh-TW"/>
        </w:rPr>
        <w:t>。</w:t>
      </w:r>
    </w:p>
    <w:p w14:paraId="012978AB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t>Cheng(2014)的角度不同。他用聯立方程式,把「投保」和「就醫」這兩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互相牽動的決定一起估,模擬政府若減少保費補貼(實質上的漲價)會如何。結果是公共部門反而省錢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 xml:space="preserve">少付的補貼大於民眾轉回公立醫院的成本。和 </w:t>
      </w:r>
      <w:proofErr w:type="spellStart"/>
      <w:r>
        <w:rPr>
          <w:lang w:eastAsia="zh-TW"/>
        </w:rPr>
        <w:t>Buchmueller</w:t>
      </w:r>
      <w:proofErr w:type="spellEnd"/>
      <w:r>
        <w:rPr>
          <w:lang w:eastAsia="zh-TW"/>
        </w:rPr>
        <w:t xml:space="preserve"> 的天然實驗相比,Cheng 沒有現成的政策衝擊可借,因果結論完全押在「那組聯立方程式正確描述了投保與就醫的真實關係」這個假設上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模型設定錯了,結論就跟著錯;但它的好處是能直接模擬不同幅度的政策變動。</w:t>
      </w:r>
    </w:p>
    <w:p w14:paraId="2F06F291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lastRenderedPageBreak/>
        <w:t>至於保費為何被</w:t>
      </w:r>
      <w:proofErr w:type="gramStart"/>
      <w:r>
        <w:rPr>
          <w:lang w:eastAsia="zh-TW"/>
        </w:rPr>
        <w:t>推著漲</w:t>
      </w:r>
      <w:proofErr w:type="gramEnd"/>
      <w:r>
        <w:rPr>
          <w:lang w:eastAsia="zh-TW"/>
        </w:rPr>
        <w:t>,Doiron 與 Kettlewell(2018)用工具變數估出,</w:t>
      </w:r>
      <w:proofErr w:type="gramStart"/>
      <w:r>
        <w:rPr>
          <w:lang w:eastAsia="zh-TW"/>
        </w:rPr>
        <w:t>有私保會</w:t>
      </w:r>
      <w:proofErr w:type="gramEnd"/>
      <w:r>
        <w:rPr>
          <w:lang w:eastAsia="zh-TW"/>
        </w:rPr>
        <w:t xml:space="preserve">讓住院機率高出 5 到 6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百分點,主因是把原本上公立醫院的病人拉到私立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也就是保險本身誘發了更多、也更貴的就醫。</w:t>
      </w:r>
    </w:p>
    <w:p w14:paraId="3894723A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t>綜合來看:</w:t>
      </w:r>
      <w:proofErr w:type="gramStart"/>
      <w:r>
        <w:rPr>
          <w:lang w:eastAsia="zh-TW"/>
        </w:rPr>
        <w:t>私保需求</w:t>
      </w:r>
      <w:proofErr w:type="gramEnd"/>
      <w:r>
        <w:rPr>
          <w:lang w:eastAsia="zh-TW"/>
        </w:rPr>
        <w:t>短期內對價格並不太敏感(MLS、終身保險加成、政府補貼都把人綁著),但反應會隨時間放大,而且最敏感的就是年輕、健康的那一群。所以</w:t>
      </w:r>
      <w:proofErr w:type="gramStart"/>
      <w:r>
        <w:rPr>
          <w:lang w:eastAsia="zh-TW"/>
        </w:rPr>
        <w:t>保費真漲</w:t>
      </w:r>
      <w:proofErr w:type="gramEnd"/>
      <w:r>
        <w:rPr>
          <w:lang w:eastAsia="zh-TW"/>
        </w:rPr>
        <w:t xml:space="preserve"> 10%,短期流失的保單可能有限、NIB 的保費收入甚至可能不減反增;但先走的會不成比例地是年輕人,把風險</w:t>
      </w:r>
      <w:proofErr w:type="gramStart"/>
      <w:r>
        <w:rPr>
          <w:lang w:eastAsia="zh-TW"/>
        </w:rPr>
        <w:t>池愈推愈</w:t>
      </w:r>
      <w:proofErr w:type="gramEnd"/>
      <w:r>
        <w:rPr>
          <w:lang w:eastAsia="zh-TW"/>
        </w:rPr>
        <w:t>老。</w:t>
      </w:r>
    </w:p>
    <w:p w14:paraId="31EF0056" w14:textId="77777777" w:rsidR="00767104" w:rsidRDefault="00000000">
      <w:pPr>
        <w:spacing w:before="200"/>
        <w:rPr>
          <w:lang w:eastAsia="zh-TW"/>
        </w:rPr>
      </w:pPr>
      <w:r>
        <w:rPr>
          <w:b/>
          <w:sz w:val="28"/>
          <w:lang w:eastAsia="zh-TW"/>
        </w:rPr>
        <w:t>第三部分:評估方案</w:t>
      </w:r>
    </w:p>
    <w:p w14:paraId="38ECBC8F" w14:textId="77777777" w:rsidR="00767104" w:rsidRDefault="00000000">
      <w:pPr>
        <w:jc w:val="both"/>
        <w:rPr>
          <w:lang w:eastAsia="zh-TW"/>
        </w:rPr>
      </w:pPr>
      <w:proofErr w:type="gramStart"/>
      <w:r>
        <w:rPr>
          <w:lang w:eastAsia="zh-TW"/>
        </w:rPr>
        <w:t>私保需求</w:t>
      </w:r>
      <w:proofErr w:type="gramEnd"/>
      <w:r>
        <w:rPr>
          <w:lang w:eastAsia="zh-TW"/>
        </w:rPr>
        <w:t>最脆弱的環節是年輕人。40 歲以下投保人的占比從 2015 年起一路下滑(圖六),這群人正是保費一漲最可能退保的邊際客戶。所以要評估漲價的需求效應,聚焦年輕族群最有意義。</w:t>
      </w:r>
    </w:p>
    <w:p w14:paraId="6D0A8134" w14:textId="77777777" w:rsidR="00767104" w:rsidRDefault="00000000">
      <w:pPr>
        <w:spacing w:before="80"/>
        <w:jc w:val="center"/>
      </w:pPr>
      <w:r>
        <w:rPr>
          <w:noProof/>
        </w:rPr>
        <w:drawing>
          <wp:inline distT="0" distB="0" distL="0" distR="0" wp14:anchorId="660A8E52" wp14:editId="3E02CCCF">
            <wp:extent cx="5220000" cy="30128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under40_sh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9E21" w14:textId="77777777" w:rsidR="00767104" w:rsidRDefault="00000000">
      <w:pPr>
        <w:spacing w:after="200"/>
        <w:jc w:val="center"/>
        <w:rPr>
          <w:lang w:eastAsia="zh-TW"/>
        </w:rPr>
      </w:pPr>
      <w:r>
        <w:rPr>
          <w:i/>
          <w:sz w:val="20"/>
          <w:lang w:eastAsia="zh-TW"/>
        </w:rPr>
        <w:t>圖六  40 歲以下投保人占總投保人數的比例,2007</w:t>
      </w:r>
      <w:proofErr w:type="gramStart"/>
      <w:r>
        <w:rPr>
          <w:i/>
          <w:sz w:val="20"/>
          <w:lang w:eastAsia="zh-TW"/>
        </w:rPr>
        <w:t>–</w:t>
      </w:r>
      <w:proofErr w:type="gramEnd"/>
      <w:r>
        <w:rPr>
          <w:i/>
          <w:sz w:val="20"/>
          <w:lang w:eastAsia="zh-TW"/>
        </w:rPr>
        <w:t>2026(來源:APRA)</w:t>
      </w:r>
    </w:p>
    <w:p w14:paraId="23BE23BE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lastRenderedPageBreak/>
        <w:t>問題是,這個效應很難算得乾淨。最直覺的做法是把各家公司歷年的保費和投保人數兜起來跑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歸,但那個係數幾乎一定不是因果:保險公司是看著理賠和需求在訂價,價格和數量其實互相決定(反向因果);所得、健康、年齡、政策同時牽動保費和需求,漏掉就會偏(遺漏變數);而且會投保的人本來就和</w:t>
      </w:r>
      <w:proofErr w:type="gramStart"/>
      <w:r>
        <w:rPr>
          <w:lang w:eastAsia="zh-TW"/>
        </w:rPr>
        <w:t>不</w:t>
      </w:r>
      <w:proofErr w:type="gramEnd"/>
      <w:r>
        <w:rPr>
          <w:lang w:eastAsia="zh-TW"/>
        </w:rPr>
        <w:t>投保的不一樣(</w:t>
      </w:r>
      <w:proofErr w:type="gramStart"/>
      <w:r>
        <w:rPr>
          <w:lang w:eastAsia="zh-TW"/>
        </w:rPr>
        <w:t>選擇偏誤</w:t>
      </w:r>
      <w:proofErr w:type="gramEnd"/>
      <w:r>
        <w:rPr>
          <w:lang w:eastAsia="zh-TW"/>
        </w:rPr>
        <w:t>)。只有觀測資料,要繞過這些問題,關鍵是找到一個跟需求無關的保費外生變動。</w:t>
      </w:r>
    </w:p>
    <w:p w14:paraId="506DFC00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t>我的方案是用差異中之差異(</w:t>
      </w:r>
      <w:proofErr w:type="spellStart"/>
      <w:r>
        <w:rPr>
          <w:lang w:eastAsia="zh-TW"/>
        </w:rPr>
        <w:t>DiD</w:t>
      </w:r>
      <w:proofErr w:type="spellEnd"/>
      <w:r>
        <w:rPr>
          <w:lang w:eastAsia="zh-TW"/>
        </w:rPr>
        <w:t>),搭上 2019 年 4 月上路的年齡折扣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政府讓 18 到 29 歲的人投保可以打折,等於只對年輕人降價。處理組取 25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>29 歲、對照組取年紀相近卻</w:t>
      </w:r>
      <w:proofErr w:type="gramStart"/>
      <w:r>
        <w:rPr>
          <w:lang w:eastAsia="zh-TW"/>
        </w:rPr>
        <w:t>沒享到</w:t>
      </w:r>
      <w:proofErr w:type="gramEnd"/>
      <w:r>
        <w:rPr>
          <w:lang w:eastAsia="zh-TW"/>
        </w:rPr>
        <w:t>折扣的 30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>34 歲,用 APRA 各年齡層的季度投保人數,比較折扣前後兩組的變化差;寫成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歸,就是在虛擬變數上加一個「年輕×折扣後」的交互項,那個係數就是降價的因果效應。這套設計成立的前提是「平行趨勢」:沒有折扣的話,兩組的投保人數本來會沿著同樣的趨勢走。</w:t>
      </w:r>
    </w:p>
    <w:p w14:paraId="26696CE2" w14:textId="77777777" w:rsidR="00767104" w:rsidRDefault="00000000">
      <w:pPr>
        <w:jc w:val="center"/>
        <w:rPr>
          <w:lang w:eastAsia="zh-TW"/>
        </w:rPr>
      </w:pPr>
      <w:r>
        <w:rPr>
          <w:i/>
          <w:sz w:val="22"/>
          <w:lang w:eastAsia="zh-TW"/>
        </w:rPr>
        <w:t xml:space="preserve">投保人數 = </w:t>
      </w:r>
      <w:r>
        <w:rPr>
          <w:i/>
          <w:sz w:val="22"/>
        </w:rPr>
        <w:t>β</w:t>
      </w:r>
      <w:r>
        <w:rPr>
          <w:i/>
          <w:sz w:val="22"/>
          <w:lang w:eastAsia="zh-TW"/>
        </w:rPr>
        <w:t xml:space="preserve">₀ + </w:t>
      </w:r>
      <w:r>
        <w:rPr>
          <w:i/>
          <w:sz w:val="22"/>
        </w:rPr>
        <w:t>β</w:t>
      </w:r>
      <w:r>
        <w:rPr>
          <w:i/>
          <w:sz w:val="22"/>
          <w:lang w:eastAsia="zh-TW"/>
        </w:rPr>
        <w:t xml:space="preserve">₁·年輕 + </w:t>
      </w:r>
      <w:r>
        <w:rPr>
          <w:i/>
          <w:sz w:val="22"/>
        </w:rPr>
        <w:t>β</w:t>
      </w:r>
      <w:r>
        <w:rPr>
          <w:i/>
          <w:sz w:val="22"/>
          <w:lang w:eastAsia="zh-TW"/>
        </w:rPr>
        <w:t xml:space="preserve">₂·折扣後 + </w:t>
      </w:r>
      <w:r>
        <w:rPr>
          <w:i/>
          <w:sz w:val="22"/>
        </w:rPr>
        <w:t>β</w:t>
      </w:r>
      <w:r>
        <w:rPr>
          <w:i/>
          <w:sz w:val="22"/>
          <w:lang w:eastAsia="zh-TW"/>
        </w:rPr>
        <w:t xml:space="preserve">₃·(年輕 × 折扣後) + 控制 + </w:t>
      </w:r>
      <w:r>
        <w:rPr>
          <w:i/>
          <w:sz w:val="22"/>
        </w:rPr>
        <w:t>ε</w:t>
      </w:r>
      <w:r>
        <w:rPr>
          <w:i/>
          <w:sz w:val="22"/>
          <w:lang w:eastAsia="zh-TW"/>
        </w:rPr>
        <w:t xml:space="preserve">      (</w:t>
      </w:r>
      <w:r>
        <w:rPr>
          <w:i/>
          <w:sz w:val="22"/>
        </w:rPr>
        <w:t>β</w:t>
      </w:r>
      <w:r>
        <w:rPr>
          <w:i/>
          <w:sz w:val="22"/>
          <w:lang w:eastAsia="zh-TW"/>
        </w:rPr>
        <w:t>₃ = 漲/降價的因果效應)</w:t>
      </w:r>
    </w:p>
    <w:p w14:paraId="3582EE9F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t xml:space="preserve">我實際拉資料跑了一遍。樸素的 </w:t>
      </w:r>
      <w:proofErr w:type="spellStart"/>
      <w:r>
        <w:rPr>
          <w:lang w:eastAsia="zh-TW"/>
        </w:rPr>
        <w:t>DiD</w:t>
      </w:r>
      <w:proofErr w:type="spellEnd"/>
      <w:r>
        <w:rPr>
          <w:lang w:eastAsia="zh-TW"/>
        </w:rPr>
        <w:t xml:space="preserve"> 算出來是 −4.1%,也就是折扣後年輕組反而掉得比對照組更多。但這個數字不能當因果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因為平行趨勢根本不成立:在政策上路前,25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>29 歲的投保人數每季就已經以 1.5% 的速度下滑,是 30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 xml:space="preserve">34 歲(0.7%)的兩倍(圖七)。換句話說,年輕人本來就在加速流失,2019 那個最多只有 2% 的小折扣,完全沒能把這條下滑的線拉回來。這也正好提醒:沒檢查平行趨勢就把 </w:t>
      </w:r>
      <w:proofErr w:type="spellStart"/>
      <w:r>
        <w:rPr>
          <w:lang w:eastAsia="zh-TW"/>
        </w:rPr>
        <w:t>DiD</w:t>
      </w:r>
      <w:proofErr w:type="spellEnd"/>
      <w:r>
        <w:rPr>
          <w:lang w:eastAsia="zh-TW"/>
        </w:rPr>
        <w:t xml:space="preserve"> 的數字當因果,會得到完全相反的結論。</w:t>
      </w:r>
    </w:p>
    <w:p w14:paraId="7B091F67" w14:textId="77777777" w:rsidR="00767104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0C78060E" wp14:editId="738D0D4A">
            <wp:extent cx="5220000" cy="30128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did_set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A3DC" w14:textId="77777777" w:rsidR="00767104" w:rsidRDefault="00000000">
      <w:pPr>
        <w:spacing w:after="200"/>
        <w:jc w:val="center"/>
        <w:rPr>
          <w:lang w:eastAsia="zh-TW"/>
        </w:rPr>
      </w:pPr>
      <w:r>
        <w:rPr>
          <w:i/>
          <w:sz w:val="20"/>
          <w:lang w:eastAsia="zh-TW"/>
        </w:rPr>
        <w:t xml:space="preserve">圖七  </w:t>
      </w:r>
      <w:proofErr w:type="spellStart"/>
      <w:r>
        <w:rPr>
          <w:i/>
          <w:sz w:val="20"/>
          <w:lang w:eastAsia="zh-TW"/>
        </w:rPr>
        <w:t>DiD</w:t>
      </w:r>
      <w:proofErr w:type="spellEnd"/>
      <w:r>
        <w:rPr>
          <w:i/>
          <w:sz w:val="20"/>
          <w:lang w:eastAsia="zh-TW"/>
        </w:rPr>
        <w:t xml:space="preserve"> 平行趨勢檢查:25</w:t>
      </w:r>
      <w:proofErr w:type="gramStart"/>
      <w:r>
        <w:rPr>
          <w:i/>
          <w:sz w:val="20"/>
          <w:lang w:eastAsia="zh-TW"/>
        </w:rPr>
        <w:t>–</w:t>
      </w:r>
      <w:proofErr w:type="gramEnd"/>
      <w:r>
        <w:rPr>
          <w:i/>
          <w:sz w:val="20"/>
          <w:lang w:eastAsia="zh-TW"/>
        </w:rPr>
        <w:t>29 歲 vs 30</w:t>
      </w:r>
      <w:proofErr w:type="gramStart"/>
      <w:r>
        <w:rPr>
          <w:i/>
          <w:sz w:val="20"/>
          <w:lang w:eastAsia="zh-TW"/>
        </w:rPr>
        <w:t>–</w:t>
      </w:r>
      <w:proofErr w:type="gramEnd"/>
      <w:r>
        <w:rPr>
          <w:i/>
          <w:sz w:val="20"/>
          <w:lang w:eastAsia="zh-TW"/>
        </w:rPr>
        <w:t>34 歲投保人數,2019 Q1 = 100(來源:APRA)</w:t>
      </w:r>
    </w:p>
    <w:p w14:paraId="21C90910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t>正因為如此,這套方案把「先檢驗平行趨勢」當成第一道關卡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一旦像上面那樣不成立,就升級成事件研究法(event study),</w:t>
      </w:r>
      <w:proofErr w:type="gramStart"/>
      <w:r>
        <w:rPr>
          <w:lang w:eastAsia="zh-TW"/>
        </w:rPr>
        <w:t>逐季估出</w:t>
      </w:r>
      <w:proofErr w:type="gramEnd"/>
      <w:r>
        <w:rPr>
          <w:lang w:eastAsia="zh-TW"/>
        </w:rPr>
        <w:t>兩組差異、把既有趨勢扣掉,</w:t>
      </w:r>
      <w:proofErr w:type="gramStart"/>
      <w:r>
        <w:rPr>
          <w:lang w:eastAsia="zh-TW"/>
        </w:rPr>
        <w:t>或改挑趨勢</w:t>
      </w:r>
      <w:proofErr w:type="gramEnd"/>
      <w:r>
        <w:rPr>
          <w:lang w:eastAsia="zh-TW"/>
        </w:rPr>
        <w:t>更貼近的對照組。方案的優點是可行(資料現成)、識別邏輯</w:t>
      </w:r>
      <w:proofErr w:type="gramStart"/>
      <w:r>
        <w:rPr>
          <w:lang w:eastAsia="zh-TW"/>
        </w:rPr>
        <w:t>清楚,</w:t>
      </w:r>
      <w:proofErr w:type="gramEnd"/>
      <w:r>
        <w:rPr>
          <w:lang w:eastAsia="zh-TW"/>
        </w:rPr>
        <w:t>又能誠實暴露限制;其他限制包括:2020 年的</w:t>
      </w:r>
      <w:proofErr w:type="gramStart"/>
      <w:r>
        <w:rPr>
          <w:lang w:eastAsia="zh-TW"/>
        </w:rPr>
        <w:t>疫情和</w:t>
      </w:r>
      <w:proofErr w:type="gramEnd"/>
      <w:r>
        <w:rPr>
          <w:lang w:eastAsia="zh-TW"/>
        </w:rPr>
        <w:t xml:space="preserve"> 2019 年同時上路的保單分級改革都會干擾;APRA 的資料是總量、也沒有個人所得,沒辦法直接套到 MLS 的收入門檻上。若要更進一步,可以改用 MLS </w:t>
      </w:r>
      <w:proofErr w:type="gramStart"/>
      <w:r>
        <w:rPr>
          <w:lang w:eastAsia="zh-TW"/>
        </w:rPr>
        <w:t>門檻做斷點</w:t>
      </w:r>
      <w:proofErr w:type="gramEnd"/>
      <w:r>
        <w:rPr>
          <w:lang w:eastAsia="zh-TW"/>
        </w:rPr>
        <w:t>回歸,或拿各家公司不同的調漲幅度當工具變數。</w:t>
      </w:r>
    </w:p>
    <w:p w14:paraId="386D71FF" w14:textId="77777777" w:rsidR="00767104" w:rsidRDefault="00000000">
      <w:pPr>
        <w:spacing w:before="200"/>
        <w:rPr>
          <w:lang w:eastAsia="zh-TW"/>
        </w:rPr>
      </w:pPr>
      <w:r>
        <w:rPr>
          <w:b/>
          <w:sz w:val="28"/>
          <w:lang w:eastAsia="zh-TW"/>
        </w:rPr>
        <w:t>結論</w:t>
      </w:r>
    </w:p>
    <w:p w14:paraId="59BB0C8A" w14:textId="77777777" w:rsidR="00767104" w:rsidRDefault="00000000">
      <w:pPr>
        <w:jc w:val="both"/>
        <w:rPr>
          <w:lang w:eastAsia="zh-TW"/>
        </w:rPr>
      </w:pPr>
      <w:r>
        <w:rPr>
          <w:lang w:eastAsia="zh-TW"/>
        </w:rPr>
        <w:t>整體而言,NIB 是一家體質強健的營利型保險商,靠利潤率和多元成長在兩大龍頭旁邊站穩,但和整個產業一樣,面對覆蓋率停滯、人口老化的逆風。文獻</w:t>
      </w:r>
      <w:proofErr w:type="gramStart"/>
      <w:r>
        <w:rPr>
          <w:lang w:eastAsia="zh-TW"/>
        </w:rPr>
        <w:t>顯示私保需求</w:t>
      </w:r>
      <w:proofErr w:type="gramEnd"/>
      <w:r>
        <w:rPr>
          <w:lang w:eastAsia="zh-TW"/>
        </w:rPr>
        <w:t>短期相對缺乏彈性、年輕人較敏感;而要</w:t>
      </w:r>
      <w:proofErr w:type="gramStart"/>
      <w:r>
        <w:rPr>
          <w:lang w:eastAsia="zh-TW"/>
        </w:rPr>
        <w:t>可信地估出</w:t>
      </w:r>
      <w:proofErr w:type="gramEnd"/>
      <w:r>
        <w:rPr>
          <w:lang w:eastAsia="zh-TW"/>
        </w:rPr>
        <w:t>漲價對需求的影響,得靠</w:t>
      </w:r>
      <w:proofErr w:type="gramStart"/>
      <w:r>
        <w:rPr>
          <w:lang w:eastAsia="zh-TW"/>
        </w:rPr>
        <w:t>準</w:t>
      </w:r>
      <w:proofErr w:type="gramEnd"/>
      <w:r>
        <w:rPr>
          <w:lang w:eastAsia="zh-TW"/>
        </w:rPr>
        <w:t>實驗設計,而不是單純的相關。對執行長的 10% 問題,我的判斷是:短期保費收入大概還守得住,但年輕客群加速流失、風險池惡化,才是真正該擔心的長期威脅。</w:t>
      </w:r>
    </w:p>
    <w:p w14:paraId="77DD0037" w14:textId="77777777" w:rsidR="00767104" w:rsidRDefault="00000000">
      <w:pPr>
        <w:spacing w:before="200"/>
      </w:pPr>
      <w:proofErr w:type="spellStart"/>
      <w:r>
        <w:rPr>
          <w:b/>
          <w:sz w:val="28"/>
        </w:rPr>
        <w:lastRenderedPageBreak/>
        <w:t>參考文獻</w:t>
      </w:r>
      <w:proofErr w:type="spellEnd"/>
    </w:p>
    <w:p w14:paraId="745E485F" w14:textId="77777777" w:rsidR="00767104" w:rsidRDefault="00000000">
      <w:pPr>
        <w:spacing w:after="80"/>
        <w:ind w:left="425" w:hanging="425"/>
      </w:pPr>
      <w:r>
        <w:t xml:space="preserve">Australian Prudential Regulation Authority. (2025). Annual private health insurance performance statistics 2024–25. APRA. </w:t>
      </w:r>
      <w:hyperlink r:id="rId13">
        <w:r>
          <w:rPr>
            <w:color w:val="0563C1"/>
            <w:u w:val="single"/>
          </w:rPr>
          <w:t>https://www.apra.gov.au/operations-of-private-health-insurers-annual-report</w:t>
        </w:r>
      </w:hyperlink>
    </w:p>
    <w:p w14:paraId="600B513B" w14:textId="77777777" w:rsidR="00767104" w:rsidRDefault="00000000">
      <w:pPr>
        <w:spacing w:after="80"/>
        <w:ind w:left="425" w:hanging="425"/>
      </w:pPr>
      <w:r>
        <w:t xml:space="preserve">Australian Prudential Regulation Authority. (2026). Quarterly private health insurance statistics, March 2026. APRA. </w:t>
      </w:r>
      <w:hyperlink r:id="rId14">
        <w:r>
          <w:rPr>
            <w:color w:val="0563C1"/>
            <w:u w:val="single"/>
          </w:rPr>
          <w:t>https://www.apra.gov.au/quarterly-private-health-insurance-statistics</w:t>
        </w:r>
      </w:hyperlink>
    </w:p>
    <w:p w14:paraId="2D3833DA" w14:textId="77777777" w:rsidR="00767104" w:rsidRDefault="00000000">
      <w:pPr>
        <w:spacing w:after="80"/>
        <w:ind w:left="425" w:hanging="425"/>
      </w:pPr>
      <w:r>
        <w:t xml:space="preserve">Buchmueller, T. C., Cheng, T. C., Pham, N. T., &amp; Staub, K. E. (2021). The effect of income-based mandates on the demand for private hospital insurance and its dynamics. Journal of Health Economics, 75, 102403. </w:t>
      </w:r>
      <w:hyperlink r:id="rId15">
        <w:r>
          <w:rPr>
            <w:color w:val="0563C1"/>
            <w:u w:val="single"/>
          </w:rPr>
          <w:t>https://doi.org/10.1016/j.jhealeco.2020.102403</w:t>
        </w:r>
      </w:hyperlink>
    </w:p>
    <w:p w14:paraId="602A0FDB" w14:textId="77777777" w:rsidR="00767104" w:rsidRDefault="00000000">
      <w:pPr>
        <w:spacing w:after="80"/>
        <w:ind w:left="425" w:hanging="425"/>
      </w:pPr>
      <w:r>
        <w:t xml:space="preserve">Cheng, T. C. (2014). Measuring the effects of reducing subsidies for private insurance on public expenditure for health care. Journal of Health Economics, 33(1), 159–179. </w:t>
      </w:r>
      <w:hyperlink r:id="rId16">
        <w:r>
          <w:rPr>
            <w:color w:val="0563C1"/>
            <w:u w:val="single"/>
          </w:rPr>
          <w:t>https://doi.org/10.1016/j.jhealeco.2013.11.007</w:t>
        </w:r>
      </w:hyperlink>
    </w:p>
    <w:p w14:paraId="48AF2058" w14:textId="77777777" w:rsidR="00767104" w:rsidRDefault="00000000">
      <w:pPr>
        <w:spacing w:after="80"/>
        <w:ind w:left="425" w:hanging="425"/>
      </w:pPr>
      <w:r>
        <w:t xml:space="preserve">Doiron, D., &amp; Kettlewell, N. (2018). The effect of health insurance on the substitution between public and private hospital care. The Economic Record, 94(305), 135–154. </w:t>
      </w:r>
      <w:hyperlink r:id="rId17">
        <w:r>
          <w:rPr>
            <w:color w:val="0563C1"/>
            <w:u w:val="single"/>
          </w:rPr>
          <w:t>https://doi.org/10.1111/1475-4932.12394</w:t>
        </w:r>
      </w:hyperlink>
    </w:p>
    <w:p w14:paraId="0178BD5E" w14:textId="77777777" w:rsidR="00767104" w:rsidRDefault="00000000">
      <w:pPr>
        <w:spacing w:after="80"/>
        <w:ind w:left="425" w:hanging="425"/>
      </w:pPr>
      <w:r>
        <w:t xml:space="preserve">nib Holdings. (2021). Annual report 2021. nib Holdings Limited. </w:t>
      </w:r>
      <w:hyperlink r:id="rId18">
        <w:r>
          <w:rPr>
            <w:color w:val="0563C1"/>
            <w:u w:val="single"/>
          </w:rPr>
          <w:t>https://www.nib.com.au/shareholders/annual-reports</w:t>
        </w:r>
      </w:hyperlink>
    </w:p>
    <w:p w14:paraId="10057A1F" w14:textId="77777777" w:rsidR="00767104" w:rsidRDefault="00000000">
      <w:pPr>
        <w:spacing w:after="80"/>
        <w:ind w:left="425" w:hanging="425"/>
      </w:pPr>
      <w:r>
        <w:lastRenderedPageBreak/>
        <w:t xml:space="preserve">nib Holdings. (2025). FY25 full year results [ASX announcement]. nib Holdings Limited. </w:t>
      </w:r>
      <w:hyperlink r:id="rId19">
        <w:r>
          <w:rPr>
            <w:color w:val="0563C1"/>
            <w:u w:val="single"/>
          </w:rPr>
          <w:t>https://www.nib.com.au/media/company/fy25-asx-announcement</w:t>
        </w:r>
      </w:hyperlink>
    </w:p>
    <w:p w14:paraId="3D2AA8DE" w14:textId="77777777" w:rsidR="00767104" w:rsidRDefault="00000000">
      <w:pPr>
        <w:spacing w:after="80"/>
        <w:ind w:left="425" w:hanging="425"/>
      </w:pPr>
      <w:r>
        <w:t xml:space="preserve">Yahoo Finance. (2026). nib Holdings Limited (NHF.AX) and S&amp;P/ASX 200 (^AXJO) historical prices [Data set]. </w:t>
      </w:r>
      <w:hyperlink r:id="rId20">
        <w:r>
          <w:rPr>
            <w:color w:val="0563C1"/>
            <w:u w:val="single"/>
          </w:rPr>
          <w:t>https://finance.yahoo.com</w:t>
        </w:r>
      </w:hyperlink>
    </w:p>
    <w:sectPr w:rsidR="00767104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734324">
    <w:abstractNumId w:val="8"/>
  </w:num>
  <w:num w:numId="2" w16cid:durableId="1030029353">
    <w:abstractNumId w:val="6"/>
  </w:num>
  <w:num w:numId="3" w16cid:durableId="1109854722">
    <w:abstractNumId w:val="5"/>
  </w:num>
  <w:num w:numId="4" w16cid:durableId="1449853384">
    <w:abstractNumId w:val="4"/>
  </w:num>
  <w:num w:numId="5" w16cid:durableId="1811239449">
    <w:abstractNumId w:val="7"/>
  </w:num>
  <w:num w:numId="6" w16cid:durableId="636371593">
    <w:abstractNumId w:val="3"/>
  </w:num>
  <w:num w:numId="7" w16cid:durableId="303895294">
    <w:abstractNumId w:val="2"/>
  </w:num>
  <w:num w:numId="8" w16cid:durableId="1452478774">
    <w:abstractNumId w:val="1"/>
  </w:num>
  <w:num w:numId="9" w16cid:durableId="108552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510B"/>
    <w:rsid w:val="00767104"/>
    <w:rsid w:val="007D7012"/>
    <w:rsid w:val="00AA1D8D"/>
    <w:rsid w:val="00B47730"/>
    <w:rsid w:val="00CB0664"/>
    <w:rsid w:val="00F554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4F2082"/>
  <w14:defaultImageDpi w14:val="300"/>
  <w15:docId w15:val="{595EF9CA-A889-4B01-9CA6-8C444F70C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微軟正黑體" w:eastAsia="微軟正黑體" w:hAnsi="微軟正黑體" w:cs="微軟正黑體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apra.gov.au/operations-of-private-health-insurers-annual-report" TargetMode="External"/><Relationship Id="rId18" Type="http://schemas.openxmlformats.org/officeDocument/2006/relationships/hyperlink" Target="https://www.nib.com.au/shareholders/annual-report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doi.org/10.1111/1475-4932.1239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16/j.jhealeco.2013.11.007" TargetMode="External"/><Relationship Id="rId20" Type="http://schemas.openxmlformats.org/officeDocument/2006/relationships/hyperlink" Target="https://finance.yahoo.co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jhealeco.2020.102403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www.nib.com.au/media/company/fy25-asx-announcemen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apra.gov.au/quarterly-private-health-insurance-statistic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11</Pages>
  <Words>2399</Words>
  <Characters>3719</Characters>
  <Application>Microsoft Office Word</Application>
  <DocSecurity>0</DocSecurity>
  <Lines>112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PoKai Huang</cp:lastModifiedBy>
  <cp:revision>2</cp:revision>
  <cp:lastPrinted>2026-06-21T08:04:00Z</cp:lastPrinted>
  <dcterms:created xsi:type="dcterms:W3CDTF">2013-12-23T23:15:00Z</dcterms:created>
  <dcterms:modified xsi:type="dcterms:W3CDTF">2026-06-21T08:19:00Z</dcterms:modified>
  <cp:category/>
</cp:coreProperties>
</file>