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顧問依三項績效指標分為四群,作為獎金級距依據(流程見圖五)。分析排除員工識別碼並施以標準化,此決策改變了 10 位顧問的歸屬。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「帶隊核心群」(4 人)三項指標同時第一,為績效最優群,惟僅佔 3.7%。更具管理價值的是「高投入待認可群」(25 人):投入度達平均 2.2 倍但認可度低於平均,在未標準化的分析中無法辨識。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EmployeeID:它是標稱型識別碼,數值不承載順序意義,納入等同主張「編號相近者表現相似」;且其標準差為其餘三欄的 36 至 103 倍,納入後獨佔距離平方 99% 以上(表一)。保留該欄實跑的反證顯示,分群會退化為按編號切段。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第二層決策是尺度。常見誤解是「不標準化較中立」,事實相反:未縮放時權重由各欄離散程度決定,而非由業務判斷決定——認可度一欄即佔距離平方的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其影響可具體量化(圖三):10 位使用率達 0.61 至 0.92 但認可度為 0 的顧問,未縮放時被併入一個 86 人的群,該群使用率跨幅 0.00 至 0.92(表二)。z 分數與 MinMax 產生相同分群,顯示結論取決於是否縮放(Milligan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為避免先看結果再找理由,四項判準於執行掃描前即已訂定,門檻與逐 k 裁決見表三:兩項統計判準為輪廓係數(Rousseeuw, 1987)與肘部法,兩項業務判準為每群最小 4 人、群內單一 KPI 全距須小於全體全距;後者源自「依相似表現分群以分配獎金」的目的。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統計面兩項互相衝突:輪廓係數最高值在 k = 5(0.6823),但 k = 3、4、5 全距僅 0.0146,依判準視為平手;肘部法則指向 k = 4(圖一)。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業務面兩項則明確排除相鄰候選。k = 5 產生兩個各 2 人的群,不足 4 人門檻。k = 3 的中間群 27 人,群內認可度全距 0 至 4,等於全體全距的 100%——獲指派 4 個專案者與完全未獲指派者同屬一級,該指標在此級距內無區分力;k = 4 拆開後各群認可度全距降至全體的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穩定性須誠實揭露:k = 4 的種子平均調整後蘭德指數 0.961 略低於 k = 3,但僅 10 人曾變動群組且全在邊界。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最小群人數(≥4)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同樣不足 4 人門檻,已略。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分群於標準化空間進行,呈現時還原為原始單位以便解讀(表四、圖二、圖六)。聚類為描述性技術,以下呈現群組間差異,不主張因果關係。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對人力資源部門:四群提供可對應的四級獎金級距(配置建議見圖七),公平性的辯護基礎在於級距由三項 KPI 的實際分布劃分,而非主觀判定。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對部門主管:受認可的專業骨幹投入與認可俱高、尚未帶隊,是負責人職位最直接的候補來源;高投入待認可群投入度達平均 2.2 倍卻幾乎未獲指派,應檢視指派流程。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對高階主管:全體 96% 的顧問從未擔任負責人,人才梯隊的結構性風險高於個別績效問題。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分群結果的性質。認可度與領導角色記錄的是組織給予的機會,而非顧問單方面的產出;「高投入待認可群」認可度偏低,可能反映指派制度的運作方式,與該群成員的能力是兩回事。命名本身亦有管理後果——同一群稱為「低度參與群」或「未獲投入機會群」,會導向不同的行動。本報告採前者,因資料僅記錄結果、不記錄成因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06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06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§3.6b。條長為該群質心相對全體平均的倍數(虛線 1.0 = 全體平均),條末數字為原始單位的質心值。四群依投入度由低至高排列。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依據為質心表的逐欄比較(表五):該群三項指標同時排名第一,使用率與認可度為全體平均的2.6 與 7.4 倍。領導角色不採倍數表述——其全體平均僅 0.056、96% 的顧問為 0,以近零數值為分母會誇大差異;改以絕對佔比:這 4 人持有全公司全部 6 個帶隊職位。三項指標指向同一群,無須權重假設;另以三種權重方案檢查,群 1 皆為最高。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此群成員在 20 組隨機種子下完全未變動,判定不受初始值影響。惟其僅佔 3.7%,獎金池配置建議見圖七。群 2 僅在領導角色上落後,若政策不將帶隊視為必要條件,兩群可併為最高級距(12 人)。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全公司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0),以近零數值為分母會誇大差異,故改列絕對佔比。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其一,序位變數被視為等距;以秩轉換重跑,調整後蘭德指數為 0.38,群組邊界會隨處理方式移動,惟核心發現在兩種處理下皆成立。其二,聚類為描述性技術,不能推論因果。其三,資料為單一時點。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分群。標準化的必要性由認可度獨佔 79.6% 距離權重、分群退化為單變數複製、10 位高投入顧問遭錯置三項證據支持;k = 4 由事前訂定的四項判準裁決。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建議下一步依序為:確認四級獎金級距與配置比例(圖七)、檢視指派流程、將專業骨幹納入接班規劃。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