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rFonts w:ascii="Calibri" w:hAnsi="Calibri" w:eastAsia="微軟正黑體"/>
          <w:b/>
          <w:i w:val="0"/>
          <w:sz w:val="40"/>
        </w:rPr>
        <w:t>電信客戶流失預測概念驗證報告</w:t>
      </w:r>
    </w:p>
    <w:p>
      <w:pPr>
        <w:spacing w:after="120"/>
        <w:jc w:val="center"/>
      </w:pPr>
      <w:r>
        <w:rPr>
          <w:rFonts w:ascii="Calibri" w:hAnsi="Calibri" w:eastAsia="微軟正黑體"/>
          <w:b w:val="0"/>
          <w:i w:val="0"/>
          <w:sz w:val="28"/>
        </w:rPr>
        <w:t>評估任務二a:使用監督學習技術分析數據</w:t>
      </w:r>
    </w:p>
    <w:p/>
    <w:p>
      <w:pPr>
        <w:spacing w:after="80"/>
        <w:jc w:val="center"/>
      </w:pPr>
      <w:r>
        <w:rPr>
          <w:rFonts w:ascii="Calibri" w:hAnsi="Calibri" w:eastAsia="微軟正黑體"/>
          <w:b w:val="0"/>
          <w:i w:val="0"/>
          <w:sz w:val="24"/>
        </w:rPr>
        <w:t>課程:421104 Artificial Intelligence for Enterprises(企業人工智能)</w:t>
      </w:r>
    </w:p>
    <w:p>
      <w:pPr>
        <w:spacing w:after="80"/>
        <w:jc w:val="center"/>
      </w:pPr>
      <w:r>
        <w:rPr>
          <w:rFonts w:ascii="Calibri" w:hAnsi="Calibri" w:eastAsia="微軟正黑體"/>
          <w:b w:val="0"/>
          <w:i w:val="0"/>
          <w:sz w:val="24"/>
        </w:rPr>
        <w:t>姓名:黃柏凱(PoKai Huang)</w:t>
      </w:r>
    </w:p>
    <w:p>
      <w:pPr>
        <w:spacing w:after="80"/>
        <w:jc w:val="center"/>
      </w:pPr>
      <w:r>
        <w:rPr>
          <w:rFonts w:ascii="Calibri" w:hAnsi="Calibri" w:eastAsia="微軟正黑體"/>
          <w:b w:val="0"/>
          <w:i w:val="0"/>
          <w:sz w:val="24"/>
        </w:rPr>
        <w:t>學號:26254793</w:t>
      </w:r>
    </w:p>
    <w:p>
      <w:pPr>
        <w:spacing w:after="80"/>
        <w:jc w:val="center"/>
      </w:pPr>
      <w:r>
        <w:rPr>
          <w:rFonts w:ascii="Calibri" w:hAnsi="Calibri" w:eastAsia="微軟正黑體"/>
          <w:b w:val="0"/>
          <w:i w:val="0"/>
          <w:sz w:val="24"/>
        </w:rPr>
        <w:t>參考格式:APA 第 7 版</w:t>
      </w:r>
    </w:p>
    <w:p>
      <w:pPr>
        <w:spacing w:after="80"/>
        <w:jc w:val="center"/>
      </w:pPr>
      <w:r>
        <w:rPr>
          <w:rFonts w:ascii="Calibri" w:hAnsi="Calibri" w:eastAsia="微軟正黑體"/>
          <w:b w:val="0"/>
          <w:i w:val="0"/>
          <w:sz w:val="24"/>
        </w:rPr>
        <w:t>日期:2026 年 7 月</w:t>
      </w:r>
    </w:p>
    <w:p>
      <w:pPr>
        <w:spacing w:after="80"/>
        <w:jc w:val="center"/>
      </w:pPr>
      <w:r>
        <w:rPr>
          <w:rFonts w:ascii="Calibri" w:hAnsi="Calibri" w:eastAsia="微軟正黑體"/>
          <w:b w:val="0"/>
          <w:i w:val="0"/>
          <w:sz w:val="24"/>
        </w:rPr>
        <w:t>附件:Huang_26254793_421104_Assessment 2a.ipynb(完整程式與輸出)</w:t>
      </w:r>
    </w:p>
    <w:p>
      <w:r>
        <w:br w:type="page"/>
      </w:r>
    </w:p>
    <w:p>
      <w:pPr>
        <w:spacing w:after="120"/>
      </w:pPr>
      <w:r>
        <w:rPr>
          <w:rFonts w:ascii="Calibri" w:hAnsi="Calibri" w:eastAsia="微軟正黑體"/>
          <w:b/>
          <w:i w:val="0"/>
          <w:sz w:val="28"/>
        </w:rPr>
        <w:t>目錄</w:t>
      </w:r>
    </w:p>
    <w:p>
      <w:r>
        <w:fldChar w:fldCharType="begin" w:dirty="true"/>
        <w:instrText xml:space="preserve">TOC \o "1-1" \h \z \u</w:instrText>
        <w:fldChar w:fldCharType="separate"/>
        <w:t xml:space="preserve">管理摘要　|　一、分類模型的評估與推薦　|　二、最佳模型誤判造成的收入損失　|　三、最重要屬性的識別與領域解釋　|　四、降低客戶流失率的策略　|　結論　|　參考文獻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管理摘要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本報告為電信公司建立客戶流失(Churn)預測的概念驗證。以 3,333 筆數據比較六種分類模型,依事前訂定的規則推薦 XGBoost(測試集 accuracy 0.925、F1 0.715;RandomForest 為次選)。該模型漏判 51 名流失客戶(False Negative),十二個月毛收入暴露上限約 A$35,926。最重要變數為日間通話分鐘數(正向),月費與客服來電次數次之(正向),合約續約為負向;第四節據此提出三項行動與量化商業案例。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一、分類模型的評估與推薦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方法設計:分層切分(70/30)、以 Pipeline 使縮放只在訓練折內擬合、選模僅用訓練集的 25 折重複交叉驗證,測試集不參與選模(見附件 notebook)。全猜「不流失」也有 85.5% 的 accuracy,accuracy 因此具誤導性。選模主指標為 F1,因它同時約束漏判與誤報:單看 recall 會選到 SVC(表一,recall 0.807、precision 僅 0.498),其誤報負擔明顯較高,是否可承受須依單次接觸成本與客服產能評估。惟就商業風險而言 recall 最關鍵——流失者僅佔 14.5%,漏掉一位即一筆無人挽留的流失,故 recall 亦為事前訂定的平手裁決指標;precision 則用於監控挽留資源浪費。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表一、六模型於 5×5 重複分層交叉驗證與保留測試集之表現(churn 類指標)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CV F1(mean±std)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測試 Accuracy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測試 Precision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測試 Recall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測試 F1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XGBoost(推薦)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0.732 ± 0.053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0.925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0.797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0.648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0.715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RandomForest(次選)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0.732 ± 0.053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0.935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0.864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0.655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0.745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SVC(balanced)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0.652 ± 0.034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0.854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0.498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0.807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0.616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DecisionTree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0.625 ± 0.047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0.878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0.578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0.586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0.582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KNN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0.555 ± 0.042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0.892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0.713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0.428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0.535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LogisticRegression(balanced)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0.483 ± 0.028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0.765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0.356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0.766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0.486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§8–9。CV 僅用訓練集。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結果如表一與圖一:XGBoost 與 RandomForest 領先其餘四模型,交叉驗證 F1 幾乎相同(0.732 對 0.732);經重複交叉驗證的校正檢定(Nadeau &amp; Bengio, 2003),三項指標皆未偵測到顯著差異——未偵測到差異不等於證明等效,僅代表本樣本無法區分。故依事前訂定的平手規則,取 recall 均值較高的 XGBoost(0.656 對 0.639)為最終模型,此為規則選定而非性能勝出。測試集上 RandomForest 的 F1(0.745)較高,惟成對 bootstrap 95% 區間 [−0.001, +0.064] 與零相容,依協議不回選。建模方法造成的準確率差異可使挽留活動獲利相差甚鉅(Neslin et al., 2006),故選模與最終評估分離。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圖一、六分類器於保留測試集之表現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555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§9。虛線為全猜不流失基準。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二、最佳模型誤判造成的收入損失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混淆矩陣(圖二)的兩類誤判成本方向相反。False Negative(FN)是實際流失卻被預測為留存:若模型標記是挽留的觸發條件,這些客戶不會被接觸,形成未挽留的收入暴露。False Positive(FP)相反——實際留存卻被判為流失,公司投入不必要的工時與優惠;XGBoost 為 24 人,其可承受程度需結合單次接觸成本與客服產能評估。本案以 F1 平衡兩類錯誤,並以 recall 監控 FN 風險。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圖二、XGBoost 測試集混淆矩陣(FN = 51)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4720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nfusion_wi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2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§10。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XGBoost 於測試集(1,000 筆,含 145 名流失者)產生 51 名 FN,實際月費合計 A$2,993.8(平均每人每月 A$58.7)。表二列三種留存假設:十二個月基準下毛收入暴露上限約 A$35,926;外推至全體流失者,預估漏抓約 170 人、年暴露約 A$119,669,屬毛收入口徑的量級參考;淨效益見第四節。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表二、FN 收入暴露三層估算(依 FN 個體實際月費)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留存假設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測試集 FN 毛暴露上限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全資料集預估 FN 暴露(推估)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6 個月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A$17,963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A$59,835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12 個月(基準)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A$35,926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A$119,669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24 個月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A$71,851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A$239,339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§11。毛收入口徑;全資料集欄為外推推估。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三、最重要屬性的識別與領域解釋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各模型原生重要度排序不一致,故以最終模型在測試集上的 permutation importance 裁決(重複 30 次、F1 評分):DayMins 30 次全數第一;MonthlyCharge 與 CustServCalls 互有領先(23/30),屬同層級第二梯隊;ContractRenewal 多數第四(圖三)。此一致性限於同一已擬合模型與測試集,非跨樣本穩健性宣稱。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圖三、Permutation importance(測試集,重複 30 次,scoring=F1)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m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§13。橫軸為 F1 平均降幅(±SD)。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影響方向可由群組平均差異讀出(表三):DayMins、MonthlyCharge、CustServCalls 為正向(流失群組平均較高);ContractRenewal 為負向(已續約者流失明顯較低)。此為兩群的描述性差異,非控制其他變數後的效果,亦不宣稱單調或因果關係。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表三、重要變數於流失/未流失群組的平均值差異與影響方向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變數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未流失(Churn=0)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流失(Churn=1)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/>
                <w:i w:val="0"/>
                <w:sz w:val="19"/>
              </w:rPr>
              <w:t>影響方向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DayMins(日間通話分鐘)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175.2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206.9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正向(越高越易流失)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MonthlyCharge(月費, A$)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55.8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59.2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正向(越高越易流失)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CustServCalls(客服來電次數)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1.45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2.23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正向(越多越易流失)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ContractRenewal(續約率)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93.5%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71.6%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軟正黑體"/>
                <w:b w:val="0"/>
                <w:i w:val="0"/>
                <w:sz w:val="19"/>
              </w:rPr>
              <w:t>負向(已續約者較不流失)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§14。全體群組平均。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領域解釋(與資料一致的假說,非因果結論):高用量客戶帳單高,可能對資費與體驗較敏感;同型電信資料研究亦將 total day minutes、total day charge 與 customer service calls 列為前三特徵(Abdelhady &amp; Mohamed, 2025)。頻繁致電客服是不滿信號;未續約者轉換成本低。DayMins 與 MonthlyCharge 中度相關(r = 0.57),宜視為同一「高用量-高帳單」信號。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四、降低客戶流失率的策略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挽留策略完全建立於第三節識別的變數:每月以 XGBoost 評分產生高風險名單,再依第三節變數建立三組試點候選標籤(表四)。三組以各自門檻獨立定義、可能重疊,表五僅呈現各行動單獨實施的情境,不得加總;若同時試行,重疊客戶依一、二、三順序只分派一次。門檻用於招募試點對象,不代表模型分數本身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表四、三項行動之試點設計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行動(對應變數)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試點門檻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覆蓋客群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該群流失率(倍數)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負責單位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/>
                <w:i w:val="0"/>
                <w:sz w:val="18"/>
              </w:rPr>
              <w:t>上線順序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一、服務恢復</w:t>
              <w:br/>
              <w:t>(CustServCalls)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來電 ≥3 次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696 人(21%)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26.1%(1.8×)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客服部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二、續約轉化</w:t>
              <w:br/>
              <w:t>(ContractRenewal)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未續約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323 人(10%)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42.4%(2.9×)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行銷部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三、資費重組</w:t>
              <w:br/>
              <w:t>(DayMins/MonthlyCharge)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日通話 ≥216 分且月費 ≥ 中位(A$53.5)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767 人(23%)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31.3%(2.2×)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資費部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微軟正黑體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註:notebook 實算。倍數 = 該群流失率 ÷ 全體 14.5%。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行動一(CustServCalls)服務恢復:來電達門檻即觸發專員回訪與問題升級,處理可能的服務問題。行動二(ContractRenewal)續約轉化:向未續約的高風險客戶提供限時續約優惠。行動三(DayMins/MonthlyCharge)資費重組:主動推薦封頂或客製方案。</w:t>
      </w:r>
    </w:p>
    <w:p>
      <w:pPr>
        <w:keepNext/>
        <w:spacing w:after="60"/>
      </w:pPr>
      <w:r>
        <w:rPr>
          <w:rFonts w:ascii="Calibri" w:hAnsi="Calibri" w:eastAsia="微軟正黑體"/>
          <w:b/>
          <w:i w:val="0"/>
          <w:sz w:val="20"/>
        </w:rPr>
        <w:t>表五、三項行動之量化商業案例(損益兩平與淨效益試算)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行動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每人接觸成本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成功挽留誘因成本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試點總投入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該群預期流失人數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損益兩平所需增量留存率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/>
                <w:i w:val="0"/>
                <w:sz w:val="17"/>
              </w:rPr>
              <w:t>淨效益 @20% 增量留存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一、服務恢復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A$15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A$10,440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182 人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13.6%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+A$4,892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二、續約轉化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A$5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A$59(一個月折抵)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A$1,615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137 人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3.2%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+A$8,328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三、資費重組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A$10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A$70(月費調降 10%×12)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A$7,670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240 人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9.1%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微軟正黑體"/>
                <w:b w:val="0"/>
                <w:i w:val="0"/>
                <w:sz w:val="17"/>
              </w:rPr>
              <w:t>+A$9,231</w:t>
            </w:r>
          </w:p>
        </w:tc>
      </w:tr>
    </w:tbl>
    <w:p>
      <w:pPr>
        <w:spacing w:after="200"/>
      </w:pPr>
      <w:r>
        <w:rPr>
          <w:rFonts w:ascii="Calibri" w:hAnsi="Calibri" w:eastAsia="微軟正黑體"/>
          <w:b w:val="0"/>
          <w:i/>
          <w:sz w:val="17"/>
        </w:rPr>
        <w:t>註:成本為估計值,誘因僅於挽留成功時發生;人數與流失率為 notebook 實算。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表五為情境試算(假設毛利率 60%、每名挽回客戶保留十二個月毛利 A$422):三項行動的損益兩平增量留存率分別為 13.6%、3.2%、9.1%,於 20% 增量留存假設下皆為正淨效益。純以門檻排序應為二、三、一;若客服產能允許,建議行動一先行(無誘因成本)、行動二緊隨。各行動均以隨機對照組試點,三個月檢視預設 KPI,未優於對照即停止。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結論</w:t>
      </w:r>
    </w:p>
    <w:p>
      <w:pPr>
        <w:spacing w:after="120"/>
      </w:pPr>
      <w:r>
        <w:rPr>
          <w:rFonts w:ascii="Calibri" w:hAnsi="Calibri" w:eastAsia="微軟正黑體"/>
          <w:b w:val="0"/>
          <w:i w:val="0"/>
          <w:sz w:val="22"/>
        </w:rPr>
        <w:t>本概念驗證顯示:於本次切分,現有變數已可支持具辨識能力的模型,XGBoost 為依事前規則選定者,跨期穩定性仍須以時間外樣本驗證。FN 代表情境化的收入暴露,而非已證實可挽回的損失;三項行動的損益兩平門檻見表五,可達性須由隨機對照試點估計。若客服產能允許,建議先以行動一進行小型對照試點,KPI 達標後才擴大。</w:t>
      </w:r>
    </w:p>
    <w:p>
      <w:pPr>
        <w:pStyle w:val="Heading1"/>
      </w:pPr>
      <w:r>
        <w:rPr>
          <w:rFonts w:ascii="Calibri" w:hAnsi="Calibri" w:eastAsia="微軟正黑體"/>
          <w:b/>
          <w:i w:val="0"/>
          <w:color w:val="000000"/>
          <w:sz w:val="28"/>
        </w:rPr>
        <w:t>參考文獻</w:t>
      </w:r>
    </w:p>
    <w:p>
      <w:pPr>
        <w:spacing w:after="120"/>
        <w:ind w:left="720" w:hanging="720"/>
      </w:pPr>
      <w:r>
        <w:rPr>
          <w:rFonts w:ascii="Calibri" w:hAnsi="Calibri" w:eastAsia="微軟正黑體"/>
          <w:b w:val="0"/>
          <w:i w:val="0"/>
          <w:sz w:val="21"/>
        </w:rPr>
        <w:t xml:space="preserve">Abdelhady, M. G., &amp; Mohamed, K. A. (2025). Leveraging artificial intelligence for predictive customer churn modeling in telecommunications: A framework for enhanced customer relationship management. </w:t>
      </w:r>
      <w:r>
        <w:rPr>
          <w:rFonts w:ascii="Calibri" w:hAnsi="Calibri" w:eastAsia="微軟正黑體"/>
          <w:b w:val="0"/>
          <w:i/>
          <w:sz w:val="21"/>
        </w:rPr>
        <w:t>Scientific Reports, 15</w:t>
      </w:r>
      <w:r>
        <w:rPr>
          <w:rFonts w:ascii="Calibri" w:hAnsi="Calibri" w:eastAsia="微軟正黑體"/>
          <w:b w:val="0"/>
          <w:i w:val="0"/>
          <w:sz w:val="21"/>
        </w:rPr>
        <w:t>, Article 43826. https://doi.org/10.1038/s41598-025-30108-z</w:t>
      </w:r>
    </w:p>
    <w:p>
      <w:pPr>
        <w:spacing w:after="120"/>
        <w:ind w:left="720" w:hanging="720"/>
      </w:pPr>
      <w:r>
        <w:rPr>
          <w:rFonts w:ascii="Calibri" w:hAnsi="Calibri" w:eastAsia="微軟正黑體"/>
          <w:b w:val="0"/>
          <w:i w:val="0"/>
          <w:sz w:val="21"/>
        </w:rPr>
        <w:t xml:space="preserve">Nadeau, C., &amp; Bengio, Y. (2003). Inference for the generalization error. </w:t>
      </w:r>
      <w:r>
        <w:rPr>
          <w:rFonts w:ascii="Calibri" w:hAnsi="Calibri" w:eastAsia="微軟正黑體"/>
          <w:b w:val="0"/>
          <w:i/>
          <w:sz w:val="21"/>
        </w:rPr>
        <w:t>Machine Learning, 52</w:t>
      </w:r>
      <w:r>
        <w:rPr>
          <w:rFonts w:ascii="Calibri" w:hAnsi="Calibri" w:eastAsia="微軟正黑體"/>
          <w:b w:val="0"/>
          <w:i w:val="0"/>
          <w:sz w:val="21"/>
        </w:rPr>
        <w:t>(3), 239–281. https://doi.org/10.1023/A:1024068626366</w:t>
      </w:r>
    </w:p>
    <w:p>
      <w:pPr>
        <w:spacing w:after="120"/>
        <w:ind w:left="720" w:hanging="720"/>
      </w:pPr>
      <w:r>
        <w:rPr>
          <w:rFonts w:ascii="Calibri" w:hAnsi="Calibri" w:eastAsia="微軟正黑體"/>
          <w:b w:val="0"/>
          <w:i w:val="0"/>
          <w:sz w:val="21"/>
        </w:rPr>
        <w:t xml:space="preserve">Neslin, S. A., Gupta, S., Kamakura, W., Lu, J., &amp; Mason, C. H. (2006). Defection detection: Measuring and understanding the predictive accuracy of customer churn models. </w:t>
      </w:r>
      <w:r>
        <w:rPr>
          <w:rFonts w:ascii="Calibri" w:hAnsi="Calibri" w:eastAsia="微軟正黑體"/>
          <w:b w:val="0"/>
          <w:i/>
          <w:sz w:val="21"/>
        </w:rPr>
        <w:t>Journal of Marketing Research, 43</w:t>
      </w:r>
      <w:r>
        <w:rPr>
          <w:rFonts w:ascii="Calibri" w:hAnsi="Calibri" w:eastAsia="微軟正黑體"/>
          <w:b w:val="0"/>
          <w:i w:val="0"/>
          <w:sz w:val="21"/>
        </w:rPr>
        <w:t>(2), 204–211. https://doi.org/10.1509/jmkr.43.2.204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軟正黑體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