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8937" w14:textId="77777777" w:rsidR="00945489" w:rsidRPr="00D83985" w:rsidRDefault="00000000">
      <w:pPr>
        <w:spacing w:before="2400" w:after="400" w:line="48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b/>
          <w:bCs/>
          <w:sz w:val="40"/>
          <w:szCs w:val="40"/>
        </w:rPr>
        <w:t>澳洲聯邦銀行(CBA)房貸業務行業分析</w:t>
      </w:r>
    </w:p>
    <w:p w14:paraId="1717D208" w14:textId="77777777" w:rsidR="00945489" w:rsidRPr="00D83985" w:rsidRDefault="00000000">
      <w:pPr>
        <w:spacing w:after="12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 xml:space="preserve">231708 Foundation Studio </w:t>
      </w:r>
      <w:proofErr w:type="gramStart"/>
      <w:r w:rsidRPr="00D83985">
        <w:rPr>
          <w:rFonts w:asciiTheme="majorEastAsia" w:eastAsiaTheme="majorEastAsia" w:hAnsiTheme="majorEastAsia"/>
        </w:rPr>
        <w:t>—</w:t>
      </w:r>
      <w:proofErr w:type="gramEnd"/>
      <w:r w:rsidRPr="00D83985">
        <w:rPr>
          <w:rFonts w:asciiTheme="majorEastAsia" w:eastAsiaTheme="majorEastAsia" w:hAnsiTheme="majorEastAsia"/>
        </w:rPr>
        <w:t xml:space="preserve"> 評估任務</w:t>
      </w:r>
      <w:proofErr w:type="gramStart"/>
      <w:r w:rsidRPr="00D83985">
        <w:rPr>
          <w:rFonts w:asciiTheme="majorEastAsia" w:eastAsiaTheme="majorEastAsia" w:hAnsiTheme="majorEastAsia"/>
        </w:rPr>
        <w:t>一</w:t>
      </w:r>
      <w:proofErr w:type="gramEnd"/>
    </w:p>
    <w:p w14:paraId="07E14896" w14:textId="17C8E8F0" w:rsidR="00945489" w:rsidRPr="00D83985" w:rsidRDefault="00945489">
      <w:pPr>
        <w:spacing w:after="600"/>
        <w:jc w:val="center"/>
        <w:rPr>
          <w:rFonts w:asciiTheme="majorEastAsia" w:eastAsiaTheme="majorEastAsia" w:hAnsiTheme="majorEastAsia"/>
        </w:rPr>
      </w:pPr>
    </w:p>
    <w:p w14:paraId="68AA6780" w14:textId="714571C7" w:rsidR="00945489" w:rsidRPr="00D83985" w:rsidRDefault="00000000">
      <w:pPr>
        <w:spacing w:after="2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sz w:val="22"/>
          <w:szCs w:val="22"/>
        </w:rPr>
        <w:t>PoKai Huang |</w:t>
      </w:r>
      <w:r w:rsidR="0041488B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="0041488B" w:rsidRPr="0041488B">
        <w:rPr>
          <w:rFonts w:asciiTheme="majorEastAsia" w:eastAsiaTheme="majorEastAsia" w:hAnsiTheme="majorEastAsia"/>
          <w:sz w:val="22"/>
          <w:szCs w:val="22"/>
        </w:rPr>
        <w:t>26254793</w:t>
      </w:r>
    </w:p>
    <w:p w14:paraId="6C517E80" w14:textId="77777777" w:rsidR="00945489" w:rsidRPr="00D83985" w:rsidRDefault="00000000">
      <w:pPr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br w:type="page"/>
      </w:r>
    </w:p>
    <w:p w14:paraId="0D6EEF03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lastRenderedPageBreak/>
        <w:t>摘要</w:t>
      </w:r>
    </w:p>
    <w:p w14:paraId="73D3F8F7" w14:textId="1DE167EC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本報告延續 Unit 1 活動已完成的初步分析,以澳洲聯邦銀行 CBA 之住宅房貸業務為案例,深入檢視 ANZSIC Class 6221 銀行業之競爭結構。研究運用 Porter 五力與 SWOT 框架,結合 IBISWorld、APRA、RBA 與 CoreLogic 之最新數據,評估 CBA 房貸組合在行業循環中的相對地位。CBA 雖在 2024 至 2025 年面臨利差壓縮與同業競爭加劇,仍以 25.4% 房貸</w:t>
      </w:r>
      <w:proofErr w:type="gramStart"/>
      <w:r w:rsidRPr="00D83985">
        <w:rPr>
          <w:rFonts w:asciiTheme="majorEastAsia" w:eastAsiaTheme="majorEastAsia" w:hAnsiTheme="majorEastAsia"/>
        </w:rPr>
        <w:t>市占穩居</w:t>
      </w:r>
      <w:proofErr w:type="gramEnd"/>
      <w:r w:rsidRPr="00D83985">
        <w:rPr>
          <w:rFonts w:asciiTheme="majorEastAsia" w:eastAsiaTheme="majorEastAsia" w:hAnsiTheme="majorEastAsia"/>
        </w:rPr>
        <w:t xml:space="preserve">領導者,FY25 Cash NPAT 成長 4.2% </w:t>
      </w:r>
      <w:proofErr w:type="gramStart"/>
      <w:r w:rsidRPr="00D83985">
        <w:rPr>
          <w:rFonts w:asciiTheme="majorEastAsia" w:eastAsiaTheme="majorEastAsia" w:hAnsiTheme="majorEastAsia"/>
        </w:rPr>
        <w:t>顯著跑贏行業</w:t>
      </w:r>
      <w:proofErr w:type="gramEnd"/>
      <w:r w:rsidRPr="00D83985">
        <w:rPr>
          <w:rFonts w:asciiTheme="majorEastAsia" w:eastAsiaTheme="majorEastAsia" w:hAnsiTheme="majorEastAsia"/>
        </w:rPr>
        <w:t xml:space="preserve">整體 </w:t>
      </w:r>
      <w:r w:rsidRPr="00D83985">
        <w:rPr>
          <w:rFonts w:ascii="Cambria Math" w:eastAsiaTheme="majorEastAsia" w:hAnsi="Cambria Math" w:cs="Cambria Math"/>
        </w:rPr>
        <w:t>−</w:t>
      </w:r>
      <w:r w:rsidRPr="00D83985">
        <w:rPr>
          <w:rFonts w:asciiTheme="majorEastAsia" w:eastAsiaTheme="majorEastAsia" w:hAnsiTheme="majorEastAsia"/>
        </w:rPr>
        <w:t xml:space="preserve">8.3% 衰退。展望 2026 年,RBA </w:t>
      </w:r>
      <w:proofErr w:type="gramStart"/>
      <w:r w:rsidRPr="00D83985">
        <w:rPr>
          <w:rFonts w:asciiTheme="majorEastAsia" w:eastAsiaTheme="majorEastAsia" w:hAnsiTheme="majorEastAsia"/>
        </w:rPr>
        <w:t>重啟升息</w:t>
      </w:r>
      <w:proofErr w:type="gramEnd"/>
      <w:r w:rsidRPr="00D83985">
        <w:rPr>
          <w:rFonts w:asciiTheme="majorEastAsia" w:eastAsiaTheme="majorEastAsia" w:hAnsiTheme="majorEastAsia"/>
        </w:rPr>
        <w:t>、移民放緩、首購政策刺激三股力量並行,CBA 房貸業務面臨量價拉鋸關鍵轉折。</w:t>
      </w:r>
    </w:p>
    <w:p w14:paraId="26030262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1. 公司背景</w:t>
      </w:r>
    </w:p>
    <w:p w14:paraId="5C7F3DBF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1.1 案例選擇與方法論</w:t>
      </w:r>
    </w:p>
    <w:p w14:paraId="1870A18E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本研究選擇 CBA,係延續筆者於活動一完成之 ANZSIC 分類與三年財務蒐集。方法論值得說明的是:筆者於活動</w:t>
      </w:r>
      <w:proofErr w:type="gramStart"/>
      <w:r w:rsidRPr="00D83985">
        <w:rPr>
          <w:rFonts w:asciiTheme="majorEastAsia" w:eastAsiaTheme="majorEastAsia" w:hAnsiTheme="majorEastAsia"/>
        </w:rPr>
        <w:t>一</w:t>
      </w:r>
      <w:proofErr w:type="gramEnd"/>
      <w:r w:rsidRPr="00D83985">
        <w:rPr>
          <w:rFonts w:asciiTheme="majorEastAsia" w:eastAsiaTheme="majorEastAsia" w:hAnsiTheme="majorEastAsia"/>
        </w:rPr>
        <w:t>原計畫採用 ABS《Australian Industry》之 Division K 數據作為行業基準,但 ABS 因方法論限制將 Division K 多數子類排除於該出版品外。本報告改</w:t>
      </w:r>
      <w:proofErr w:type="gramStart"/>
      <w:r w:rsidRPr="00D83985">
        <w:rPr>
          <w:rFonts w:asciiTheme="majorEastAsia" w:eastAsiaTheme="majorEastAsia" w:hAnsiTheme="majorEastAsia"/>
        </w:rPr>
        <w:t>採</w:t>
      </w:r>
      <w:proofErr w:type="gramEnd"/>
      <w:r w:rsidRPr="00D83985">
        <w:rPr>
          <w:rFonts w:asciiTheme="majorEastAsia" w:eastAsiaTheme="majorEastAsia" w:hAnsiTheme="majorEastAsia"/>
        </w:rPr>
        <w:t xml:space="preserve"> APRA 季度 ADI Performance Statistics 與 Monthly ADI 統計作為替代基準。</w:t>
      </w:r>
    </w:p>
    <w:p w14:paraId="33F27DE8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1.2 公司簡介</w:t>
      </w:r>
    </w:p>
    <w:p w14:paraId="78D50565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 xml:space="preserve">CBA 為澳洲市值最大金融機構,1911 年成立,1991 年於 ASX 掛牌。FY25 止擁有約 1,700 萬客戶與 51,346 名員工,服務全澳三分之二人口,旗下品牌包含 Aussie 與 Bankwest(IBISWorld, 2025)。本報告聚焦其最大且最具策略性的業務 </w:t>
      </w:r>
      <w:proofErr w:type="gramStart"/>
      <w:r w:rsidRPr="00D83985">
        <w:rPr>
          <w:rFonts w:asciiTheme="majorEastAsia" w:eastAsiaTheme="majorEastAsia" w:hAnsiTheme="majorEastAsia"/>
        </w:rPr>
        <w:t>—</w:t>
      </w:r>
      <w:proofErr w:type="gramEnd"/>
      <w:r w:rsidRPr="00D83985">
        <w:rPr>
          <w:rFonts w:asciiTheme="majorEastAsia" w:eastAsiaTheme="majorEastAsia" w:hAnsiTheme="majorEastAsia"/>
        </w:rPr>
        <w:t xml:space="preserve"> 住宅房貸 </w:t>
      </w:r>
      <w:proofErr w:type="gramStart"/>
      <w:r w:rsidRPr="00D83985">
        <w:rPr>
          <w:rFonts w:asciiTheme="majorEastAsia" w:eastAsiaTheme="majorEastAsia" w:hAnsiTheme="majorEastAsia"/>
        </w:rPr>
        <w:t>—</w:t>
      </w:r>
      <w:proofErr w:type="gramEnd"/>
      <w:r w:rsidRPr="00D83985">
        <w:rPr>
          <w:rFonts w:asciiTheme="majorEastAsia" w:eastAsiaTheme="majorEastAsia" w:hAnsiTheme="majorEastAsia"/>
        </w:rPr>
        <w:t xml:space="preserve"> 貢獻利息收入近六成,亦為澳洲銀行業最大產品線,2025 年規模 A$161.5 bn,占行業營收 62.3%。</w:t>
      </w:r>
    </w:p>
    <w:p w14:paraId="1F3CE4E9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1.3 ANZSIC 行業分類</w:t>
      </w:r>
    </w:p>
    <w:p w14:paraId="7E2683CD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依 ANZSIC 2006 系統,CBA 歸入 Division K 金融保險業 → Subdivision 62 金融 → Group 622 存款型金融中介 → Class 6221 銀行業。IBISWorld 將 Class 6221 再細分為 K6221A 本國/區域商業銀行與 K6221B 外資銀行,CBA 屬於 K6221A。</w:t>
      </w:r>
    </w:p>
    <w:p w14:paraId="269B426A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1.4 三年財務概況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24"/>
        <w:gridCol w:w="2024"/>
        <w:gridCol w:w="2024"/>
      </w:tblGrid>
      <w:tr w:rsidR="00945489" w:rsidRPr="00D83985" w14:paraId="3CCB3077" w14:textId="77777777">
        <w:trPr>
          <w:tblHeader/>
        </w:trPr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A89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lastRenderedPageBreak/>
              <w:t>指標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25DC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FY23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51DF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FY24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AE08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FY25</w:t>
            </w:r>
          </w:p>
        </w:tc>
      </w:tr>
      <w:tr w:rsidR="00945489" w:rsidRPr="00D83985" w14:paraId="45E73EA8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0A9D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Total Operating Income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0A85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A$27.2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4FD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A$27.17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5F98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000000"/>
                <w:sz w:val="22"/>
                <w:szCs w:val="22"/>
              </w:rPr>
              <w:t>A$28.29 bn</w:t>
            </w:r>
          </w:p>
        </w:tc>
      </w:tr>
      <w:tr w:rsidR="00945489" w:rsidRPr="00D83985" w14:paraId="09D7028D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9736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Net Interest Income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C6D5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~A$23.1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DFE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A$22.82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700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000000"/>
                <w:sz w:val="22"/>
                <w:szCs w:val="22"/>
              </w:rPr>
              <w:t>A$24.02 bn</w:t>
            </w:r>
          </w:p>
        </w:tc>
      </w:tr>
      <w:tr w:rsidR="00945489" w:rsidRPr="00D83985" w14:paraId="68DF5F31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9E70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Cash NPAT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FDF8A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A$10,164 m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9B7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A$9,836 m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BA7C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000000"/>
                <w:sz w:val="22"/>
                <w:szCs w:val="22"/>
              </w:rPr>
              <w:t>A$10,252 m</w:t>
            </w:r>
          </w:p>
        </w:tc>
      </w:tr>
      <w:tr w:rsidR="00945489" w:rsidRPr="00D83985" w14:paraId="4B9874CE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11C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Cash NPAT 年增率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181C" w14:textId="3B1DAE2D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+6.0</w:t>
            </w:r>
            <w:r w:rsidR="00C17541" w:rsidRPr="00D83985">
              <w:rPr>
                <w:rFonts w:asciiTheme="majorEastAsia" w:eastAsiaTheme="majorEastAsia" w:hAnsiTheme="majorEastAsia" w:hint="eastAsia"/>
                <w:color w:val="000000"/>
                <w:sz w:val="22"/>
                <w:szCs w:val="22"/>
              </w:rPr>
              <w:t>%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A417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="Cambria Math" w:eastAsiaTheme="majorEastAsia" w:hAnsi="Cambria Math" w:cs="Cambria Math"/>
                <w:color w:val="000000"/>
                <w:sz w:val="22"/>
                <w:szCs w:val="22"/>
              </w:rPr>
              <w:t>−</w:t>
            </w: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3.2%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EFD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+4.2%</w:t>
            </w:r>
          </w:p>
        </w:tc>
      </w:tr>
      <w:tr w:rsidR="00945489" w:rsidRPr="00D83985" w14:paraId="6B2D3C4D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F148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NIM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326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2.07%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15DA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1.99</w:t>
            </w:r>
            <w:proofErr w:type="gramStart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%(</w:t>
            </w:r>
            <w:proofErr w:type="gramEnd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↓8 bp)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8241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2.08</w:t>
            </w:r>
            <w:proofErr w:type="gramStart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%(</w:t>
            </w:r>
            <w:proofErr w:type="gramEnd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+9 bp)</w:t>
            </w:r>
          </w:p>
        </w:tc>
      </w:tr>
      <w:tr w:rsidR="00945489" w:rsidRPr="00D83985" w14:paraId="08F3DB51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4DC9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ROE / EPS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DC94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14.0% / A$5.97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FB52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13.6% / A$5.83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65A9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13.5% / A$6.12</w:t>
            </w:r>
          </w:p>
        </w:tc>
      </w:tr>
      <w:tr w:rsidR="00945489" w:rsidRPr="00D83985" w14:paraId="7F889132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5A84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Cost-to-Income Ratio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344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~44%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3ADE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45.0%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124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45.7%</w:t>
            </w:r>
          </w:p>
        </w:tc>
      </w:tr>
      <w:tr w:rsidR="00945489" w:rsidRPr="00D83985" w14:paraId="6A02769C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3615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股利(每股)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947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A$4.50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E5C9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A$4.65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253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A$4.85</w:t>
            </w:r>
          </w:p>
        </w:tc>
      </w:tr>
      <w:tr w:rsidR="00945489" w:rsidRPr="00D83985" w14:paraId="526908CE" w14:textId="77777777"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3162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房貸組合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805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~A$558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D694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A$586 bn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D14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A$611 bn</w:t>
            </w:r>
          </w:p>
        </w:tc>
      </w:tr>
    </w:tbl>
    <w:p w14:paraId="2283A985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表 1:CBA 三年關鍵財務指標。Source: CBA Annual Reports 2023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–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2025; APRA, 2025。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註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:銀行業 EBITDA 概念對應 Total Operating Income。</w:t>
      </w:r>
    </w:p>
    <w:p w14:paraId="300B0F43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CBA 房貸組合 FY25 達 A$611 bn,年增 6.5%,顯著高於行業約 4.5%(APRA, 2025)。</w:t>
      </w:r>
    </w:p>
    <w:p w14:paraId="33553CCE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drawing>
          <wp:inline distT="0" distB="0" distL="0" distR="0" wp14:anchorId="2F42C521" wp14:editId="2F9141A1">
            <wp:extent cx="3514725" cy="1885950"/>
            <wp:effectExtent l="0" t="0" r="0" b="0"/>
            <wp:docPr id="1" name="fig2_cba_npat.png" descr="fig2_cba_npat.png" title="fig2_cba_np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7EE7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2:CBA Cash NPAT(FY23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–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FY25)。Source: CBA Annual Reports</w:t>
      </w:r>
    </w:p>
    <w:p w14:paraId="75B35C7A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2. 行業整體表現</w:t>
      </w:r>
    </w:p>
    <w:p w14:paraId="7CEF981F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2.1 行業規模與成長</w:t>
      </w:r>
    </w:p>
    <w:p w14:paraId="0EABDB5F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 xml:space="preserve">IBISWorld(2025)顯示,K6221A 2025 年營收達 </w:t>
      </w:r>
      <w:r w:rsidRPr="00D83985">
        <w:rPr>
          <w:rFonts w:asciiTheme="majorEastAsia" w:eastAsiaTheme="majorEastAsia" w:hAnsiTheme="majorEastAsia"/>
          <w:b/>
          <w:bCs/>
        </w:rPr>
        <w:t>A$259.2 bn</w:t>
      </w:r>
      <w:r w:rsidRPr="00D83985">
        <w:rPr>
          <w:rFonts w:asciiTheme="majorEastAsia" w:eastAsiaTheme="majorEastAsia" w:hAnsiTheme="majorEastAsia"/>
        </w:rPr>
        <w:t xml:space="preserve">,過去五年 CAGR +9.3%,顯著高於同期 GDP CAGR 約 +2.8%,反映行業在 RBA 升息週期享受利息收入結構性擴張。然而 2025 年單年衰退 </w:t>
      </w:r>
      <w:r w:rsidRPr="00D83985">
        <w:rPr>
          <w:rFonts w:ascii="Cambria Math" w:eastAsiaTheme="majorEastAsia" w:hAnsi="Cambria Math" w:cs="Cambria Math"/>
        </w:rPr>
        <w:t>−</w:t>
      </w:r>
      <w:r w:rsidRPr="00D83985">
        <w:rPr>
          <w:rFonts w:asciiTheme="majorEastAsia" w:eastAsiaTheme="majorEastAsia" w:hAnsiTheme="majorEastAsia"/>
        </w:rPr>
        <w:t>8.3%,未來五年預測 CAGR 僅 +0.3%,顯示行業已步入成熟期。利潤率自 2020 年高峰 23.4% 降至 22.3%,反映存款定價戰侵蝕淨利差;受 2022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>23 升息衝擊,當年澳洲房屋過戶數驟降 18.7%。</w:t>
      </w:r>
    </w:p>
    <w:p w14:paraId="720B7398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lastRenderedPageBreak/>
        <w:t>2.2 全體 ADI 表現與集中度</w:t>
      </w:r>
    </w:p>
    <w:p w14:paraId="3C5E953D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 xml:space="preserve">APRA(2024)指出全體授權存款機構 2024 年累計淨利 A$39.0 bn,2025 年 3 月底全行業總資產達 A$9.8 兆。住宅房貸總餘額 </w:t>
      </w:r>
      <w:r w:rsidRPr="00D83985">
        <w:rPr>
          <w:rFonts w:asciiTheme="majorEastAsia" w:eastAsiaTheme="majorEastAsia" w:hAnsiTheme="majorEastAsia"/>
          <w:b/>
          <w:bCs/>
        </w:rPr>
        <w:t>A$2.29 兆</w:t>
      </w:r>
      <w:r w:rsidRPr="00D83985">
        <w:rPr>
          <w:rFonts w:asciiTheme="majorEastAsia" w:eastAsiaTheme="majorEastAsia" w:hAnsiTheme="majorEastAsia"/>
        </w:rPr>
        <w:t>(自住 1.56 兆、投資 0.73 兆)為行業最大資產類別。四大行合計房貸市占 74.6%,屬高度集中之寡占;CBA 以 25.4% 居首,領先第二名 Westpac 約 7.2 pp。HHI 估算約 1,800。</w:t>
      </w:r>
    </w:p>
    <w:p w14:paraId="13902B4A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drawing>
          <wp:inline distT="0" distB="0" distL="0" distR="0" wp14:anchorId="728F91A1" wp14:editId="08D2CD05">
            <wp:extent cx="3238500" cy="2428875"/>
            <wp:effectExtent l="0" t="0" r="0" b="0"/>
            <wp:docPr id="787055487" name="fig1_market_share_pie.png" descr="fig1_market_share_pie.png" title="fig1_market_share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7F77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 xml:space="preserve">圖 1:K6221A 行業市占率(2025)。Source: 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IBISWorld(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2025)</w:t>
      </w:r>
    </w:p>
    <w:p w14:paraId="5EFBB9F1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3. CBA 相對於行業表現</w:t>
      </w:r>
    </w:p>
    <w:p w14:paraId="7A1937DA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對比 IBISWorld 行業基準與 CBA 自身數據,可見 CBA 多項關鍵</w:t>
      </w:r>
      <w:proofErr w:type="gramStart"/>
      <w:r w:rsidRPr="00D83985">
        <w:rPr>
          <w:rFonts w:asciiTheme="majorEastAsia" w:eastAsiaTheme="majorEastAsia" w:hAnsiTheme="majorEastAsia"/>
        </w:rPr>
        <w:t>指標跑贏行業</w:t>
      </w:r>
      <w:proofErr w:type="gramEnd"/>
      <w:r w:rsidRPr="00D83985">
        <w:rPr>
          <w:rFonts w:asciiTheme="majorEastAsia" w:eastAsiaTheme="majorEastAsia" w:hAnsiTheme="majorEastAsia"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57"/>
        <w:gridCol w:w="1857"/>
        <w:gridCol w:w="1858"/>
      </w:tblGrid>
      <w:tr w:rsidR="00945489" w:rsidRPr="00D83985" w14:paraId="3BA5CA79" w14:textId="77777777">
        <w:trPr>
          <w:tblHeader/>
        </w:trPr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9637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指標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84B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CBA(FY25)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087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行業基準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E9AF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差距</w:t>
            </w:r>
          </w:p>
        </w:tc>
      </w:tr>
      <w:tr w:rsidR="00945489" w:rsidRPr="00D83985" w14:paraId="33896376" w14:textId="77777777"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4D03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Cash NPAT 年增率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49BF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+4.2%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268A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="Cambria Math" w:eastAsiaTheme="majorEastAsia" w:hAnsi="Cambria Math" w:cs="Cambria Math"/>
                <w:color w:val="000000"/>
                <w:sz w:val="22"/>
                <w:szCs w:val="22"/>
              </w:rPr>
              <w:t>−</w:t>
            </w: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8.3%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433D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000000"/>
                <w:sz w:val="22"/>
                <w:szCs w:val="22"/>
              </w:rPr>
              <w:t>+12.5 pp</w:t>
            </w:r>
          </w:p>
        </w:tc>
      </w:tr>
      <w:tr w:rsidR="00945489" w:rsidRPr="00D83985" w14:paraId="490416F3" w14:textId="77777777"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79B6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房貸組合年成長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1EC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+6.5%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5BB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~+4.5%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11E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+2.0 pp</w:t>
            </w:r>
          </w:p>
        </w:tc>
      </w:tr>
      <w:tr w:rsidR="00945489" w:rsidRPr="00D83985" w14:paraId="615C4205" w14:textId="77777777"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330E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NIM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08491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2.08%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7868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~1.85%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FD6E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+23 bp</w:t>
            </w:r>
          </w:p>
        </w:tc>
      </w:tr>
      <w:tr w:rsidR="00945489" w:rsidRPr="00D83985" w14:paraId="2363E1C5" w14:textId="77777777"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AA96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ROE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FE21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13.5%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165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C3BED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高於四大</w:t>
            </w:r>
            <w:proofErr w:type="gramStart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行均值</w:t>
            </w:r>
            <w:proofErr w:type="gramEnd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 xml:space="preserve"> ~12%</w:t>
            </w:r>
          </w:p>
        </w:tc>
      </w:tr>
      <w:tr w:rsidR="00945489" w:rsidRPr="00D83985" w14:paraId="456D972F" w14:textId="77777777"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00E8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自有通路新貸款占比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A2E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66%</w:t>
            </w:r>
          </w:p>
        </w:tc>
        <w:tc>
          <w:tcPr>
            <w:tcW w:w="18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D4A8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~50%</w:t>
            </w:r>
          </w:p>
        </w:tc>
        <w:tc>
          <w:tcPr>
            <w:tcW w:w="18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D0F37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+16 pp</w:t>
            </w:r>
          </w:p>
        </w:tc>
      </w:tr>
    </w:tbl>
    <w:p w14:paraId="184DB6A0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表 2:CBA vs 行業基準對比。Source: CBA 2025 Full Year Results; IBISWorld, 2025; APRA, 2025</w:t>
      </w:r>
    </w:p>
    <w:p w14:paraId="7863D5B7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參考 Unit 1 教材 Regis Healthcare 之公司 vs 行業對比方法論,圖 8 將 CBA 股價與 S&amp;P/ASX 200 對比(2021 年 1 月為基期 = 100)。CBA 於 2024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 xml:space="preserve">2025 </w:t>
      </w:r>
      <w:proofErr w:type="gramStart"/>
      <w:r w:rsidRPr="00D83985">
        <w:rPr>
          <w:rFonts w:asciiTheme="majorEastAsia" w:eastAsiaTheme="majorEastAsia" w:hAnsiTheme="majorEastAsia"/>
        </w:rPr>
        <w:t>顯著跑贏大盤</w:t>
      </w:r>
      <w:proofErr w:type="gramEnd"/>
      <w:r w:rsidRPr="00D83985">
        <w:rPr>
          <w:rFonts w:asciiTheme="majorEastAsia" w:eastAsiaTheme="majorEastAsia" w:hAnsiTheme="majorEastAsia"/>
        </w:rPr>
        <w:t xml:space="preserve">,2025 年 6 月觸及歷史高點 A$192,惟 2026 年 5 月因 RBA </w:t>
      </w:r>
      <w:proofErr w:type="gramStart"/>
      <w:r w:rsidRPr="00D83985">
        <w:rPr>
          <w:rFonts w:asciiTheme="majorEastAsia" w:eastAsiaTheme="majorEastAsia" w:hAnsiTheme="majorEastAsia"/>
        </w:rPr>
        <w:t>重啟升息</w:t>
      </w:r>
      <w:proofErr w:type="gramEnd"/>
      <w:r w:rsidRPr="00D83985">
        <w:rPr>
          <w:rFonts w:asciiTheme="majorEastAsia" w:eastAsiaTheme="majorEastAsia" w:hAnsiTheme="majorEastAsia"/>
        </w:rPr>
        <w:t>壓力回落至約 A$173。</w:t>
      </w:r>
      <w:proofErr w:type="gramStart"/>
      <w:r w:rsidRPr="00D83985">
        <w:rPr>
          <w:rFonts w:asciiTheme="majorEastAsia" w:eastAsiaTheme="majorEastAsia" w:hAnsiTheme="majorEastAsia"/>
        </w:rPr>
        <w:t>整體跑贏</w:t>
      </w:r>
      <w:proofErr w:type="gramEnd"/>
      <w:r w:rsidRPr="00D83985">
        <w:rPr>
          <w:rFonts w:asciiTheme="majorEastAsia" w:eastAsiaTheme="majorEastAsia" w:hAnsiTheme="majorEastAsia"/>
        </w:rPr>
        <w:t xml:space="preserve"> ASX </w:t>
      </w:r>
      <w:r w:rsidRPr="00D83985">
        <w:rPr>
          <w:rFonts w:asciiTheme="majorEastAsia" w:eastAsiaTheme="majorEastAsia" w:hAnsiTheme="majorEastAsia"/>
        </w:rPr>
        <w:lastRenderedPageBreak/>
        <w:t xml:space="preserve">200 </w:t>
      </w:r>
      <w:proofErr w:type="gramStart"/>
      <w:r w:rsidRPr="00D83985">
        <w:rPr>
          <w:rFonts w:asciiTheme="majorEastAsia" w:eastAsiaTheme="majorEastAsia" w:hAnsiTheme="majorEastAsia"/>
        </w:rPr>
        <w:t>凸</w:t>
      </w:r>
      <w:proofErr w:type="gramEnd"/>
      <w:r w:rsidRPr="00D83985">
        <w:rPr>
          <w:rFonts w:asciiTheme="majorEastAsia" w:eastAsiaTheme="majorEastAsia" w:hAnsiTheme="majorEastAsia"/>
        </w:rPr>
        <w:t>顯市場肯定 CBA 在升息週期的獲利防禦力。</w:t>
      </w:r>
    </w:p>
    <w:p w14:paraId="290AB329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drawing>
          <wp:inline distT="0" distB="0" distL="0" distR="0" wp14:anchorId="1A0FF24A" wp14:editId="70CEC092">
            <wp:extent cx="3781425" cy="1885950"/>
            <wp:effectExtent l="0" t="0" r="0" b="0"/>
            <wp:docPr id="755360507" name="fig8_cba_vs_asx200.png" descr="fig8_cba_vs_asx200.png" title="fig8_cba_vs_asx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21B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8:CBA 股價 vs S&amp;P/ASX 200(2021/1=100)。Source: ASX</w:t>
      </w:r>
    </w:p>
    <w:p w14:paraId="6C5FB0DA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CBA 表現優於行業的關鍵原因有三:第一,</w:t>
      </w:r>
      <w:r w:rsidRPr="00D83985">
        <w:rPr>
          <w:rFonts w:asciiTheme="majorEastAsia" w:eastAsiaTheme="majorEastAsia" w:hAnsiTheme="majorEastAsia"/>
          <w:b/>
          <w:bCs/>
        </w:rPr>
        <w:t>規模優勢攤平固定成本</w:t>
      </w:r>
      <w:r w:rsidRPr="00D83985">
        <w:rPr>
          <w:rFonts w:asciiTheme="majorEastAsia" w:eastAsiaTheme="majorEastAsia" w:hAnsiTheme="majorEastAsia"/>
        </w:rPr>
        <w:t>,NIM 收窄期間仍維持較高邊際利潤;第二,</w:t>
      </w:r>
      <w:r w:rsidRPr="00D83985">
        <w:rPr>
          <w:rFonts w:asciiTheme="majorEastAsia" w:eastAsiaTheme="majorEastAsia" w:hAnsiTheme="majorEastAsia"/>
          <w:b/>
          <w:bCs/>
        </w:rPr>
        <w:t>自有通路占比 66%</w:t>
      </w:r>
      <w:r w:rsidRPr="00D83985">
        <w:rPr>
          <w:rFonts w:asciiTheme="majorEastAsia" w:eastAsiaTheme="majorEastAsia" w:hAnsiTheme="majorEastAsia"/>
        </w:rPr>
        <w:t>,降低對房貸經紀商佣金支出,行業競爭者多達 40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>50% 透過 broker 取得新貸款;第三,</w:t>
      </w:r>
      <w:r w:rsidRPr="00D83985">
        <w:rPr>
          <w:rFonts w:asciiTheme="majorEastAsia" w:eastAsiaTheme="majorEastAsia" w:hAnsiTheme="majorEastAsia"/>
          <w:b/>
          <w:bCs/>
        </w:rPr>
        <w:t>客戶基礎廣</w:t>
      </w:r>
      <w:r w:rsidRPr="00D83985">
        <w:rPr>
          <w:rFonts w:asciiTheme="majorEastAsia" w:eastAsiaTheme="majorEastAsia" w:hAnsiTheme="majorEastAsia"/>
        </w:rPr>
        <w:t xml:space="preserve">,1,700 萬客戶提供強大交叉銷售與資料優勢。CBA 房貸組合 A$611.5 bn 為 Westpac 1.23 </w:t>
      </w:r>
      <w:proofErr w:type="gramStart"/>
      <w:r w:rsidRPr="00D83985">
        <w:rPr>
          <w:rFonts w:asciiTheme="majorEastAsia" w:eastAsiaTheme="majorEastAsia" w:hAnsiTheme="majorEastAsia"/>
        </w:rPr>
        <w:t>倍</w:t>
      </w:r>
      <w:proofErr w:type="gramEnd"/>
      <w:r w:rsidRPr="00D83985">
        <w:rPr>
          <w:rFonts w:asciiTheme="majorEastAsia" w:eastAsiaTheme="majorEastAsia" w:hAnsiTheme="majorEastAsia"/>
        </w:rPr>
        <w:t xml:space="preserve">、NAB 1.79 </w:t>
      </w:r>
      <w:proofErr w:type="gramStart"/>
      <w:r w:rsidRPr="00D83985">
        <w:rPr>
          <w:rFonts w:asciiTheme="majorEastAsia" w:eastAsiaTheme="majorEastAsia" w:hAnsiTheme="majorEastAsia"/>
        </w:rPr>
        <w:t>倍</w:t>
      </w:r>
      <w:proofErr w:type="gramEnd"/>
      <w:r w:rsidRPr="00D83985">
        <w:rPr>
          <w:rFonts w:asciiTheme="majorEastAsia" w:eastAsiaTheme="majorEastAsia" w:hAnsiTheme="majorEastAsia"/>
        </w:rPr>
        <w:t xml:space="preserve">、ANZ 1.90 </w:t>
      </w:r>
      <w:proofErr w:type="gramStart"/>
      <w:r w:rsidRPr="00D83985">
        <w:rPr>
          <w:rFonts w:asciiTheme="majorEastAsia" w:eastAsiaTheme="majorEastAsia" w:hAnsiTheme="majorEastAsia"/>
        </w:rPr>
        <w:t>倍</w:t>
      </w:r>
      <w:proofErr w:type="gramEnd"/>
      <w:r w:rsidRPr="00D83985">
        <w:rPr>
          <w:rFonts w:asciiTheme="majorEastAsia" w:eastAsiaTheme="majorEastAsia" w:hAnsiTheme="majorEastAsia"/>
        </w:rPr>
        <w:t>,年增率亦居四大行之首。Macquarie Bank 同期房貸 A$160.8 bn 以近 +20% 年增率快速逼近 ANZ,顯示非傳統四大行勢力崛起。</w:t>
      </w:r>
    </w:p>
    <w:p w14:paraId="2E107A22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drawing>
          <wp:inline distT="0" distB="0" distL="0" distR="0" wp14:anchorId="46BE8A03" wp14:editId="16C1815D">
            <wp:extent cx="3781425" cy="2162175"/>
            <wp:effectExtent l="0" t="0" r="0" b="0"/>
            <wp:docPr id="996816215" name="fig4_big4_mortgage_books.png" descr="fig4_big4_mortgage_books.png" title="fig4_big4_mortgage_boo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339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4:四大行 + Macquarie 房貸組合(Nov 2025)。Source: APRA</w:t>
      </w:r>
    </w:p>
    <w:p w14:paraId="70961660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188C9252" wp14:editId="63D61CD8">
            <wp:extent cx="4048125" cy="2028825"/>
            <wp:effectExtent l="0" t="0" r="0" b="0"/>
            <wp:docPr id="69095925" name="fig6_cba_history.png" descr="fig6_cba_history.png" title="fig6_cba_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474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6:CBA 在 K6221A 之營收與市占率(2013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–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 xml:space="preserve">2025)。Source: 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IBISWorld(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2025)</w:t>
      </w:r>
    </w:p>
    <w:p w14:paraId="1E7FFF6B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 需求與供給因素討論</w:t>
      </w:r>
    </w:p>
    <w:p w14:paraId="2F766737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本節為報告核心,以 Porter 五力模型檢視 CBA 房貸業務之競爭環境,並結合 Unit 1 教材彈性框架延伸至需求/供給雙面因子。</w:t>
      </w:r>
    </w:p>
    <w:p w14:paraId="6C627D6C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4.1 五力競爭結構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945489" w:rsidRPr="00D83985" w14:paraId="31F3DB5C" w14:textId="77777777">
        <w:trPr>
          <w:tblHeader/>
        </w:trPr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8D4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競爭力量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85C7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強度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0AD8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趨勢</w:t>
            </w:r>
          </w:p>
        </w:tc>
      </w:tr>
      <w:tr w:rsidR="00945489" w:rsidRPr="00D83985" w14:paraId="3B6DF93B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3188F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行業集中度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126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9A0F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Stable</w:t>
            </w:r>
          </w:p>
        </w:tc>
      </w:tr>
      <w:tr w:rsidR="00945489" w:rsidRPr="00D83985" w14:paraId="2C8B8C2F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26BA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現有業者競爭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5C5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C32E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↑ Increasing</w:t>
            </w:r>
          </w:p>
        </w:tc>
      </w:tr>
      <w:tr w:rsidR="00945489" w:rsidRPr="00D83985" w14:paraId="1B0C0427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C410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新進入者威脅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5D3F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2603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↓ Decreasing</w:t>
            </w:r>
          </w:p>
        </w:tc>
      </w:tr>
      <w:tr w:rsidR="00945489" w:rsidRPr="00D83985" w14:paraId="59CC4CD4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1573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替代品威脅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BA8FB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749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Steady</w:t>
            </w:r>
          </w:p>
        </w:tc>
      </w:tr>
      <w:tr w:rsidR="00945489" w:rsidRPr="00D83985" w14:paraId="67CDA190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C37C9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買方議價力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DA89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7C4E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↑ Increasing</w:t>
            </w:r>
          </w:p>
        </w:tc>
      </w:tr>
      <w:tr w:rsidR="00945489" w:rsidRPr="00D83985" w14:paraId="1A37E487" w14:textId="77777777"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FA5C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供應商議價力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8E97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3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F14C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Steady</w:t>
            </w:r>
          </w:p>
        </w:tc>
      </w:tr>
    </w:tbl>
    <w:p w14:paraId="6D46C271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表 3:K6221A 五力強度與趨勢。Source: IBISWorld, 2025</w:t>
      </w:r>
    </w:p>
    <w:p w14:paraId="4E9E5A1E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281D6822" wp14:editId="0B3095C7">
            <wp:extent cx="3238500" cy="3238500"/>
            <wp:effectExtent l="0" t="0" r="0" b="0"/>
            <wp:docPr id="2122984245" name="fig5_porter_radar.png" descr="fig5_porter_radar.png" title="fig5_porter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0E7C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5:Porter 五力強度雷達圖。Source: IBISWorld(2025),作者整理</w:t>
      </w:r>
    </w:p>
    <w:p w14:paraId="4CDC7FDE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b/>
          <w:bCs/>
        </w:rPr>
        <w:t>現有業者競爭(High↑)</w:t>
      </w:r>
      <w:r w:rsidRPr="00D83985">
        <w:rPr>
          <w:rFonts w:asciiTheme="majorEastAsia" w:eastAsiaTheme="majorEastAsia" w:hAnsiTheme="majorEastAsia"/>
        </w:rPr>
        <w:t>為 CBA 最大威脅:四大行內部競爭白熱化,Macquarie 與中型銀行以較低利率切入,非銀行 fintech 如 Athena、Pepper Money 透過數位通路與低於 SVR 60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>80 bp 利率搶客。</w:t>
      </w:r>
      <w:r w:rsidRPr="00D83985">
        <w:rPr>
          <w:rFonts w:asciiTheme="majorEastAsia" w:eastAsiaTheme="majorEastAsia" w:hAnsiTheme="majorEastAsia"/>
          <w:b/>
          <w:bCs/>
        </w:rPr>
        <w:t>替代品(Low Steady)</w:t>
      </w:r>
      <w:r w:rsidRPr="00D83985">
        <w:rPr>
          <w:rFonts w:asciiTheme="majorEastAsia" w:eastAsiaTheme="majorEastAsia" w:hAnsiTheme="majorEastAsia"/>
        </w:rPr>
        <w:t>:依筆者活動二分析,CBA 房貸的直接替代品為其他三大行房貸,根本性替代為租屋。</w:t>
      </w:r>
      <w:r w:rsidRPr="00D83985">
        <w:rPr>
          <w:rFonts w:asciiTheme="majorEastAsia" w:eastAsiaTheme="majorEastAsia" w:hAnsiTheme="majorEastAsia"/>
          <w:b/>
          <w:bCs/>
        </w:rPr>
        <w:t>互補品</w:t>
      </w:r>
      <w:r w:rsidRPr="00D83985">
        <w:rPr>
          <w:rFonts w:asciiTheme="majorEastAsia" w:eastAsiaTheme="majorEastAsia" w:hAnsiTheme="majorEastAsia"/>
        </w:rPr>
        <w:t>包含 Lenders Mortgage Insurance、房屋保險、印花稅、offset 帳戶與信用卡,構成交叉銷售護城河。</w:t>
      </w:r>
      <w:r w:rsidRPr="00D83985">
        <w:rPr>
          <w:rFonts w:asciiTheme="majorEastAsia" w:eastAsiaTheme="majorEastAsia" w:hAnsiTheme="majorEastAsia"/>
          <w:b/>
          <w:bCs/>
        </w:rPr>
        <w:t>買方議價力(Low↑)</w:t>
      </w:r>
      <w:r w:rsidRPr="00D83985">
        <w:rPr>
          <w:rFonts w:asciiTheme="majorEastAsia" w:eastAsiaTheme="majorEastAsia" w:hAnsiTheme="majorEastAsia"/>
        </w:rPr>
        <w:t>:澳洲約 70% 新貸款透過經紀商,broker 通路聚合需求提升議價力。</w:t>
      </w:r>
    </w:p>
    <w:p w14:paraId="422232CD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4.2 需求面:彈性框架</w:t>
      </w:r>
    </w:p>
    <w:p w14:paraId="3503C36E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依 Unit 1 教材彈性概念(以絕對值計),CBA 房貸需求具三項特性:</w:t>
      </w:r>
      <w:r w:rsidRPr="00D83985">
        <w:rPr>
          <w:rFonts w:asciiTheme="majorEastAsia" w:eastAsiaTheme="majorEastAsia" w:hAnsiTheme="majorEastAsia"/>
          <w:b/>
          <w:bCs/>
        </w:rPr>
        <w:t>(1)自身價格彈性絕對值 &lt; 1</w:t>
      </w:r>
      <w:r w:rsidRPr="00D83985">
        <w:rPr>
          <w:rFonts w:asciiTheme="majorEastAsia" w:eastAsiaTheme="majorEastAsia" w:hAnsiTheme="majorEastAsia"/>
        </w:rPr>
        <w:t xml:space="preserve">(缺乏彈性):房貸對多數家庭屬必需品,類似教材中牛奶(彈性 </w:t>
      </w:r>
      <w:r w:rsidRPr="00D83985">
        <w:rPr>
          <w:rFonts w:ascii="Cambria Math" w:eastAsiaTheme="majorEastAsia" w:hAnsi="Cambria Math" w:cs="Cambria Math"/>
        </w:rPr>
        <w:t>−</w:t>
      </w:r>
      <w:r w:rsidRPr="00D83985">
        <w:rPr>
          <w:rFonts w:asciiTheme="majorEastAsia" w:eastAsiaTheme="majorEastAsia" w:hAnsiTheme="majorEastAsia"/>
        </w:rPr>
        <w:t>0.233)的剛性;</w:t>
      </w:r>
      <w:r w:rsidRPr="00D83985">
        <w:rPr>
          <w:rFonts w:asciiTheme="majorEastAsia" w:eastAsiaTheme="majorEastAsia" w:hAnsiTheme="majorEastAsia"/>
          <w:b/>
          <w:bCs/>
        </w:rPr>
        <w:t>(2)交叉價格彈性 &gt; 0</w:t>
      </w:r>
      <w:r w:rsidRPr="00D83985">
        <w:rPr>
          <w:rFonts w:asciiTheme="majorEastAsia" w:eastAsiaTheme="majorEastAsia" w:hAnsiTheme="majorEastAsia"/>
        </w:rPr>
        <w:t>:CBA 與其他三大行房貸高度替代,</w:t>
      </w:r>
      <w:proofErr w:type="gramStart"/>
      <w:r w:rsidRPr="00D83985">
        <w:rPr>
          <w:rFonts w:asciiTheme="majorEastAsia" w:eastAsiaTheme="majorEastAsia" w:hAnsiTheme="majorEastAsia"/>
        </w:rPr>
        <w:t>任一銀行降息</w:t>
      </w:r>
      <w:proofErr w:type="gramEnd"/>
      <w:r w:rsidRPr="00D83985">
        <w:rPr>
          <w:rFonts w:asciiTheme="majorEastAsia" w:eastAsiaTheme="majorEastAsia" w:hAnsiTheme="majorEastAsia"/>
        </w:rPr>
        <w:t>將吸引轉貸;</w:t>
      </w:r>
      <w:r w:rsidRPr="00D83985">
        <w:rPr>
          <w:rFonts w:asciiTheme="majorEastAsia" w:eastAsiaTheme="majorEastAsia" w:hAnsiTheme="majorEastAsia"/>
          <w:b/>
          <w:bCs/>
        </w:rPr>
        <w:t>(3)收入彈性 &gt; 0</w:t>
      </w:r>
      <w:r w:rsidRPr="00D83985">
        <w:rPr>
          <w:rFonts w:asciiTheme="majorEastAsia" w:eastAsiaTheme="majorEastAsia" w:hAnsiTheme="majorEastAsia"/>
        </w:rPr>
        <w:t>(正常財):家庭可支配所得上升推升服務能力測試通過率,需求量同向擴張。</w:t>
      </w:r>
    </w:p>
    <w:p w14:paraId="6C6D2E72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在此框架下,四項宏觀因子主導需求:</w:t>
      </w:r>
      <w:r w:rsidRPr="00D83985">
        <w:rPr>
          <w:rFonts w:asciiTheme="majorEastAsia" w:eastAsiaTheme="majorEastAsia" w:hAnsiTheme="majorEastAsia"/>
          <w:b/>
          <w:bCs/>
        </w:rPr>
        <w:t>(1)RBA 利率</w:t>
      </w:r>
      <w:r w:rsidRPr="00D83985">
        <w:rPr>
          <w:rFonts w:asciiTheme="majorEastAsia" w:eastAsiaTheme="majorEastAsia" w:hAnsiTheme="majorEastAsia"/>
        </w:rPr>
        <w:t>為</w:t>
      </w:r>
      <w:proofErr w:type="gramStart"/>
      <w:r w:rsidRPr="00D83985">
        <w:rPr>
          <w:rFonts w:asciiTheme="majorEastAsia" w:eastAsiaTheme="majorEastAsia" w:hAnsiTheme="majorEastAsia"/>
        </w:rPr>
        <w:t>最</w:t>
      </w:r>
      <w:proofErr w:type="gramEnd"/>
      <w:r w:rsidRPr="00D83985">
        <w:rPr>
          <w:rFonts w:asciiTheme="majorEastAsia" w:eastAsiaTheme="majorEastAsia" w:hAnsiTheme="majorEastAsia"/>
        </w:rPr>
        <w:t>關鍵變數。RBA 自 2022 年 5 月起連續升息 13 次至 4.35%(2023 年 11 月)為澳洲史上最快升息週期;2025 年短暫降息至 3.60% 後,2026 年通膨二度反撲,5 月重</w:t>
      </w:r>
      <w:proofErr w:type="gramStart"/>
      <w:r w:rsidRPr="00D83985">
        <w:rPr>
          <w:rFonts w:asciiTheme="majorEastAsia" w:eastAsiaTheme="majorEastAsia" w:hAnsiTheme="majorEastAsia"/>
        </w:rPr>
        <w:t>啟升息回</w:t>
      </w:r>
      <w:proofErr w:type="gramEnd"/>
      <w:r w:rsidRPr="00D83985">
        <w:rPr>
          <w:rFonts w:asciiTheme="majorEastAsia" w:eastAsiaTheme="majorEastAsia" w:hAnsiTheme="majorEastAsia"/>
        </w:rPr>
        <w:t xml:space="preserve"> 4.35%(RBA, 2026)。每升息 25 bp,A$700,000 房貸戶</w:t>
      </w:r>
      <w:proofErr w:type="gramStart"/>
      <w:r w:rsidRPr="00D83985">
        <w:rPr>
          <w:rFonts w:asciiTheme="majorEastAsia" w:eastAsiaTheme="majorEastAsia" w:hAnsiTheme="majorEastAsia"/>
        </w:rPr>
        <w:t>月供約增</w:t>
      </w:r>
      <w:proofErr w:type="gramEnd"/>
      <w:r w:rsidRPr="00D83985">
        <w:rPr>
          <w:rFonts w:asciiTheme="majorEastAsia" w:eastAsiaTheme="majorEastAsia" w:hAnsiTheme="majorEastAsia"/>
        </w:rPr>
        <w:t xml:space="preserve"> A$215。</w:t>
      </w:r>
    </w:p>
    <w:p w14:paraId="339BC34D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61EEBA53" wp14:editId="1E6EE37D">
            <wp:extent cx="3781425" cy="1752600"/>
            <wp:effectExtent l="0" t="0" r="0" b="0"/>
            <wp:docPr id="2140347384" name="fig3_rba_cashrate.png" descr="fig3_rba_cashrate.png" title="fig3_rba_cash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2C6C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圖 3:RBA Cash Rate 走勢(2022/4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–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2026/5)。Source: RBA</w:t>
      </w:r>
    </w:p>
    <w:p w14:paraId="10D52811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b/>
          <w:bCs/>
        </w:rPr>
        <w:t>(2)淨海外移民</w:t>
      </w:r>
      <w:r w:rsidRPr="00D83985">
        <w:rPr>
          <w:rFonts w:asciiTheme="majorEastAsia" w:eastAsiaTheme="majorEastAsia" w:hAnsiTheme="majorEastAsia"/>
        </w:rPr>
        <w:t>:ABS(2025)顯示 FY22-23 NOM 達高點 53.8 萬,FY24-25 雖降至 30.6 萬,三年累計移民 130 萬人 vs 新建住房僅 65 萬戶,累積過剩需求支撐房貸結構性成長。</w:t>
      </w:r>
      <w:r w:rsidRPr="00D83985">
        <w:rPr>
          <w:rFonts w:asciiTheme="majorEastAsia" w:eastAsiaTheme="majorEastAsia" w:hAnsiTheme="majorEastAsia"/>
          <w:b/>
          <w:bCs/>
        </w:rPr>
        <w:t>(3)房價預期與從眾效應</w:t>
      </w:r>
      <w:r w:rsidRPr="00D83985">
        <w:rPr>
          <w:rFonts w:asciiTheme="majorEastAsia" w:eastAsiaTheme="majorEastAsia" w:hAnsiTheme="majorEastAsia"/>
        </w:rPr>
        <w:t>:2025 年 CoreLogic 全國房價漲 8.6% 強化「只漲不跌」預期,引發跟風;惟 2026 年 4 月 Sydney 與 Melbourne 月跌 0.6% 反轉預期。</w:t>
      </w:r>
      <w:r w:rsidRPr="00D83985">
        <w:rPr>
          <w:rFonts w:asciiTheme="majorEastAsia" w:eastAsiaTheme="majorEastAsia" w:hAnsiTheme="majorEastAsia"/>
          <w:b/>
          <w:bCs/>
        </w:rPr>
        <w:t>(4)首購政策</w:t>
      </w:r>
      <w:r w:rsidRPr="00D83985">
        <w:rPr>
          <w:rFonts w:asciiTheme="majorEastAsia" w:eastAsiaTheme="majorEastAsia" w:hAnsiTheme="majorEastAsia"/>
        </w:rPr>
        <w:t>:2024 年起 First Home Guarantee 取消收入上限、Help to Buy 年 10,000 名額擴大可申貸群體(Housing Australia, 2024)。</w:t>
      </w:r>
    </w:p>
    <w:p w14:paraId="5C6EDF54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4.3 供給面驅動因子</w:t>
      </w:r>
    </w:p>
    <w:p w14:paraId="247A7A7A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b/>
          <w:bCs/>
        </w:rPr>
        <w:t>(1)銀行資金成本</w:t>
      </w:r>
      <w:r w:rsidRPr="00D83985">
        <w:rPr>
          <w:rFonts w:asciiTheme="majorEastAsia" w:eastAsiaTheme="majorEastAsia" w:hAnsiTheme="majorEastAsia"/>
        </w:rPr>
        <w:t>:CBA 約 75% 資金來自零售存款,</w:t>
      </w:r>
      <w:proofErr w:type="gramStart"/>
      <w:r w:rsidRPr="00D83985">
        <w:rPr>
          <w:rFonts w:asciiTheme="majorEastAsia" w:eastAsiaTheme="majorEastAsia" w:hAnsiTheme="majorEastAsia"/>
        </w:rPr>
        <w:t>升息期存款</w:t>
      </w:r>
      <w:proofErr w:type="gramEnd"/>
      <w:r w:rsidRPr="00D83985">
        <w:rPr>
          <w:rFonts w:asciiTheme="majorEastAsia" w:eastAsiaTheme="majorEastAsia" w:hAnsiTheme="majorEastAsia"/>
        </w:rPr>
        <w:t>定價戰擠壓 NIM。</w:t>
      </w:r>
      <w:r w:rsidRPr="00D83985">
        <w:rPr>
          <w:rFonts w:asciiTheme="majorEastAsia" w:eastAsiaTheme="majorEastAsia" w:hAnsiTheme="majorEastAsia"/>
          <w:b/>
          <w:bCs/>
        </w:rPr>
        <w:t>(2)APRA 監管框架</w:t>
      </w:r>
      <w:r w:rsidRPr="00D83985">
        <w:rPr>
          <w:rFonts w:asciiTheme="majorEastAsia" w:eastAsiaTheme="majorEastAsia" w:hAnsiTheme="majorEastAsia"/>
        </w:rPr>
        <w:t>:服務能力緩衝自 2021 年 11 月維持 3%;Revised Capital Framework 於 2023 年 1 月對齊 Basel III,CET1 最低 10.5%(CBA 約 12.0%);APRA 並於 2024 年宣布 2032 年前淘汰 AT1 工具。</w:t>
      </w:r>
      <w:r w:rsidRPr="00D83985">
        <w:rPr>
          <w:rFonts w:asciiTheme="majorEastAsia" w:eastAsiaTheme="majorEastAsia" w:hAnsiTheme="majorEastAsia"/>
          <w:b/>
          <w:bCs/>
        </w:rPr>
        <w:t>(3)技術變革</w:t>
      </w:r>
      <w:r w:rsidRPr="00D83985">
        <w:rPr>
          <w:rFonts w:asciiTheme="majorEastAsia" w:eastAsiaTheme="majorEastAsia" w:hAnsiTheme="majorEastAsia"/>
        </w:rPr>
        <w:t>:Open Banking(CDR)讓 fintech 取得客戶資料,Macquarie 與非銀行</w:t>
      </w:r>
      <w:proofErr w:type="gramStart"/>
      <w:r w:rsidRPr="00D83985">
        <w:rPr>
          <w:rFonts w:asciiTheme="majorEastAsia" w:eastAsiaTheme="majorEastAsia" w:hAnsiTheme="majorEastAsia"/>
        </w:rPr>
        <w:t>放款方靠數位</w:t>
      </w:r>
      <w:proofErr w:type="gramEnd"/>
      <w:r w:rsidRPr="00D83985">
        <w:rPr>
          <w:rFonts w:asciiTheme="majorEastAsia" w:eastAsiaTheme="majorEastAsia" w:hAnsiTheme="majorEastAsia"/>
        </w:rPr>
        <w:t>流程將房貸申辦從 30 天壓縮至 1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>2 天;CBA 以自有通路 66% 為護城河。</w:t>
      </w:r>
    </w:p>
    <w:p w14:paraId="09B94F73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4.4 利率敏感度量化情境</w:t>
      </w:r>
    </w:p>
    <w:p w14:paraId="252999F0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CBA 房貸組合 A$611 bn 中約 60%(A$367 bn)為浮動利率,於 RBA 升息後 60 天內重訂價。情境分析:</w:t>
      </w:r>
      <w:r w:rsidRPr="00D83985">
        <w:rPr>
          <w:rFonts w:asciiTheme="majorEastAsia" w:eastAsiaTheme="majorEastAsia" w:hAnsiTheme="majorEastAsia"/>
          <w:b/>
          <w:bCs/>
        </w:rPr>
        <w:t>升息 +25 bp</w:t>
      </w:r>
      <w:r w:rsidRPr="00D83985">
        <w:rPr>
          <w:rFonts w:asciiTheme="majorEastAsia" w:eastAsiaTheme="majorEastAsia" w:hAnsiTheme="majorEastAsia"/>
        </w:rPr>
        <w:t xml:space="preserve"> 預估短期年化利息收入增 A$550 m,但同步推升違約預期 5</w:t>
      </w:r>
      <w:proofErr w:type="gramStart"/>
      <w:r w:rsidRPr="00D83985">
        <w:rPr>
          <w:rFonts w:asciiTheme="majorEastAsia" w:eastAsiaTheme="majorEastAsia" w:hAnsiTheme="majorEastAsia"/>
        </w:rPr>
        <w:t>–</w:t>
      </w:r>
      <w:proofErr w:type="gramEnd"/>
      <w:r w:rsidRPr="00D83985">
        <w:rPr>
          <w:rFonts w:asciiTheme="majorEastAsia" w:eastAsiaTheme="majorEastAsia" w:hAnsiTheme="majorEastAsia"/>
        </w:rPr>
        <w:t>8%、新申請量減約 3%;</w:t>
      </w:r>
      <w:r w:rsidRPr="00D83985">
        <w:rPr>
          <w:rFonts w:asciiTheme="majorEastAsia" w:eastAsiaTheme="majorEastAsia" w:hAnsiTheme="majorEastAsia"/>
          <w:b/>
          <w:bCs/>
        </w:rPr>
        <w:t xml:space="preserve">降息 </w:t>
      </w:r>
      <w:r w:rsidRPr="00D83985">
        <w:rPr>
          <w:rFonts w:ascii="Cambria Math" w:eastAsiaTheme="majorEastAsia" w:hAnsi="Cambria Math" w:cs="Cambria Math"/>
          <w:b/>
          <w:bCs/>
        </w:rPr>
        <w:t>−</w:t>
      </w:r>
      <w:r w:rsidRPr="00D83985">
        <w:rPr>
          <w:rFonts w:asciiTheme="majorEastAsia" w:eastAsiaTheme="majorEastAsia" w:hAnsiTheme="majorEastAsia"/>
          <w:b/>
          <w:bCs/>
        </w:rPr>
        <w:t>25 bp</w:t>
      </w:r>
      <w:r w:rsidRPr="00D83985">
        <w:rPr>
          <w:rFonts w:asciiTheme="majorEastAsia" w:eastAsiaTheme="majorEastAsia" w:hAnsiTheme="majorEastAsia"/>
        </w:rPr>
        <w:t xml:space="preserve"> 利息收入減 A$480 m,但激勵新貸款量增 4–6%。此「量價蹺蹺板」是管理層 2026 年主要挑戰。</w:t>
      </w:r>
    </w:p>
    <w:p w14:paraId="480357A4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4.5 行業成本結構</w:t>
      </w:r>
    </w:p>
    <w:p w14:paraId="4346050C" w14:textId="77777777" w:rsidR="00945489" w:rsidRPr="00D83985" w:rsidRDefault="00000000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 xml:space="preserve">銀行業利潤率 22.3% 低於金融保險業整體 43.36%(IBISWorld, 2025)。如圖 7,主因為銀行業薪資成本占營收 14.1%(整體金融業僅 7.10%,2 </w:t>
      </w:r>
      <w:proofErr w:type="gramStart"/>
      <w:r w:rsidRPr="00D83985">
        <w:rPr>
          <w:rFonts w:asciiTheme="majorEastAsia" w:eastAsiaTheme="majorEastAsia" w:hAnsiTheme="majorEastAsia"/>
        </w:rPr>
        <w:t>倍</w:t>
      </w:r>
      <w:proofErr w:type="gramEnd"/>
      <w:r w:rsidRPr="00D83985">
        <w:rPr>
          <w:rFonts w:asciiTheme="majorEastAsia" w:eastAsiaTheme="majorEastAsia" w:hAnsiTheme="majorEastAsia"/>
        </w:rPr>
        <w:t>),且「Other Costs」高達 59.6%(含利息</w:t>
      </w:r>
      <w:r w:rsidRPr="00D83985">
        <w:rPr>
          <w:rFonts w:asciiTheme="majorEastAsia" w:eastAsiaTheme="majorEastAsia" w:hAnsiTheme="majorEastAsia"/>
        </w:rPr>
        <w:lastRenderedPageBreak/>
        <w:t>支出與合</w:t>
      </w:r>
      <w:proofErr w:type="gramStart"/>
      <w:r w:rsidRPr="00D83985">
        <w:rPr>
          <w:rFonts w:asciiTheme="majorEastAsia" w:eastAsiaTheme="majorEastAsia" w:hAnsiTheme="majorEastAsia"/>
        </w:rPr>
        <w:t>規</w:t>
      </w:r>
      <w:proofErr w:type="gramEnd"/>
      <w:r w:rsidRPr="00D83985">
        <w:rPr>
          <w:rFonts w:asciiTheme="majorEastAsia" w:eastAsiaTheme="majorEastAsia" w:hAnsiTheme="majorEastAsia"/>
        </w:rPr>
        <w:t>)。對 CBA 而言,21.7% 行業市占之規模經濟攤平固定 IT 與合</w:t>
      </w:r>
      <w:proofErr w:type="gramStart"/>
      <w:r w:rsidRPr="00D83985">
        <w:rPr>
          <w:rFonts w:asciiTheme="majorEastAsia" w:eastAsiaTheme="majorEastAsia" w:hAnsiTheme="majorEastAsia"/>
        </w:rPr>
        <w:t>規</w:t>
      </w:r>
      <w:proofErr w:type="gramEnd"/>
      <w:r w:rsidRPr="00D83985">
        <w:rPr>
          <w:rFonts w:asciiTheme="majorEastAsia" w:eastAsiaTheme="majorEastAsia" w:hAnsiTheme="majorEastAsia"/>
        </w:rPr>
        <w:t>成本,構成護城河。</w:t>
      </w:r>
    </w:p>
    <w:p w14:paraId="703C685C" w14:textId="77777777" w:rsidR="00945489" w:rsidRPr="00D83985" w:rsidRDefault="00000000">
      <w:pPr>
        <w:spacing w:before="200" w:after="100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noProof/>
        </w:rPr>
        <w:drawing>
          <wp:inline distT="0" distB="0" distL="0" distR="0" wp14:anchorId="1F19E404" wp14:editId="3F4D2A5F">
            <wp:extent cx="3781425" cy="1885950"/>
            <wp:effectExtent l="0" t="0" r="0" b="0"/>
            <wp:docPr id="731259173" name="fig7_cost_structure.png" descr="fig7_cost_structure.png" title="fig7_cos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8ACE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 xml:space="preserve">圖 7:K6221A vs 金融保險業整體成本結構。Source: </w:t>
      </w:r>
      <w:proofErr w:type="gramStart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IBISWorld(</w:t>
      </w:r>
      <w:proofErr w:type="gramEnd"/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2025)</w:t>
      </w:r>
    </w:p>
    <w:p w14:paraId="3CE5E491" w14:textId="77777777" w:rsidR="00945489" w:rsidRPr="00D83985" w:rsidRDefault="00000000">
      <w:pPr>
        <w:pStyle w:val="2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4.6 SWOT 綜合評估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72"/>
      </w:tblGrid>
      <w:tr w:rsidR="00945489" w:rsidRPr="00D83985" w14:paraId="257203BF" w14:textId="77777777"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E5F72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維度</w:t>
            </w:r>
          </w:p>
        </w:tc>
        <w:tc>
          <w:tcPr>
            <w:tcW w:w="72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425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914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b/>
                <w:bCs/>
                <w:color w:val="FFFFFF"/>
                <w:sz w:val="22"/>
                <w:szCs w:val="22"/>
              </w:rPr>
              <w:t>CBA 房貸業務</w:t>
            </w:r>
          </w:p>
        </w:tc>
      </w:tr>
      <w:tr w:rsidR="00945489" w:rsidRPr="00D83985" w14:paraId="4E860787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7DA5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Strengths</w:t>
            </w:r>
          </w:p>
        </w:tc>
        <w:tc>
          <w:tcPr>
            <w:tcW w:w="72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EF2D0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市占第一 25.4%、自有通路 66%、NIM 領先、客戶 1,700 萬、CET1 ~12%</w:t>
            </w:r>
          </w:p>
        </w:tc>
      </w:tr>
      <w:tr w:rsidR="00945489" w:rsidRPr="00D83985" w14:paraId="3BFBABCB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AA87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Weaknesses</w:t>
            </w:r>
          </w:p>
        </w:tc>
        <w:tc>
          <w:tcPr>
            <w:tcW w:w="72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A069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ROE 13.5% 低於全球同業 15</w:t>
            </w:r>
            <w:proofErr w:type="gramStart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–</w:t>
            </w:r>
            <w:proofErr w:type="gramEnd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18%、本土集中、房貸風險集中</w:t>
            </w:r>
          </w:p>
        </w:tc>
      </w:tr>
      <w:tr w:rsidR="00945489" w:rsidRPr="00D83985" w14:paraId="366E0DF2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67CF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Opportunities</w:t>
            </w:r>
          </w:p>
        </w:tc>
        <w:tc>
          <w:tcPr>
            <w:tcW w:w="72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3A9A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 xml:space="preserve">首購政策、再融資、綠色金融(CBA 2030 永續貸款 A$70 bn 目標、化石燃料貸款僅 0.2%)、AI </w:t>
            </w:r>
            <w:proofErr w:type="gramStart"/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降本</w:t>
            </w:r>
            <w:proofErr w:type="gramEnd"/>
          </w:p>
        </w:tc>
      </w:tr>
      <w:tr w:rsidR="00945489" w:rsidRPr="00D83985" w14:paraId="042A78DA" w14:textId="77777777"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DB40" w14:textId="77777777" w:rsidR="00945489" w:rsidRPr="00D83985" w:rsidRDefault="00000000">
            <w:pPr>
              <w:spacing w:line="280" w:lineRule="auto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Threats</w:t>
            </w:r>
          </w:p>
        </w:tc>
        <w:tc>
          <w:tcPr>
            <w:tcW w:w="72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F406" w14:textId="77777777" w:rsidR="00945489" w:rsidRPr="00D83985" w:rsidRDefault="00000000">
            <w:pPr>
              <w:spacing w:line="280" w:lineRule="auto"/>
              <w:jc w:val="center"/>
              <w:rPr>
                <w:rFonts w:asciiTheme="majorEastAsia" w:eastAsiaTheme="majorEastAsia" w:hAnsiTheme="majorEastAsia"/>
              </w:rPr>
            </w:pPr>
            <w:r w:rsidRPr="00D83985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Macquarie 與 fintech 競爭、RBA 升息、Sydney/Melbourne 房價回落、CDR 增加流失;PE 整合風險(如養老產業 Estia Health 2023 年 12 月被 Bain Capital 收購下市)</w:t>
            </w:r>
          </w:p>
        </w:tc>
      </w:tr>
    </w:tbl>
    <w:p w14:paraId="6C6B019C" w14:textId="77777777" w:rsidR="00945489" w:rsidRPr="00D83985" w:rsidRDefault="00000000">
      <w:pPr>
        <w:spacing w:before="100" w:after="200" w:line="360" w:lineRule="auto"/>
        <w:jc w:val="center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  <w:i/>
          <w:iCs/>
          <w:sz w:val="20"/>
          <w:szCs w:val="20"/>
        </w:rPr>
        <w:t>表 4:CBA 房貸 SWOT 分析(作者整理)</w:t>
      </w:r>
    </w:p>
    <w:p w14:paraId="6029A346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5. 結論與展望</w:t>
      </w:r>
    </w:p>
    <w:p w14:paraId="46442A90" w14:textId="4F243DC3" w:rsidR="00945489" w:rsidRPr="00D83985" w:rsidRDefault="00000000" w:rsidP="0041488B">
      <w:pPr>
        <w:spacing w:after="120" w:line="360" w:lineRule="auto"/>
        <w:jc w:val="both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t>本研究透過 Porter 五力、SWOT 與彈性框架,檢視 CBA 房貸業務之競爭定位。</w:t>
      </w:r>
      <w:r w:rsidRPr="00D83985">
        <w:rPr>
          <w:rFonts w:asciiTheme="majorEastAsia" w:eastAsiaTheme="majorEastAsia" w:hAnsiTheme="majorEastAsia"/>
          <w:b/>
          <w:bCs/>
        </w:rPr>
        <w:t>短期(2026)</w:t>
      </w:r>
      <w:r w:rsidRPr="00D83985">
        <w:rPr>
          <w:rFonts w:asciiTheme="majorEastAsia" w:eastAsiaTheme="majorEastAsia" w:hAnsiTheme="majorEastAsia"/>
        </w:rPr>
        <w:t xml:space="preserve"> RBA </w:t>
      </w:r>
      <w:proofErr w:type="gramStart"/>
      <w:r w:rsidRPr="00D83985">
        <w:rPr>
          <w:rFonts w:asciiTheme="majorEastAsia" w:eastAsiaTheme="majorEastAsia" w:hAnsiTheme="majorEastAsia"/>
        </w:rPr>
        <w:t>重啟升息</w:t>
      </w:r>
      <w:proofErr w:type="gramEnd"/>
      <w:r w:rsidRPr="00D83985">
        <w:rPr>
          <w:rFonts w:asciiTheme="majorEastAsia" w:eastAsiaTheme="majorEastAsia" w:hAnsiTheme="majorEastAsia"/>
        </w:rPr>
        <w:t>將擴大既有房貸利息收入,同時壓抑新貸款需求並提升違約風險,Sydney 與 Melbourne 房價</w:t>
      </w:r>
      <w:proofErr w:type="gramStart"/>
      <w:r w:rsidRPr="00D83985">
        <w:rPr>
          <w:rFonts w:asciiTheme="majorEastAsia" w:eastAsiaTheme="majorEastAsia" w:hAnsiTheme="majorEastAsia"/>
        </w:rPr>
        <w:t>回落需密切</w:t>
      </w:r>
      <w:proofErr w:type="gramEnd"/>
      <w:r w:rsidRPr="00D83985">
        <w:rPr>
          <w:rFonts w:asciiTheme="majorEastAsia" w:eastAsiaTheme="majorEastAsia" w:hAnsiTheme="majorEastAsia"/>
        </w:rPr>
        <w:t>監控 LVR。</w:t>
      </w:r>
      <w:r w:rsidRPr="00D83985">
        <w:rPr>
          <w:rFonts w:asciiTheme="majorEastAsia" w:eastAsiaTheme="majorEastAsia" w:hAnsiTheme="majorEastAsia"/>
          <w:b/>
          <w:bCs/>
        </w:rPr>
        <w:t>中期(2027</w:t>
      </w:r>
      <w:proofErr w:type="gramStart"/>
      <w:r w:rsidRPr="00D83985">
        <w:rPr>
          <w:rFonts w:asciiTheme="majorEastAsia" w:eastAsiaTheme="majorEastAsia" w:hAnsiTheme="majorEastAsia"/>
          <w:b/>
          <w:bCs/>
        </w:rPr>
        <w:t>–</w:t>
      </w:r>
      <w:proofErr w:type="gramEnd"/>
      <w:r w:rsidRPr="00D83985">
        <w:rPr>
          <w:rFonts w:asciiTheme="majorEastAsia" w:eastAsiaTheme="majorEastAsia" w:hAnsiTheme="majorEastAsia"/>
          <w:b/>
          <w:bCs/>
        </w:rPr>
        <w:t>2030)</w:t>
      </w:r>
      <w:r w:rsidRPr="00D83985">
        <w:rPr>
          <w:rFonts w:asciiTheme="majorEastAsia" w:eastAsiaTheme="majorEastAsia" w:hAnsiTheme="majorEastAsia"/>
        </w:rPr>
        <w:t xml:space="preserve"> 行業進入成熟期,爭奪存量</w:t>
      </w:r>
      <w:proofErr w:type="gramStart"/>
      <w:r w:rsidRPr="00D83985">
        <w:rPr>
          <w:rFonts w:asciiTheme="majorEastAsia" w:eastAsiaTheme="majorEastAsia" w:hAnsiTheme="majorEastAsia"/>
        </w:rPr>
        <w:t>市占將取代</w:t>
      </w:r>
      <w:proofErr w:type="gramEnd"/>
      <w:r w:rsidRPr="00D83985">
        <w:rPr>
          <w:rFonts w:asciiTheme="majorEastAsia" w:eastAsiaTheme="majorEastAsia" w:hAnsiTheme="majorEastAsia"/>
        </w:rPr>
        <w:t>市場擴張。對 CBA 管理層的建議為三軸策略:維持規模與自有通路 66% 比例、加大 AI 與數位投資以壓縮房貸申辦時間迎戰 Macquarie 與 fintech、深化高品質客群滲透並擴展綠色金融以分散風險。CBA 在五力結構中享有領導者護城河,需在「成長極大化」與「風險紀律」間維持平衡。</w:t>
      </w:r>
    </w:p>
    <w:p w14:paraId="4021B8FE" w14:textId="77777777" w:rsidR="00945489" w:rsidRPr="00D83985" w:rsidRDefault="00000000">
      <w:pPr>
        <w:pStyle w:val="1"/>
        <w:rPr>
          <w:rFonts w:asciiTheme="majorEastAsia" w:eastAsiaTheme="majorEastAsia" w:hAnsiTheme="majorEastAsia"/>
        </w:rPr>
      </w:pPr>
      <w:r w:rsidRPr="00D83985">
        <w:rPr>
          <w:rFonts w:asciiTheme="majorEastAsia" w:eastAsiaTheme="majorEastAsia" w:hAnsiTheme="majorEastAsia"/>
        </w:rPr>
        <w:lastRenderedPageBreak/>
        <w:t>參考文獻 References</w:t>
      </w:r>
    </w:p>
    <w:p w14:paraId="68C2CA94" w14:textId="68940ED6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>Australian</w:t>
      </w:r>
      <w:r w:rsid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Bureau of Statistics. (2025). Overseas migration, 2024-25 financial year. </w:t>
      </w:r>
      <w:hyperlink r:id="rId16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https://www.abs.gov.au/statistics/people/population/overseas-migration/latest-release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13E27599" w14:textId="6AA09130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Australian Government. (2024). Consumer Data Right (CDR). Treasury. </w:t>
      </w:r>
      <w:hyperlink r:id="rId17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https://treasury.gov.au/consumer-data-right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71C61C49" w14:textId="13F7B053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Australian Prudential Regulation Authority. (2024). Quarterly </w:t>
      </w:r>
      <w:proofErr w:type="spellStart"/>
      <w:r w:rsidRPr="0041488B">
        <w:rPr>
          <w:rFonts w:asciiTheme="majorEastAsia" w:eastAsiaTheme="majorEastAsia" w:hAnsiTheme="majorEastAsia" w:cs="Arial"/>
          <w:sz w:val="22"/>
          <w:szCs w:val="22"/>
        </w:rPr>
        <w:t>authorised</w:t>
      </w:r>
      <w:proofErr w:type="spellEnd"/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 deposit-taking institution performance statistics — June 2024. </w:t>
      </w:r>
      <w:hyperlink r:id="rId18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https://www.apra.gov.au/quarterly-authorised-deposit-taking-institution-statistics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58381514" w14:textId="4CBB814D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Australian Prudential Regulation Authority. (2025). Monthly </w:t>
      </w:r>
      <w:proofErr w:type="spellStart"/>
      <w:r w:rsidRPr="0041488B">
        <w:rPr>
          <w:rFonts w:asciiTheme="majorEastAsia" w:eastAsiaTheme="majorEastAsia" w:hAnsiTheme="majorEastAsia" w:cs="Arial"/>
          <w:sz w:val="22"/>
          <w:szCs w:val="22"/>
        </w:rPr>
        <w:t>authorised</w:t>
      </w:r>
      <w:proofErr w:type="spellEnd"/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 deposit-taking institution statistics — November 2025. </w:t>
      </w:r>
      <w:hyperlink r:id="rId19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https://www.apra.gov.au/monthly-authorised-deposit-taking-institution-statistics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7A8D8424" w14:textId="4F1A4DAF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>Australian Securities Exchange. (2026). Commonwealth Bank of Australia (</w:t>
      </w:r>
      <w:proofErr w:type="gramStart"/>
      <w:r w:rsidRPr="0041488B">
        <w:rPr>
          <w:rFonts w:asciiTheme="majorEastAsia" w:eastAsiaTheme="majorEastAsia" w:hAnsiTheme="majorEastAsia" w:cs="Arial"/>
          <w:sz w:val="22"/>
          <w:szCs w:val="22"/>
        </w:rPr>
        <w:t>ASX:CBA</w:t>
      </w:r>
      <w:proofErr w:type="gramEnd"/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) — historical share price data. </w:t>
      </w:r>
      <w:hyperlink r:id="rId20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https://www.asx.com.au/markets/company/CBA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22135E27" w14:textId="12E22CAC" w:rsidR="00945489" w:rsidRPr="00655F3D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  <w:sz w:val="22"/>
          <w:szCs w:val="22"/>
        </w:rPr>
      </w:pPr>
      <w:r w:rsidRPr="00655F3D">
        <w:rPr>
          <w:rFonts w:asciiTheme="majorEastAsia" w:eastAsiaTheme="majorEastAsia" w:hAnsiTheme="majorEastAsia" w:cs="Arial"/>
          <w:sz w:val="22"/>
          <w:szCs w:val="22"/>
        </w:rPr>
        <w:t xml:space="preserve">Commonwealth Bank of Australia. (2023). Full year profit announcement: For the full year ended 30 June 2023. </w:t>
      </w:r>
      <w:hyperlink r:id="rId21" w:history="1">
        <w:r w:rsidR="00655F3D" w:rsidRPr="00655F3D">
          <w:rPr>
            <w:rStyle w:val="a5"/>
            <w:rFonts w:asciiTheme="majorEastAsia" w:eastAsiaTheme="majorEastAsia" w:hAnsiTheme="majorEastAsia"/>
            <w:sz w:val="22"/>
            <w:szCs w:val="22"/>
          </w:rPr>
          <w:t>https://www.commbank.com.au/content/dam/commbank-assets/investors/docs/results/fy23/CBA-FY23-Profit-Announcement.pdf</w:t>
        </w:r>
      </w:hyperlink>
      <w:r w:rsidR="00655F3D" w:rsidRPr="00655F3D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="00D83985" w:rsidRPr="00655F3D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</w:p>
    <w:p w14:paraId="5C0FC86C" w14:textId="171FAB03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Commonwealth Bank of Australia. (2024). Full year profit announcement: For the full year ended 30 June 2024. </w:t>
      </w:r>
      <w:hyperlink r:id="rId22" w:history="1">
        <w:r w:rsidR="00655F3D" w:rsidRPr="00D838A2">
          <w:rPr>
            <w:rStyle w:val="a5"/>
            <w:rFonts w:asciiTheme="majorEastAsia" w:eastAsiaTheme="majorEastAsia" w:hAnsiTheme="majorEastAsia"/>
            <w:sz w:val="22"/>
            <w:szCs w:val="22"/>
          </w:rPr>
          <w:t>https://www.commbank.com.au/content/dam/commbank-assets/investors/docs/results/fy24/CBA-FY24-Profit-Announcement.pdf</w:t>
        </w:r>
      </w:hyperlink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6488B14C" w14:textId="644E34B0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Commonwealth Bank of Australia. (2025). 2025 annual report. </w:t>
      </w:r>
      <w:hyperlink r:id="rId23" w:history="1">
        <w:r w:rsidR="00655F3D" w:rsidRPr="00655F3D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https://www.commbank.com.au/content/dam/commbank-assets/investors/docs/results/fy25/2025-annual-report.pdf</w:t>
        </w:r>
      </w:hyperlink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6B06972F" w14:textId="77166DED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Commonwealth Bank of Australia. (2025). Full year 2025 results profit announcement. </w:t>
      </w:r>
      <w:hyperlink r:id="rId24" w:history="1">
        <w:r w:rsidR="00655F3D" w:rsidRPr="00655F3D">
          <w:rPr>
            <w:rStyle w:val="a5"/>
            <w:rFonts w:asciiTheme="majorEastAsia" w:eastAsiaTheme="majorEastAsia" w:hAnsiTheme="majorEastAsia"/>
            <w:sz w:val="22"/>
            <w:szCs w:val="22"/>
          </w:rPr>
          <w:t>https://www.commbank.com.au/content/dam/commbank-assets/investors/docs/results/fy25/full-year-profit-announcement.pdf</w:t>
        </w:r>
      </w:hyperlink>
      <w:r w:rsidR="00655F3D">
        <w:rPr>
          <w:rFonts w:eastAsiaTheme="minorEastAsia" w:hint="eastAsia"/>
        </w:rPr>
        <w:t xml:space="preserve"> </w:t>
      </w:r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76E2D976" w14:textId="78D82EF7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proofErr w:type="spellStart"/>
      <w:r w:rsidRPr="0041488B">
        <w:rPr>
          <w:rFonts w:asciiTheme="majorEastAsia" w:eastAsiaTheme="majorEastAsia" w:hAnsiTheme="majorEastAsia" w:cs="Arial"/>
          <w:sz w:val="22"/>
          <w:szCs w:val="22"/>
        </w:rPr>
        <w:t>Cotality</w:t>
      </w:r>
      <w:proofErr w:type="spellEnd"/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 (formerly CoreLogic). (2025). Home Value Index — 2025 annual review. </w:t>
      </w:r>
      <w:hyperlink r:id="rId25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https://www.cotality.com/au/insights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77BD7994" w14:textId="0C2BBF18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Housing Australia. (2024). First Home Guarantee. </w:t>
      </w:r>
      <w:hyperlink r:id="rId26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https://www.housingaustralia.gov.au/first-home-guarantee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3AEE0A64" w14:textId="3F8A65F8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lastRenderedPageBreak/>
        <w:t xml:space="preserve">Housing Australia. (2024). Help to Buy scheme. </w:t>
      </w:r>
      <w:hyperlink r:id="rId27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https://www.housingaustralia.gov.au/help-to-buy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59118042" w14:textId="36690DC3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>IBISWorld. (2025). K6221A — National and regional commercial banks in Australia [Industry report, M. Reilly]. IBISWorld. Retrieved via UTS Library.</w:t>
      </w:r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  <w:hyperlink r:id="rId28" w:history="1">
        <w:r w:rsidR="00655F3D" w:rsidRPr="00D838A2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https://my-ibisworld-com.ezproxy.lib.uts.edu.au/au/en/industry/k6221a/at-a-glance</w:t>
        </w:r>
      </w:hyperlink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0F724D54" w14:textId="590FD913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>McGahan, A. M., &amp; Porter, M. E. (1997). How much does industry matter, really? Strategic Management Journal, 18(S1), 15–30.</w:t>
      </w:r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  <w:hyperlink r:id="rId29" w:history="1">
        <w:r w:rsidR="00655F3D" w:rsidRPr="00D838A2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https://doi.org/10.1002/(SICI)1097-0266(199707)18:1+&lt;15::AID-SMJ916&gt;3.0.CO;2-1</w:t>
        </w:r>
      </w:hyperlink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2F0D51D4" w14:textId="2CE30829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Mortgage &amp; Finance Association of Australia. (2024). MFAA industry intelligence service report. </w:t>
      </w:r>
      <w:hyperlink r:id="rId30" w:history="1">
        <w:r w:rsidR="00D83985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https://www.mfaa.com.au</w:t>
        </w:r>
      </w:hyperlink>
      <w:r w:rsidR="00D83985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2D090257" w14:textId="77777777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>Porter, M. E. (1980). Competitive strategy: Techniques for analyzing industries and competitors. Free Press.</w:t>
      </w:r>
    </w:p>
    <w:p w14:paraId="4DAB92A8" w14:textId="58D6D389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r w:rsidRPr="0041488B">
        <w:rPr>
          <w:rFonts w:asciiTheme="majorEastAsia" w:eastAsiaTheme="majorEastAsia" w:hAnsiTheme="majorEastAsia" w:cs="Arial"/>
          <w:sz w:val="22"/>
          <w:szCs w:val="22"/>
        </w:rPr>
        <w:t xml:space="preserve">Reserve Bank of Australia. (2026). Cash rate target — historical data. </w:t>
      </w:r>
      <w:hyperlink r:id="rId31" w:history="1">
        <w:r w:rsidR="00F55D7A" w:rsidRPr="0041488B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https://www.rba.gov.au/statistics/cash-rate/</w:t>
        </w:r>
      </w:hyperlink>
      <w:r w:rsidR="00F55D7A" w:rsidRPr="0041488B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p w14:paraId="4A2602B5" w14:textId="0527D712" w:rsidR="00945489" w:rsidRPr="0041488B" w:rsidRDefault="00000000" w:rsidP="0041488B">
      <w:pPr>
        <w:pStyle w:val="a4"/>
        <w:numPr>
          <w:ilvl w:val="0"/>
          <w:numId w:val="2"/>
        </w:numPr>
        <w:spacing w:after="100" w:line="360" w:lineRule="auto"/>
        <w:rPr>
          <w:rFonts w:asciiTheme="majorEastAsia" w:eastAsiaTheme="majorEastAsia" w:hAnsiTheme="majorEastAsia"/>
        </w:rPr>
      </w:pPr>
      <w:proofErr w:type="spellStart"/>
      <w:r w:rsidRPr="0041488B">
        <w:rPr>
          <w:rFonts w:asciiTheme="majorEastAsia" w:eastAsiaTheme="majorEastAsia" w:hAnsiTheme="majorEastAsia" w:cs="Arial"/>
          <w:sz w:val="22"/>
          <w:szCs w:val="22"/>
        </w:rPr>
        <w:t>Ulubasoglu</w:t>
      </w:r>
      <w:proofErr w:type="spellEnd"/>
      <w:r w:rsidRPr="0041488B">
        <w:rPr>
          <w:rFonts w:asciiTheme="majorEastAsia" w:eastAsiaTheme="majorEastAsia" w:hAnsiTheme="majorEastAsia" w:cs="Arial"/>
          <w:sz w:val="22"/>
          <w:szCs w:val="22"/>
        </w:rPr>
        <w:t>, M., Mallick, D., Wadud, M., Hone, P., &amp; Haszler, H. (2016). Food demand elasticities for Australia. Australian Journal of Agricultural and Resource Economics, 60(2), 177–195.</w:t>
      </w:r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 </w:t>
      </w:r>
      <w:hyperlink r:id="rId32" w:history="1">
        <w:r w:rsidR="00655F3D" w:rsidRPr="00D838A2">
          <w:rPr>
            <w:rStyle w:val="a5"/>
            <w:rFonts w:asciiTheme="majorEastAsia" w:eastAsiaTheme="majorEastAsia" w:hAnsiTheme="majorEastAsia" w:cs="Arial"/>
            <w:sz w:val="22"/>
            <w:szCs w:val="22"/>
          </w:rPr>
          <w:t>https://doi.org/10.1111/1467-8489.12131</w:t>
        </w:r>
      </w:hyperlink>
      <w:r w:rsidR="00655F3D">
        <w:rPr>
          <w:rFonts w:asciiTheme="majorEastAsia" w:eastAsiaTheme="majorEastAsia" w:hAnsiTheme="majorEastAsia" w:cs="Arial" w:hint="eastAsia"/>
          <w:sz w:val="22"/>
          <w:szCs w:val="22"/>
        </w:rPr>
        <w:t xml:space="preserve"> </w:t>
      </w:r>
    </w:p>
    <w:sectPr w:rsidR="00945489" w:rsidRPr="0041488B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4D960" w14:textId="77777777" w:rsidR="003E2F71" w:rsidRDefault="003E2F71">
      <w:r>
        <w:separator/>
      </w:r>
    </w:p>
  </w:endnote>
  <w:endnote w:type="continuationSeparator" w:id="0">
    <w:p w14:paraId="24EB556D" w14:textId="77777777" w:rsidR="003E2F71" w:rsidRDefault="003E2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9D50" w14:textId="77777777" w:rsidR="00B758C3" w:rsidRDefault="00B758C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2648" w14:textId="209F5FDC" w:rsidR="00945489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PoKai Huang </w:t>
    </w:r>
    <w:r w:rsidR="0041488B">
      <w:rPr>
        <w:rFonts w:asciiTheme="minorEastAsia" w:eastAsiaTheme="minorEastAsia" w:hAnsiTheme="minorEastAsia" w:cs="Arial" w:hint="eastAsia"/>
        <w:color w:val="888888"/>
        <w:sz w:val="18"/>
        <w:szCs w:val="18"/>
      </w:rPr>
      <w:t xml:space="preserve">| </w:t>
    </w:r>
    <w:r w:rsidR="0041488B" w:rsidRPr="0041488B">
      <w:rPr>
        <w:rFonts w:asciiTheme="minorEastAsia" w:eastAsiaTheme="minorEastAsia" w:hAnsiTheme="minorEastAsia" w:cs="Arial"/>
        <w:color w:val="888888"/>
        <w:sz w:val="18"/>
        <w:szCs w:val="18"/>
      </w:rPr>
      <w:t>26254793</w:t>
    </w:r>
    <w:r w:rsidR="0041488B">
      <w:rPr>
        <w:rFonts w:asciiTheme="minorEastAsia" w:eastAsiaTheme="minorEastAsia" w:hAnsiTheme="minorEastAsia" w:cs="Arial" w:hint="eastAsia"/>
        <w:color w:val="888888"/>
        <w:sz w:val="18"/>
        <w:szCs w:val="18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 xml:space="preserve">|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17541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/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17541">
      <w:rPr>
        <w:rFonts w:ascii="Arial" w:eastAsia="Arial" w:hAnsi="Arial" w:cs="Arial"/>
        <w:noProof/>
        <w:color w:val="888888"/>
        <w:sz w:val="18"/>
        <w:szCs w:val="18"/>
      </w:rPr>
      <w:t>2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71CD" w14:textId="77777777" w:rsidR="00B758C3" w:rsidRDefault="00B758C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8421" w14:textId="77777777" w:rsidR="003E2F71" w:rsidRDefault="003E2F71">
      <w:r>
        <w:separator/>
      </w:r>
    </w:p>
  </w:footnote>
  <w:footnote w:type="continuationSeparator" w:id="0">
    <w:p w14:paraId="2A05A4AF" w14:textId="77777777" w:rsidR="003E2F71" w:rsidRDefault="003E2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3373" w14:textId="77777777" w:rsidR="00B758C3" w:rsidRDefault="00B758C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B447" w14:textId="77777777" w:rsidR="00945489" w:rsidRDefault="00000000">
    <w:pPr>
      <w:jc w:val="right"/>
    </w:pPr>
    <w:r>
      <w:rPr>
        <w:rFonts w:ascii="Arial" w:eastAsia="Arial" w:hAnsi="Arial" w:cs="Arial"/>
        <w:color w:val="888888"/>
        <w:sz w:val="18"/>
        <w:szCs w:val="18"/>
      </w:rPr>
      <w:t>231708 Foundation Studio | Assessment Task 1 | CBA Home Loan Industry 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C672" w14:textId="77777777" w:rsidR="00B758C3" w:rsidRDefault="00B758C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0B0"/>
    <w:multiLevelType w:val="hybridMultilevel"/>
    <w:tmpl w:val="2906352C"/>
    <w:lvl w:ilvl="0" w:tplc="4282F996">
      <w:start w:val="1"/>
      <w:numFmt w:val="bullet"/>
      <w:lvlText w:val="●"/>
      <w:lvlJc w:val="left"/>
      <w:pPr>
        <w:ind w:left="720" w:hanging="360"/>
      </w:pPr>
    </w:lvl>
    <w:lvl w:ilvl="1" w:tplc="7A12776E">
      <w:start w:val="1"/>
      <w:numFmt w:val="bullet"/>
      <w:lvlText w:val="○"/>
      <w:lvlJc w:val="left"/>
      <w:pPr>
        <w:ind w:left="1440" w:hanging="360"/>
      </w:pPr>
    </w:lvl>
    <w:lvl w:ilvl="2" w:tplc="17E4F014">
      <w:start w:val="1"/>
      <w:numFmt w:val="bullet"/>
      <w:lvlText w:val="■"/>
      <w:lvlJc w:val="left"/>
      <w:pPr>
        <w:ind w:left="2160" w:hanging="360"/>
      </w:pPr>
    </w:lvl>
    <w:lvl w:ilvl="3" w:tplc="BE3A545C">
      <w:start w:val="1"/>
      <w:numFmt w:val="bullet"/>
      <w:lvlText w:val="●"/>
      <w:lvlJc w:val="left"/>
      <w:pPr>
        <w:ind w:left="2880" w:hanging="360"/>
      </w:pPr>
    </w:lvl>
    <w:lvl w:ilvl="4" w:tplc="DF4271B2">
      <w:start w:val="1"/>
      <w:numFmt w:val="bullet"/>
      <w:lvlText w:val="○"/>
      <w:lvlJc w:val="left"/>
      <w:pPr>
        <w:ind w:left="3600" w:hanging="360"/>
      </w:pPr>
    </w:lvl>
    <w:lvl w:ilvl="5" w:tplc="4B9E4C0C">
      <w:start w:val="1"/>
      <w:numFmt w:val="bullet"/>
      <w:lvlText w:val="■"/>
      <w:lvlJc w:val="left"/>
      <w:pPr>
        <w:ind w:left="4320" w:hanging="360"/>
      </w:pPr>
    </w:lvl>
    <w:lvl w:ilvl="6" w:tplc="E398EE42">
      <w:start w:val="1"/>
      <w:numFmt w:val="bullet"/>
      <w:lvlText w:val="●"/>
      <w:lvlJc w:val="left"/>
      <w:pPr>
        <w:ind w:left="5040" w:hanging="360"/>
      </w:pPr>
    </w:lvl>
    <w:lvl w:ilvl="7" w:tplc="DFA4487A">
      <w:start w:val="1"/>
      <w:numFmt w:val="bullet"/>
      <w:lvlText w:val="●"/>
      <w:lvlJc w:val="left"/>
      <w:pPr>
        <w:ind w:left="5760" w:hanging="360"/>
      </w:pPr>
    </w:lvl>
    <w:lvl w:ilvl="8" w:tplc="BCD01F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BF1968"/>
    <w:multiLevelType w:val="hybridMultilevel"/>
    <w:tmpl w:val="CEFADA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33606724">
    <w:abstractNumId w:val="0"/>
    <w:lvlOverride w:ilvl="0">
      <w:startOverride w:val="1"/>
    </w:lvlOverride>
  </w:num>
  <w:num w:numId="2" w16cid:durableId="151233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89"/>
    <w:rsid w:val="000B6D10"/>
    <w:rsid w:val="00117D65"/>
    <w:rsid w:val="003E2F71"/>
    <w:rsid w:val="0041488B"/>
    <w:rsid w:val="00535006"/>
    <w:rsid w:val="00655F3D"/>
    <w:rsid w:val="00945489"/>
    <w:rsid w:val="00995892"/>
    <w:rsid w:val="009F0AFF"/>
    <w:rsid w:val="00B758C3"/>
    <w:rsid w:val="00BC71CC"/>
    <w:rsid w:val="00C17541"/>
    <w:rsid w:val="00D83985"/>
    <w:rsid w:val="00F5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4840"/>
  <w15:docId w15:val="{B4BFA40A-9EA6-43D2-B786-A3274504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 w:line="360" w:lineRule="auto"/>
      <w:outlineLvl w:val="0"/>
    </w:pPr>
    <w:rPr>
      <w:b/>
      <w:bCs/>
      <w:color w:val="04254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E91E2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8398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414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41488B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414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41488B"/>
    <w:rPr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655F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apra.gov.au/quarterly-authorised-deposit-taking-institution-statistics" TargetMode="External"/><Relationship Id="rId26" Type="http://schemas.openxmlformats.org/officeDocument/2006/relationships/hyperlink" Target="https://www.housingaustralia.gov.au/first-home-guarantee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commbank.com.au/content/dam/commbank-assets/investors/docs/results/fy23/CBA-FY23-Profit-Announcement.pdf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reasury.gov.au/consumer-data-right" TargetMode="External"/><Relationship Id="rId25" Type="http://schemas.openxmlformats.org/officeDocument/2006/relationships/hyperlink" Target="https://www.cotality.com/au/insights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abs.gov.au/statistics/people/population/overseas-migration/latest-release" TargetMode="External"/><Relationship Id="rId20" Type="http://schemas.openxmlformats.org/officeDocument/2006/relationships/hyperlink" Target="https://www.asx.com.au/markets/company/CBA" TargetMode="External"/><Relationship Id="rId29" Type="http://schemas.openxmlformats.org/officeDocument/2006/relationships/hyperlink" Target="https://doi.org/10.1002/(SICI)1097-0266(199707)18:1+%3c15::AID-SMJ916%3e3.0.CO;2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commbank.com.au/content/dam/commbank-assets/investors/docs/results/fy25/full-year-profit-announcement.pdf" TargetMode="External"/><Relationship Id="rId32" Type="http://schemas.openxmlformats.org/officeDocument/2006/relationships/hyperlink" Target="https://doi.org/10.1111/1467-8489.12131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commbank.com.au/content/dam/commbank-assets/investors/docs/results/fy25/2025-annual-report.pdf" TargetMode="External"/><Relationship Id="rId28" Type="http://schemas.openxmlformats.org/officeDocument/2006/relationships/hyperlink" Target="https://my-ibisworld-com.ezproxy.lib.uts.edu.au/au/en/industry/k6221a/at-a-glance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www.apra.gov.au/monthly-authorised-deposit-taking-institution-statistics" TargetMode="External"/><Relationship Id="rId31" Type="http://schemas.openxmlformats.org/officeDocument/2006/relationships/hyperlink" Target="https://www.rba.gov.au/statistics/cash-ra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ommbank.com.au/content/dam/commbank-assets/investors/docs/results/fy24/CBA-FY24-Profit-Announcement.pdf" TargetMode="External"/><Relationship Id="rId27" Type="http://schemas.openxmlformats.org/officeDocument/2006/relationships/hyperlink" Target="https://www.housingaustralia.gov.au/help-to-buy" TargetMode="External"/><Relationship Id="rId30" Type="http://schemas.openxmlformats.org/officeDocument/2006/relationships/hyperlink" Target="https://www.mfaa.com.au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3F6820-E002-4B55-8B25-5A9E47037438}">
  <we:reference id="wa200010725" version="1.0.0.1" store="zh-TW" storeType="OMEX"/>
  <we:alternateReferences>
    <we:reference id="wa200010725" version="1.0.0.1" store="wa200010725" storeType="OMEX"/>
  </we:alternateReferences>
  <we:properties>
    <we:property name="claude.fileId" value="&quot;699b79af-d82c-48a0-ae98-743e94298ec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B8A01-3E88-4661-8F27-015F22924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2982</Words>
  <Characters>7457</Characters>
  <Application>Microsoft Office Word</Application>
  <DocSecurity>0</DocSecurity>
  <Lines>257</Lines>
  <Paragraphs>217</Paragraphs>
  <ScaleCrop>false</ScaleCrop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CBA Home Loan Industry Analysis</dc:title>
  <dc:creator>PoKai Huang</dc:creator>
  <cp:lastModifiedBy>PoKai Huang</cp:lastModifiedBy>
  <cp:revision>5</cp:revision>
  <cp:lastPrinted>2026-05-17T02:47:00Z</cp:lastPrinted>
  <dcterms:created xsi:type="dcterms:W3CDTF">2026-05-16T09:11:00Z</dcterms:created>
  <dcterms:modified xsi:type="dcterms:W3CDTF">2026-05-17T02:47:00Z</dcterms:modified>
</cp:coreProperties>
</file>