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A6592D" w14:textId="77777777" w:rsidR="002402E0" w:rsidRDefault="002402E0"/>
    <w:p w14:paraId="15B7FF66" w14:textId="77777777" w:rsidR="002402E0" w:rsidRDefault="002402E0"/>
    <w:p w14:paraId="4ECD9CD5" w14:textId="77777777" w:rsidR="002402E0" w:rsidRDefault="002402E0"/>
    <w:p w14:paraId="41067ABC" w14:textId="77777777" w:rsidR="002402E0" w:rsidRDefault="00000000">
      <w:pPr>
        <w:spacing w:after="240" w:line="360" w:lineRule="auto"/>
        <w:jc w:val="center"/>
        <w:rPr>
          <w:lang w:eastAsia="zh-TW"/>
        </w:rPr>
      </w:pPr>
      <w:r>
        <w:rPr>
          <w:b/>
          <w:color w:val="000000"/>
          <w:sz w:val="36"/>
          <w:lang w:eastAsia="zh-TW"/>
        </w:rPr>
        <w:t xml:space="preserve">AI </w:t>
      </w:r>
      <w:r>
        <w:rPr>
          <w:b/>
          <w:color w:val="000000"/>
          <w:sz w:val="36"/>
          <w:lang w:eastAsia="zh-TW"/>
        </w:rPr>
        <w:t>如何協助澳洲聯邦銀行</w:t>
      </w:r>
      <w:r>
        <w:rPr>
          <w:b/>
          <w:color w:val="000000"/>
          <w:sz w:val="36"/>
          <w:lang w:eastAsia="zh-TW"/>
        </w:rPr>
        <w:t>(CBA)</w:t>
      </w:r>
      <w:r>
        <w:rPr>
          <w:b/>
          <w:color w:val="000000"/>
          <w:sz w:val="36"/>
          <w:lang w:eastAsia="zh-TW"/>
        </w:rPr>
        <w:t>為數位未來做準備</w:t>
      </w:r>
    </w:p>
    <w:p w14:paraId="309F5298" w14:textId="77777777" w:rsidR="002402E0" w:rsidRDefault="00000000">
      <w:pPr>
        <w:spacing w:after="880" w:line="360" w:lineRule="auto"/>
        <w:jc w:val="center"/>
        <w:rPr>
          <w:lang w:eastAsia="zh-TW"/>
        </w:rPr>
      </w:pPr>
      <w:r>
        <w:rPr>
          <w:color w:val="000000"/>
          <w:sz w:val="25"/>
          <w:lang w:eastAsia="zh-TW"/>
        </w:rPr>
        <w:t>以「競爭護城河</w:t>
      </w:r>
      <w:r>
        <w:rPr>
          <w:color w:val="000000"/>
          <w:sz w:val="25"/>
          <w:lang w:eastAsia="zh-TW"/>
        </w:rPr>
        <w:t xml:space="preserve"> vs </w:t>
      </w:r>
      <w:r>
        <w:rPr>
          <w:color w:val="000000"/>
          <w:sz w:val="25"/>
          <w:lang w:eastAsia="zh-TW"/>
        </w:rPr>
        <w:t>顛覆威脅」為主軸</w:t>
      </w:r>
      <w:r>
        <w:rPr>
          <w:color w:val="000000"/>
          <w:sz w:val="25"/>
          <w:lang w:eastAsia="zh-TW"/>
        </w:rPr>
        <w:t xml:space="preserve"> </w:t>
      </w:r>
      <w:proofErr w:type="gramStart"/>
      <w:r>
        <w:rPr>
          <w:color w:val="000000"/>
          <w:sz w:val="25"/>
          <w:lang w:eastAsia="zh-TW"/>
        </w:rPr>
        <w:t>—</w:t>
      </w:r>
      <w:proofErr w:type="gramEnd"/>
      <w:r>
        <w:rPr>
          <w:color w:val="000000"/>
          <w:sz w:val="25"/>
          <w:lang w:eastAsia="zh-TW"/>
        </w:rPr>
        <w:t xml:space="preserve"> </w:t>
      </w:r>
      <w:r>
        <w:rPr>
          <w:color w:val="000000"/>
          <w:sz w:val="25"/>
          <w:lang w:eastAsia="zh-TW"/>
        </w:rPr>
        <w:t>評估任務</w:t>
      </w:r>
      <w:proofErr w:type="gramStart"/>
      <w:r>
        <w:rPr>
          <w:color w:val="000000"/>
          <w:sz w:val="25"/>
          <w:lang w:eastAsia="zh-TW"/>
        </w:rPr>
        <w:t>一</w:t>
      </w:r>
      <w:proofErr w:type="gramEnd"/>
      <w:r>
        <w:rPr>
          <w:color w:val="000000"/>
          <w:sz w:val="25"/>
          <w:lang w:eastAsia="zh-TW"/>
        </w:rPr>
        <w:t>:</w:t>
      </w:r>
      <w:r>
        <w:rPr>
          <w:color w:val="000000"/>
          <w:sz w:val="25"/>
          <w:lang w:eastAsia="zh-TW"/>
        </w:rPr>
        <w:t>人工智能在商業中的應用案例</w:t>
      </w:r>
    </w:p>
    <w:p w14:paraId="6B3051F4" w14:textId="77777777" w:rsidR="002402E0" w:rsidRDefault="00000000">
      <w:pPr>
        <w:spacing w:after="80" w:line="312" w:lineRule="auto"/>
        <w:jc w:val="center"/>
      </w:pPr>
      <w:r>
        <w:rPr>
          <w:color w:val="000000"/>
        </w:rPr>
        <w:t>課程</w:t>
      </w:r>
      <w:r>
        <w:rPr>
          <w:color w:val="000000"/>
        </w:rPr>
        <w:t>:421104 Artificial Intelligence for Enterprises(</w:t>
      </w:r>
      <w:r>
        <w:rPr>
          <w:color w:val="000000"/>
        </w:rPr>
        <w:t>企業人工智能</w:t>
      </w:r>
      <w:r>
        <w:rPr>
          <w:color w:val="000000"/>
        </w:rPr>
        <w:t>)</w:t>
      </w:r>
    </w:p>
    <w:p w14:paraId="37C4FB72" w14:textId="77777777" w:rsidR="002402E0" w:rsidRDefault="00000000">
      <w:pPr>
        <w:spacing w:after="80" w:line="312" w:lineRule="auto"/>
        <w:jc w:val="center"/>
      </w:pPr>
      <w:r>
        <w:rPr>
          <w:color w:val="000000"/>
        </w:rPr>
        <w:t>姓名</w:t>
      </w:r>
      <w:r>
        <w:rPr>
          <w:color w:val="000000"/>
        </w:rPr>
        <w:t>:</w:t>
      </w:r>
      <w:r>
        <w:rPr>
          <w:color w:val="000000"/>
        </w:rPr>
        <w:t>黃柏凱</w:t>
      </w:r>
      <w:r>
        <w:rPr>
          <w:color w:val="000000"/>
        </w:rPr>
        <w:t>(PoKai Huang)</w:t>
      </w:r>
    </w:p>
    <w:p w14:paraId="1AEF1D5B" w14:textId="77777777" w:rsidR="002402E0" w:rsidRDefault="00000000">
      <w:pPr>
        <w:spacing w:after="80" w:line="312" w:lineRule="auto"/>
        <w:jc w:val="center"/>
      </w:pPr>
      <w:r>
        <w:rPr>
          <w:color w:val="000000"/>
        </w:rPr>
        <w:t>學號</w:t>
      </w:r>
      <w:r>
        <w:rPr>
          <w:color w:val="000000"/>
        </w:rPr>
        <w:t>:26254793</w:t>
      </w:r>
    </w:p>
    <w:p w14:paraId="6245F6D6" w14:textId="77777777" w:rsidR="002402E0" w:rsidRDefault="00000000">
      <w:pPr>
        <w:spacing w:after="80" w:line="312" w:lineRule="auto"/>
        <w:jc w:val="center"/>
      </w:pPr>
      <w:r>
        <w:rPr>
          <w:color w:val="000000"/>
        </w:rPr>
        <w:t>參考格式</w:t>
      </w:r>
      <w:r>
        <w:rPr>
          <w:color w:val="000000"/>
        </w:rPr>
        <w:t xml:space="preserve">:APA </w:t>
      </w:r>
      <w:r>
        <w:rPr>
          <w:color w:val="000000"/>
        </w:rPr>
        <w:t>第</w:t>
      </w:r>
      <w:r>
        <w:rPr>
          <w:color w:val="000000"/>
        </w:rPr>
        <w:t xml:space="preserve"> 7 </w:t>
      </w:r>
      <w:r>
        <w:rPr>
          <w:color w:val="000000"/>
        </w:rPr>
        <w:t>版</w:t>
      </w:r>
    </w:p>
    <w:p w14:paraId="03CE1057" w14:textId="420FAF37" w:rsidR="002402E0" w:rsidRDefault="00000000" w:rsidP="003B3511">
      <w:pPr>
        <w:spacing w:after="80" w:line="312" w:lineRule="auto"/>
        <w:jc w:val="center"/>
      </w:pPr>
      <w:r>
        <w:rPr>
          <w:color w:val="000000"/>
        </w:rPr>
        <w:t>日期</w:t>
      </w:r>
      <w:r>
        <w:rPr>
          <w:color w:val="000000"/>
        </w:rPr>
        <w:t xml:space="preserve">:2026 </w:t>
      </w:r>
      <w:r>
        <w:rPr>
          <w:color w:val="000000"/>
        </w:rPr>
        <w:t>年</w:t>
      </w:r>
      <w:r>
        <w:rPr>
          <w:color w:val="000000"/>
        </w:rPr>
        <w:t xml:space="preserve"> 7 </w:t>
      </w:r>
      <w:r>
        <w:rPr>
          <w:color w:val="000000"/>
        </w:rPr>
        <w:t>月</w:t>
      </w:r>
      <w:r>
        <w:br w:type="page"/>
      </w:r>
    </w:p>
    <w:p w14:paraId="1355904F" w14:textId="77777777" w:rsidR="002402E0" w:rsidRDefault="00000000">
      <w:pPr>
        <w:spacing w:line="360" w:lineRule="auto"/>
        <w:jc w:val="center"/>
      </w:pPr>
      <w:r>
        <w:rPr>
          <w:b/>
          <w:color w:val="000000"/>
          <w:sz w:val="30"/>
        </w:rPr>
        <w:lastRenderedPageBreak/>
        <w:t>目錄</w:t>
      </w:r>
    </w:p>
    <w:p w14:paraId="57ABE365" w14:textId="3D3CB9DB" w:rsidR="003B3511" w:rsidRDefault="00000000">
      <w:pPr>
        <w:pStyle w:val="14"/>
        <w:tabs>
          <w:tab w:val="right" w:leader="dot" w:pos="8630"/>
        </w:tabs>
        <w:rPr>
          <w:noProof/>
        </w:rPr>
      </w:pPr>
      <w:r>
        <w:fldChar w:fldCharType="begin"/>
      </w:r>
      <w:r>
        <w:instrText>TOC \o "1-1" \h \z \u</w:instrText>
      </w:r>
      <w:r>
        <w:fldChar w:fldCharType="separate"/>
      </w:r>
      <w:hyperlink w:anchor="_Toc234589031" w:history="1">
        <w:r w:rsidR="003B3511" w:rsidRPr="00956C32">
          <w:rPr>
            <w:rStyle w:val="affa"/>
            <w:noProof/>
          </w:rPr>
          <w:t>一、引言</w:t>
        </w:r>
        <w:r w:rsidR="003B3511">
          <w:rPr>
            <w:noProof/>
            <w:webHidden/>
          </w:rPr>
          <w:tab/>
        </w:r>
        <w:r w:rsidR="003B3511">
          <w:rPr>
            <w:noProof/>
            <w:webHidden/>
          </w:rPr>
          <w:fldChar w:fldCharType="begin"/>
        </w:r>
        <w:r w:rsidR="003B3511">
          <w:rPr>
            <w:noProof/>
            <w:webHidden/>
          </w:rPr>
          <w:instrText xml:space="preserve"> PAGEREF _Toc234589031 \h </w:instrText>
        </w:r>
        <w:r w:rsidR="003B3511">
          <w:rPr>
            <w:noProof/>
            <w:webHidden/>
          </w:rPr>
        </w:r>
        <w:r w:rsidR="003B3511">
          <w:rPr>
            <w:noProof/>
            <w:webHidden/>
          </w:rPr>
          <w:fldChar w:fldCharType="separate"/>
        </w:r>
        <w:r w:rsidR="003B3511">
          <w:rPr>
            <w:noProof/>
            <w:webHidden/>
          </w:rPr>
          <w:t>3</w:t>
        </w:r>
        <w:r w:rsidR="003B3511">
          <w:rPr>
            <w:noProof/>
            <w:webHidden/>
          </w:rPr>
          <w:fldChar w:fldCharType="end"/>
        </w:r>
      </w:hyperlink>
    </w:p>
    <w:p w14:paraId="783F89EE" w14:textId="32463B81" w:rsidR="003B3511" w:rsidRDefault="003B3511">
      <w:pPr>
        <w:pStyle w:val="14"/>
        <w:tabs>
          <w:tab w:val="right" w:leader="dot" w:pos="8630"/>
        </w:tabs>
        <w:rPr>
          <w:noProof/>
        </w:rPr>
      </w:pPr>
      <w:hyperlink w:anchor="_Toc234589032" w:history="1">
        <w:r w:rsidRPr="00956C32">
          <w:rPr>
            <w:rStyle w:val="affa"/>
            <w:noProof/>
          </w:rPr>
          <w:t>二、產業挑戰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_Toc234589032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89B7369" w14:textId="12436C61" w:rsidR="003B3511" w:rsidRDefault="003B3511">
      <w:pPr>
        <w:pStyle w:val="14"/>
        <w:tabs>
          <w:tab w:val="right" w:leader="dot" w:pos="8630"/>
        </w:tabs>
        <w:rPr>
          <w:noProof/>
        </w:rPr>
      </w:pPr>
      <w:hyperlink w:anchor="_Toc234589033" w:history="1">
        <w:r w:rsidRPr="00956C32">
          <w:rPr>
            <w:rStyle w:val="affa"/>
            <w:noProof/>
          </w:rPr>
          <w:t>三、公司當前表現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_Toc234589033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EA7580A" w14:textId="31AF09FF" w:rsidR="003B3511" w:rsidRDefault="003B3511">
      <w:pPr>
        <w:pStyle w:val="14"/>
        <w:tabs>
          <w:tab w:val="right" w:leader="dot" w:pos="8630"/>
        </w:tabs>
        <w:rPr>
          <w:noProof/>
        </w:rPr>
      </w:pPr>
      <w:hyperlink w:anchor="_Toc234589034" w:history="1">
        <w:r w:rsidRPr="00956C32">
          <w:rPr>
            <w:rStyle w:val="affa"/>
            <w:noProof/>
          </w:rPr>
          <w:t>四、</w:t>
        </w:r>
        <w:r w:rsidRPr="00956C32">
          <w:rPr>
            <w:rStyle w:val="affa"/>
            <w:noProof/>
          </w:rPr>
          <w:t xml:space="preserve">AI </w:t>
        </w:r>
        <w:r w:rsidRPr="00956C32">
          <w:rPr>
            <w:rStyle w:val="affa"/>
            <w:noProof/>
          </w:rPr>
          <w:t>賦能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_Toc234589034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4E949C1" w14:textId="037E023D" w:rsidR="003B3511" w:rsidRDefault="003B3511">
      <w:pPr>
        <w:pStyle w:val="14"/>
        <w:tabs>
          <w:tab w:val="right" w:leader="dot" w:pos="8630"/>
        </w:tabs>
        <w:rPr>
          <w:noProof/>
        </w:rPr>
      </w:pPr>
      <w:hyperlink w:anchor="_Toc234589035" w:history="1">
        <w:r w:rsidRPr="00956C32">
          <w:rPr>
            <w:rStyle w:val="affa"/>
            <w:noProof/>
          </w:rPr>
          <w:t>參考文獻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_Toc234589035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48DD63C" w14:textId="74BF4DF2" w:rsidR="002402E0" w:rsidRDefault="00000000">
      <w:r>
        <w:fldChar w:fldCharType="end"/>
      </w:r>
    </w:p>
    <w:p w14:paraId="6060AAD2" w14:textId="77777777" w:rsidR="002402E0" w:rsidRDefault="00000000">
      <w:r>
        <w:br w:type="page"/>
      </w:r>
    </w:p>
    <w:p w14:paraId="77862356" w14:textId="77777777" w:rsidR="002402E0" w:rsidRDefault="00000000">
      <w:pPr>
        <w:pStyle w:val="1"/>
        <w:spacing w:before="200" w:after="120" w:line="360" w:lineRule="auto"/>
      </w:pPr>
      <w:bookmarkStart w:id="0" w:name="_Toc234589031"/>
      <w:r>
        <w:rPr>
          <w:rFonts w:ascii="Times New Roman" w:eastAsia="微軟正黑體" w:hAnsi="Times New Roman"/>
          <w:color w:val="000000"/>
          <w:sz w:val="26"/>
        </w:rPr>
        <w:lastRenderedPageBreak/>
        <w:t>一、引言</w:t>
      </w:r>
      <w:bookmarkEnd w:id="0"/>
    </w:p>
    <w:p w14:paraId="70068D68" w14:textId="77777777" w:rsidR="002402E0" w:rsidRDefault="00000000">
      <w:pPr>
        <w:spacing w:after="120" w:line="360" w:lineRule="auto"/>
        <w:rPr>
          <w:lang w:eastAsia="zh-TW"/>
        </w:rPr>
      </w:pPr>
      <w:r>
        <w:rPr>
          <w:color w:val="000000"/>
        </w:rPr>
        <w:t>澳洲聯邦銀行</w:t>
      </w:r>
      <w:r>
        <w:rPr>
          <w:color w:val="000000"/>
        </w:rPr>
        <w:t>(Commonwealth Bank of Australia, CBA)</w:t>
      </w:r>
      <w:r>
        <w:rPr>
          <w:color w:val="000000"/>
        </w:rPr>
        <w:t>為澳洲最大零售與商業銀行</w:t>
      </w:r>
      <w:r>
        <w:rPr>
          <w:color w:val="000000"/>
        </w:rPr>
        <w:t xml:space="preserve">,2025 </w:t>
      </w:r>
      <w:r>
        <w:rPr>
          <w:color w:val="000000"/>
        </w:rPr>
        <w:t>年產業市占</w:t>
      </w:r>
      <w:r>
        <w:rPr>
          <w:color w:val="000000"/>
        </w:rPr>
        <w:t xml:space="preserve"> 21.7%,</w:t>
      </w:r>
      <w:r>
        <w:rPr>
          <w:color w:val="000000"/>
        </w:rPr>
        <w:t>於四大行合計</w:t>
      </w:r>
      <w:r>
        <w:rPr>
          <w:color w:val="000000"/>
        </w:rPr>
        <w:t xml:space="preserve"> 75.6% </w:t>
      </w:r>
      <w:r>
        <w:rPr>
          <w:color w:val="000000"/>
        </w:rPr>
        <w:t>的寡占格局中居首</w:t>
      </w:r>
      <w:r>
        <w:rPr>
          <w:color w:val="000000"/>
        </w:rPr>
        <w:t>;</w:t>
      </w:r>
      <w:r>
        <w:rPr>
          <w:color w:val="000000"/>
        </w:rPr>
        <w:t>服務約</w:t>
      </w:r>
      <w:r>
        <w:rPr>
          <w:color w:val="000000"/>
        </w:rPr>
        <w:t xml:space="preserve"> 1,700 </w:t>
      </w:r>
      <w:r>
        <w:rPr>
          <w:color w:val="000000"/>
        </w:rPr>
        <w:t>萬客戶</w:t>
      </w:r>
      <w:r>
        <w:rPr>
          <w:color w:val="000000"/>
        </w:rPr>
        <w:t>(</w:t>
      </w:r>
      <w:r>
        <w:rPr>
          <w:color w:val="000000"/>
        </w:rPr>
        <w:t>約人口</w:t>
      </w:r>
      <w:r>
        <w:rPr>
          <w:color w:val="000000"/>
        </w:rPr>
        <w:t xml:space="preserve"> 67%),</w:t>
      </w:r>
      <w:r>
        <w:rPr>
          <w:color w:val="000000"/>
        </w:rPr>
        <w:t>形成同業難以複製的規模與資料護城河</w:t>
      </w:r>
      <w:r>
        <w:rPr>
          <w:color w:val="000000"/>
        </w:rPr>
        <w:t>(IBISWorld, 2025)</w:t>
      </w:r>
      <w:r>
        <w:rPr>
          <w:color w:val="000000"/>
        </w:rPr>
        <w:t>。</w:t>
      </w:r>
      <w:r>
        <w:rPr>
          <w:color w:val="000000"/>
        </w:rPr>
        <w:t xml:space="preserve">CBA </w:t>
      </w:r>
      <w:r>
        <w:rPr>
          <w:color w:val="000000"/>
        </w:rPr>
        <w:t>更於</w:t>
      </w:r>
      <w:r>
        <w:rPr>
          <w:color w:val="000000"/>
        </w:rPr>
        <w:t xml:space="preserve"> Evident AI Index 2025 </w:t>
      </w:r>
      <w:r>
        <w:rPr>
          <w:color w:val="000000"/>
        </w:rPr>
        <w:t>名列全球第</w:t>
      </w:r>
      <w:r>
        <w:rPr>
          <w:color w:val="000000"/>
        </w:rPr>
        <w:t xml:space="preserve"> 4</w:t>
      </w:r>
      <w:r>
        <w:rPr>
          <w:color w:val="000000"/>
        </w:rPr>
        <w:t>、亞太第</w:t>
      </w:r>
      <w:r>
        <w:rPr>
          <w:color w:val="000000"/>
        </w:rPr>
        <w:t xml:space="preserve"> 1(Commonwealth Bank of Australia [CBA], 2025a)</w:t>
      </w:r>
      <w:r>
        <w:rPr>
          <w:color w:val="000000"/>
        </w:rPr>
        <w:t>。</w:t>
      </w:r>
      <w:r>
        <w:rPr>
          <w:color w:val="000000"/>
          <w:lang w:eastAsia="zh-TW"/>
        </w:rPr>
        <w:t>本報告以「競爭護城河</w:t>
      </w:r>
      <w:r>
        <w:rPr>
          <w:color w:val="000000"/>
          <w:lang w:eastAsia="zh-TW"/>
        </w:rPr>
        <w:t xml:space="preserve"> vs </w:t>
      </w:r>
      <w:r>
        <w:rPr>
          <w:color w:val="000000"/>
          <w:lang w:eastAsia="zh-TW"/>
        </w:rPr>
        <w:t>顛覆威脅」為主軸</w:t>
      </w:r>
      <w:r>
        <w:rPr>
          <w:color w:val="000000"/>
          <w:lang w:eastAsia="zh-TW"/>
        </w:rPr>
        <w:t>,</w:t>
      </w:r>
      <w:r>
        <w:rPr>
          <w:color w:val="000000"/>
          <w:lang w:eastAsia="zh-TW"/>
        </w:rPr>
        <w:t>論證在利差收窄與數位顛覆並存下</w:t>
      </w:r>
      <w:r>
        <w:rPr>
          <w:color w:val="000000"/>
          <w:lang w:eastAsia="zh-TW"/>
        </w:rPr>
        <w:t xml:space="preserve">,CBA </w:t>
      </w:r>
      <w:r>
        <w:rPr>
          <w:color w:val="000000"/>
          <w:lang w:eastAsia="zh-TW"/>
        </w:rPr>
        <w:t>如何以</w:t>
      </w:r>
      <w:r>
        <w:rPr>
          <w:color w:val="000000"/>
          <w:lang w:eastAsia="zh-TW"/>
        </w:rPr>
        <w:t xml:space="preserve"> AI </w:t>
      </w:r>
      <w:r>
        <w:rPr>
          <w:color w:val="000000"/>
          <w:lang w:eastAsia="zh-TW"/>
        </w:rPr>
        <w:t>深化護城河、回擊</w:t>
      </w:r>
      <w:r>
        <w:rPr>
          <w:color w:val="000000"/>
          <w:lang w:eastAsia="zh-TW"/>
        </w:rPr>
        <w:t xml:space="preserve"> Macquarie </w:t>
      </w:r>
      <w:r>
        <w:rPr>
          <w:color w:val="000000"/>
          <w:lang w:eastAsia="zh-TW"/>
        </w:rPr>
        <w:t>與</w:t>
      </w:r>
      <w:r>
        <w:rPr>
          <w:color w:val="000000"/>
          <w:lang w:eastAsia="zh-TW"/>
        </w:rPr>
        <w:t xml:space="preserve"> fintech,</w:t>
      </w:r>
      <w:r>
        <w:rPr>
          <w:color w:val="000000"/>
          <w:lang w:eastAsia="zh-TW"/>
        </w:rPr>
        <w:t>使</w:t>
      </w:r>
      <w:r>
        <w:rPr>
          <w:color w:val="000000"/>
          <w:lang w:eastAsia="zh-TW"/>
        </w:rPr>
        <w:t xml:space="preserve"> AI </w:t>
      </w:r>
      <w:r>
        <w:rPr>
          <w:color w:val="000000"/>
          <w:lang w:eastAsia="zh-TW"/>
        </w:rPr>
        <w:t>成為維繫定價權、迎向數位未來的關鍵槓桿。</w:t>
      </w:r>
    </w:p>
    <w:p w14:paraId="466BAFAA" w14:textId="77777777" w:rsidR="002402E0" w:rsidRDefault="00000000">
      <w:pPr>
        <w:pStyle w:val="1"/>
        <w:spacing w:before="200" w:after="120" w:line="360" w:lineRule="auto"/>
        <w:rPr>
          <w:lang w:eastAsia="zh-TW"/>
        </w:rPr>
      </w:pPr>
      <w:bookmarkStart w:id="1" w:name="_Toc234589032"/>
      <w:r>
        <w:rPr>
          <w:rFonts w:ascii="Times New Roman" w:eastAsia="微軟正黑體" w:hAnsi="Times New Roman"/>
          <w:color w:val="000000"/>
          <w:sz w:val="26"/>
          <w:lang w:eastAsia="zh-TW"/>
        </w:rPr>
        <w:t>二、產業挑戰</w:t>
      </w:r>
      <w:bookmarkEnd w:id="1"/>
    </w:p>
    <w:p w14:paraId="2C3EE15A" w14:textId="77777777" w:rsidR="002402E0" w:rsidRDefault="00000000">
      <w:pPr>
        <w:spacing w:after="120" w:line="360" w:lineRule="auto"/>
        <w:rPr>
          <w:lang w:eastAsia="zh-TW"/>
        </w:rPr>
      </w:pPr>
      <w:r>
        <w:rPr>
          <w:color w:val="000000"/>
          <w:lang w:eastAsia="zh-TW"/>
        </w:rPr>
        <w:t>澳洲銀行業正處結構性轉折</w:t>
      </w:r>
      <w:r>
        <w:rPr>
          <w:color w:val="000000"/>
          <w:lang w:eastAsia="zh-TW"/>
        </w:rPr>
        <w:t>,</w:t>
      </w:r>
      <w:r>
        <w:rPr>
          <w:color w:val="000000"/>
          <w:lang w:eastAsia="zh-TW"/>
        </w:rPr>
        <w:t>主要挑戰有</w:t>
      </w:r>
      <w:proofErr w:type="gramStart"/>
      <w:r>
        <w:rPr>
          <w:color w:val="000000"/>
          <w:lang w:eastAsia="zh-TW"/>
        </w:rPr>
        <w:t>三</w:t>
      </w:r>
      <w:proofErr w:type="gramEnd"/>
      <w:r>
        <w:rPr>
          <w:color w:val="000000"/>
          <w:lang w:eastAsia="zh-TW"/>
        </w:rPr>
        <w:t>。第一</w:t>
      </w:r>
      <w:r>
        <w:rPr>
          <w:color w:val="000000"/>
          <w:lang w:eastAsia="zh-TW"/>
        </w:rPr>
        <w:t>,</w:t>
      </w:r>
      <w:r>
        <w:rPr>
          <w:color w:val="000000"/>
          <w:lang w:eastAsia="zh-TW"/>
        </w:rPr>
        <w:t>獲利與利差同步受壓</w:t>
      </w:r>
      <w:r>
        <w:rPr>
          <w:color w:val="000000"/>
          <w:lang w:eastAsia="zh-TW"/>
        </w:rPr>
        <w:t xml:space="preserve">:2025 </w:t>
      </w:r>
      <w:r>
        <w:rPr>
          <w:color w:val="000000"/>
          <w:lang w:eastAsia="zh-TW"/>
        </w:rPr>
        <w:t>年產業營收年減</w:t>
      </w:r>
      <w:r>
        <w:rPr>
          <w:color w:val="000000"/>
          <w:lang w:eastAsia="zh-TW"/>
        </w:rPr>
        <w:t xml:space="preserve"> 8.3%</w:t>
      </w:r>
      <w:r>
        <w:rPr>
          <w:color w:val="000000"/>
          <w:lang w:eastAsia="zh-TW"/>
        </w:rPr>
        <w:t>、</w:t>
      </w:r>
      <w:r>
        <w:rPr>
          <w:color w:val="000000"/>
          <w:lang w:eastAsia="zh-TW"/>
        </w:rPr>
        <w:t>2025</w:t>
      </w:r>
      <w:proofErr w:type="gramStart"/>
      <w:r>
        <w:rPr>
          <w:color w:val="000000"/>
          <w:lang w:eastAsia="zh-TW"/>
        </w:rPr>
        <w:t>–</w:t>
      </w:r>
      <w:proofErr w:type="gramEnd"/>
      <w:r>
        <w:rPr>
          <w:color w:val="000000"/>
          <w:lang w:eastAsia="zh-TW"/>
        </w:rPr>
        <w:t xml:space="preserve">30 </w:t>
      </w:r>
      <w:r>
        <w:rPr>
          <w:color w:val="000000"/>
          <w:lang w:eastAsia="zh-TW"/>
        </w:rPr>
        <w:t>年</w:t>
      </w:r>
      <w:r>
        <w:rPr>
          <w:color w:val="000000"/>
          <w:lang w:eastAsia="zh-TW"/>
        </w:rPr>
        <w:t xml:space="preserve"> CAGR </w:t>
      </w:r>
      <w:r>
        <w:rPr>
          <w:color w:val="000000"/>
          <w:lang w:eastAsia="zh-TW"/>
        </w:rPr>
        <w:t>僅</w:t>
      </w:r>
      <w:r>
        <w:rPr>
          <w:color w:val="000000"/>
          <w:lang w:eastAsia="zh-TW"/>
        </w:rPr>
        <w:t xml:space="preserve"> +0.3%,</w:t>
      </w:r>
      <w:r>
        <w:rPr>
          <w:color w:val="000000"/>
          <w:lang w:eastAsia="zh-TW"/>
        </w:rPr>
        <w:t>利潤率五年降</w:t>
      </w:r>
      <w:r>
        <w:rPr>
          <w:color w:val="000000"/>
          <w:lang w:eastAsia="zh-TW"/>
        </w:rPr>
        <w:t xml:space="preserve"> 1.1pp;</w:t>
      </w:r>
      <w:r>
        <w:rPr>
          <w:color w:val="000000"/>
          <w:lang w:eastAsia="zh-TW"/>
        </w:rPr>
        <w:t>全球銀行淨利息差</w:t>
      </w:r>
      <w:r>
        <w:rPr>
          <w:color w:val="000000"/>
          <w:lang w:eastAsia="zh-TW"/>
        </w:rPr>
        <w:t>(NIM)</w:t>
      </w:r>
      <w:proofErr w:type="gramStart"/>
      <w:r>
        <w:rPr>
          <w:color w:val="000000"/>
          <w:lang w:eastAsia="zh-TW"/>
        </w:rPr>
        <w:t>亦估自</w:t>
      </w:r>
      <w:proofErr w:type="gramEnd"/>
      <w:r>
        <w:rPr>
          <w:color w:val="000000"/>
          <w:lang w:eastAsia="zh-TW"/>
        </w:rPr>
        <w:t xml:space="preserve"> 3.1% </w:t>
      </w:r>
      <w:proofErr w:type="gramStart"/>
      <w:r>
        <w:rPr>
          <w:color w:val="000000"/>
          <w:lang w:eastAsia="zh-TW"/>
        </w:rPr>
        <w:t>收窄至</w:t>
      </w:r>
      <w:proofErr w:type="gramEnd"/>
      <w:r>
        <w:rPr>
          <w:color w:val="000000"/>
          <w:lang w:eastAsia="zh-TW"/>
        </w:rPr>
        <w:t xml:space="preserve"> 2.7%,</w:t>
      </w:r>
      <w:r>
        <w:rPr>
          <w:color w:val="000000"/>
          <w:lang w:eastAsia="zh-TW"/>
        </w:rPr>
        <w:t>量價</w:t>
      </w:r>
      <w:proofErr w:type="gramStart"/>
      <w:r>
        <w:rPr>
          <w:color w:val="000000"/>
          <w:lang w:eastAsia="zh-TW"/>
        </w:rPr>
        <w:t>拉鋸使利差</w:t>
      </w:r>
      <w:proofErr w:type="gramEnd"/>
      <w:r>
        <w:rPr>
          <w:color w:val="000000"/>
          <w:lang w:eastAsia="zh-TW"/>
        </w:rPr>
        <w:t>紅利縮水</w:t>
      </w:r>
      <w:r>
        <w:rPr>
          <w:color w:val="000000"/>
          <w:lang w:eastAsia="zh-TW"/>
        </w:rPr>
        <w:t>(IBISWorld, 2025; S&amp;P Global, 2023)</w:t>
      </w:r>
      <w:r>
        <w:rPr>
          <w:color w:val="000000"/>
          <w:lang w:eastAsia="zh-TW"/>
        </w:rPr>
        <w:t>。第二</w:t>
      </w:r>
      <w:r>
        <w:rPr>
          <w:color w:val="000000"/>
          <w:lang w:eastAsia="zh-TW"/>
        </w:rPr>
        <w:t>,</w:t>
      </w:r>
      <w:r>
        <w:rPr>
          <w:color w:val="000000"/>
          <w:lang w:eastAsia="zh-TW"/>
        </w:rPr>
        <w:t>數位顛覆白熱化</w:t>
      </w:r>
      <w:r>
        <w:rPr>
          <w:color w:val="000000"/>
          <w:lang w:eastAsia="zh-TW"/>
        </w:rPr>
        <w:t>:</w:t>
      </w:r>
      <w:r>
        <w:rPr>
          <w:color w:val="000000"/>
          <w:lang w:eastAsia="zh-TW"/>
        </w:rPr>
        <w:t>消費者資料權</w:t>
      </w:r>
      <w:r>
        <w:rPr>
          <w:color w:val="000000"/>
          <w:lang w:eastAsia="zh-TW"/>
        </w:rPr>
        <w:t>(CDR,</w:t>
      </w:r>
      <w:r>
        <w:rPr>
          <w:color w:val="000000"/>
          <w:lang w:eastAsia="zh-TW"/>
        </w:rPr>
        <w:t>開放銀行</w:t>
      </w:r>
      <w:r>
        <w:rPr>
          <w:color w:val="000000"/>
          <w:lang w:eastAsia="zh-TW"/>
        </w:rPr>
        <w:t>)</w:t>
      </w:r>
      <w:r>
        <w:rPr>
          <w:color w:val="000000"/>
          <w:lang w:eastAsia="zh-TW"/>
        </w:rPr>
        <w:t>降低轉換成本</w:t>
      </w:r>
      <w:r>
        <w:rPr>
          <w:color w:val="000000"/>
          <w:lang w:eastAsia="zh-TW"/>
        </w:rPr>
        <w:t xml:space="preserve">,Macquarie </w:t>
      </w:r>
      <w:r>
        <w:rPr>
          <w:color w:val="000000"/>
          <w:lang w:eastAsia="zh-TW"/>
        </w:rPr>
        <w:t>房貸年增約</w:t>
      </w:r>
      <w:r>
        <w:rPr>
          <w:color w:val="000000"/>
          <w:lang w:eastAsia="zh-TW"/>
        </w:rPr>
        <w:t xml:space="preserve"> 19%</w:t>
      </w:r>
      <w:r>
        <w:rPr>
          <w:color w:val="000000"/>
          <w:lang w:eastAsia="zh-TW"/>
        </w:rPr>
        <w:t>、</w:t>
      </w:r>
      <w:proofErr w:type="gramStart"/>
      <w:r>
        <w:rPr>
          <w:color w:val="000000"/>
          <w:lang w:eastAsia="zh-TW"/>
        </w:rPr>
        <w:t>市占升至</w:t>
      </w:r>
      <w:proofErr w:type="gramEnd"/>
      <w:r>
        <w:rPr>
          <w:color w:val="000000"/>
          <w:lang w:eastAsia="zh-TW"/>
        </w:rPr>
        <w:t xml:space="preserve"> 5.9%,</w:t>
      </w:r>
      <w:r>
        <w:rPr>
          <w:color w:val="000000"/>
          <w:lang w:eastAsia="zh-TW"/>
        </w:rPr>
        <w:t>非銀行與</w:t>
      </w:r>
      <w:r>
        <w:rPr>
          <w:color w:val="000000"/>
          <w:lang w:eastAsia="zh-TW"/>
        </w:rPr>
        <w:t xml:space="preserve"> fintech </w:t>
      </w:r>
      <w:r>
        <w:rPr>
          <w:color w:val="000000"/>
          <w:lang w:eastAsia="zh-TW"/>
        </w:rPr>
        <w:t>放款方持續蠶食</w:t>
      </w:r>
      <w:r>
        <w:rPr>
          <w:color w:val="000000"/>
          <w:lang w:eastAsia="zh-TW"/>
        </w:rPr>
        <w:t>(Australian Broker News, 2025)</w:t>
      </w:r>
      <w:r>
        <w:rPr>
          <w:color w:val="000000"/>
          <w:lang w:eastAsia="zh-TW"/>
        </w:rPr>
        <w:t>。第三</w:t>
      </w:r>
      <w:r>
        <w:rPr>
          <w:color w:val="000000"/>
          <w:lang w:eastAsia="zh-TW"/>
        </w:rPr>
        <w:t>,</w:t>
      </w:r>
      <w:r>
        <w:rPr>
          <w:color w:val="000000"/>
          <w:lang w:eastAsia="zh-TW"/>
        </w:rPr>
        <w:t>詐騙</w:t>
      </w:r>
      <w:proofErr w:type="gramStart"/>
      <w:r>
        <w:rPr>
          <w:color w:val="000000"/>
          <w:lang w:eastAsia="zh-TW"/>
        </w:rPr>
        <w:t>與資安風險</w:t>
      </w:r>
      <w:proofErr w:type="gramEnd"/>
      <w:r>
        <w:rPr>
          <w:color w:val="000000"/>
          <w:lang w:eastAsia="zh-TW"/>
        </w:rPr>
        <w:t>升溫</w:t>
      </w:r>
      <w:r>
        <w:rPr>
          <w:color w:val="000000"/>
          <w:lang w:eastAsia="zh-TW"/>
        </w:rPr>
        <w:t xml:space="preserve">:2023 </w:t>
      </w:r>
      <w:r>
        <w:rPr>
          <w:color w:val="000000"/>
          <w:lang w:eastAsia="zh-TW"/>
        </w:rPr>
        <w:t>年澳洲通報詐騙損失約</w:t>
      </w:r>
      <w:r>
        <w:rPr>
          <w:color w:val="000000"/>
          <w:lang w:eastAsia="zh-TW"/>
        </w:rPr>
        <w:t xml:space="preserve"> A$27 </w:t>
      </w:r>
      <w:r>
        <w:rPr>
          <w:color w:val="000000"/>
          <w:lang w:eastAsia="zh-TW"/>
        </w:rPr>
        <w:t>億</w:t>
      </w:r>
      <w:r>
        <w:rPr>
          <w:color w:val="000000"/>
          <w:lang w:eastAsia="zh-TW"/>
        </w:rPr>
        <w:t>,</w:t>
      </w:r>
      <w:r>
        <w:rPr>
          <w:color w:val="000000"/>
          <w:lang w:eastAsia="zh-TW"/>
        </w:rPr>
        <w:t>直接侵蝕客戶信任</w:t>
      </w:r>
      <w:r>
        <w:rPr>
          <w:color w:val="000000"/>
          <w:lang w:eastAsia="zh-TW"/>
        </w:rPr>
        <w:t>(Australian Competition and Consumer Commission, 2024)</w:t>
      </w:r>
      <w:r>
        <w:rPr>
          <w:color w:val="000000"/>
          <w:lang w:eastAsia="zh-TW"/>
        </w:rPr>
        <w:t>。三者交織</w:t>
      </w:r>
      <w:r>
        <w:rPr>
          <w:color w:val="000000"/>
          <w:lang w:eastAsia="zh-TW"/>
        </w:rPr>
        <w:t>,</w:t>
      </w:r>
      <w:r>
        <w:rPr>
          <w:color w:val="000000"/>
          <w:lang w:eastAsia="zh-TW"/>
        </w:rPr>
        <w:t>對定價權與客戶黏著度構成結構性壓力。</w:t>
      </w:r>
    </w:p>
    <w:p w14:paraId="03581650" w14:textId="77777777" w:rsidR="002402E0" w:rsidRDefault="00000000">
      <w:pPr>
        <w:pStyle w:val="1"/>
        <w:spacing w:before="200" w:after="120" w:line="360" w:lineRule="auto"/>
        <w:rPr>
          <w:lang w:eastAsia="zh-TW"/>
        </w:rPr>
      </w:pPr>
      <w:bookmarkStart w:id="2" w:name="_Toc234589033"/>
      <w:r>
        <w:rPr>
          <w:rFonts w:ascii="Times New Roman" w:eastAsia="微軟正黑體" w:hAnsi="Times New Roman"/>
          <w:color w:val="000000"/>
          <w:sz w:val="26"/>
          <w:lang w:eastAsia="zh-TW"/>
        </w:rPr>
        <w:lastRenderedPageBreak/>
        <w:t>三、公司當前表現</w:t>
      </w:r>
      <w:bookmarkEnd w:id="2"/>
    </w:p>
    <w:p w14:paraId="655C9BA8" w14:textId="77777777" w:rsidR="002402E0" w:rsidRDefault="00000000">
      <w:pPr>
        <w:spacing w:after="120" w:line="360" w:lineRule="auto"/>
      </w:pPr>
      <w:r>
        <w:rPr>
          <w:color w:val="000000"/>
          <w:lang w:eastAsia="zh-TW"/>
        </w:rPr>
        <w:t>面對上述壓力</w:t>
      </w:r>
      <w:r>
        <w:rPr>
          <w:color w:val="000000"/>
          <w:lang w:eastAsia="zh-TW"/>
        </w:rPr>
        <w:t xml:space="preserve">,CBA </w:t>
      </w:r>
      <w:r>
        <w:rPr>
          <w:color w:val="000000"/>
          <w:lang w:eastAsia="zh-TW"/>
        </w:rPr>
        <w:t>仍</w:t>
      </w:r>
      <w:proofErr w:type="gramStart"/>
      <w:r>
        <w:rPr>
          <w:color w:val="000000"/>
          <w:lang w:eastAsia="zh-TW"/>
        </w:rPr>
        <w:t>顯著跑贏行業</w:t>
      </w:r>
      <w:proofErr w:type="gramEnd"/>
      <w:r>
        <w:rPr>
          <w:color w:val="000000"/>
          <w:lang w:eastAsia="zh-TW"/>
        </w:rPr>
        <w:t xml:space="preserve">:FY25 </w:t>
      </w:r>
      <w:r>
        <w:rPr>
          <w:color w:val="000000"/>
          <w:lang w:eastAsia="zh-TW"/>
        </w:rPr>
        <w:t>現金淨利</w:t>
      </w:r>
      <w:r>
        <w:rPr>
          <w:color w:val="000000"/>
          <w:lang w:eastAsia="zh-TW"/>
        </w:rPr>
        <w:t>(Cash NPAT)</w:t>
      </w:r>
      <w:r>
        <w:rPr>
          <w:color w:val="000000"/>
          <w:lang w:eastAsia="zh-TW"/>
        </w:rPr>
        <w:t>達</w:t>
      </w:r>
      <w:r>
        <w:rPr>
          <w:color w:val="000000"/>
          <w:lang w:eastAsia="zh-TW"/>
        </w:rPr>
        <w:t xml:space="preserve"> A$10,252m(+4.2%),</w:t>
      </w:r>
      <w:r>
        <w:rPr>
          <w:color w:val="000000"/>
          <w:lang w:eastAsia="zh-TW"/>
        </w:rPr>
        <w:t>與產業營收衰退</w:t>
      </w:r>
      <w:r>
        <w:rPr>
          <w:color w:val="000000"/>
          <w:lang w:eastAsia="zh-TW"/>
        </w:rPr>
        <w:t xml:space="preserve"> 8.3% </w:t>
      </w:r>
      <w:r>
        <w:rPr>
          <w:color w:val="000000"/>
          <w:lang w:eastAsia="zh-TW"/>
        </w:rPr>
        <w:t>形成鮮明對照</w:t>
      </w:r>
      <w:r>
        <w:rPr>
          <w:color w:val="000000"/>
          <w:lang w:eastAsia="zh-TW"/>
        </w:rPr>
        <w:t>(CBA, 2025b)</w:t>
      </w:r>
      <w:r>
        <w:rPr>
          <w:color w:val="000000"/>
          <w:lang w:eastAsia="zh-TW"/>
        </w:rPr>
        <w:t>。其獲利品質與競爭地位領先同業</w:t>
      </w:r>
      <w:proofErr w:type="gramStart"/>
      <w:r>
        <w:rPr>
          <w:color w:val="000000"/>
          <w:lang w:eastAsia="zh-TW"/>
        </w:rPr>
        <w:t>——</w:t>
      </w:r>
      <w:proofErr w:type="gramEnd"/>
      <w:r>
        <w:rPr>
          <w:color w:val="000000"/>
          <w:lang w:eastAsia="zh-TW"/>
        </w:rPr>
        <w:t>淨利息差</w:t>
      </w:r>
      <w:r>
        <w:rPr>
          <w:color w:val="000000"/>
          <w:lang w:eastAsia="zh-TW"/>
        </w:rPr>
        <w:t xml:space="preserve"> 2.08%</w:t>
      </w:r>
      <w:r>
        <w:rPr>
          <w:color w:val="000000"/>
          <w:lang w:eastAsia="zh-TW"/>
        </w:rPr>
        <w:t>、</w:t>
      </w:r>
      <w:r>
        <w:rPr>
          <w:color w:val="000000"/>
          <w:lang w:eastAsia="zh-TW"/>
        </w:rPr>
        <w:t xml:space="preserve">ROE 13.5% </w:t>
      </w:r>
      <w:r>
        <w:rPr>
          <w:color w:val="000000"/>
          <w:lang w:eastAsia="zh-TW"/>
        </w:rPr>
        <w:t>為四大行最高</w:t>
      </w:r>
      <w:r>
        <w:rPr>
          <w:color w:val="000000"/>
          <w:lang w:eastAsia="zh-TW"/>
        </w:rPr>
        <w:t>,</w:t>
      </w:r>
      <w:r>
        <w:rPr>
          <w:color w:val="000000"/>
          <w:lang w:eastAsia="zh-TW"/>
        </w:rPr>
        <w:t>房貸結餘</w:t>
      </w:r>
      <w:r>
        <w:rPr>
          <w:color w:val="000000"/>
          <w:lang w:eastAsia="zh-TW"/>
        </w:rPr>
        <w:t xml:space="preserve"> A$611.5bn</w:t>
      </w:r>
      <w:r>
        <w:rPr>
          <w:color w:val="000000"/>
          <w:lang w:eastAsia="zh-TW"/>
        </w:rPr>
        <w:t>、市占</w:t>
      </w:r>
      <w:r>
        <w:rPr>
          <w:color w:val="000000"/>
          <w:lang w:eastAsia="zh-TW"/>
        </w:rPr>
        <w:t xml:space="preserve"> 25.4%(APRA </w:t>
      </w:r>
      <w:r>
        <w:rPr>
          <w:color w:val="000000"/>
          <w:lang w:eastAsia="zh-TW"/>
        </w:rPr>
        <w:t>基礎</w:t>
      </w:r>
      <w:r>
        <w:rPr>
          <w:color w:val="000000"/>
          <w:lang w:eastAsia="zh-TW"/>
        </w:rPr>
        <w:t>)</w:t>
      </w:r>
      <w:r>
        <w:rPr>
          <w:color w:val="000000"/>
          <w:lang w:eastAsia="zh-TW"/>
        </w:rPr>
        <w:t>遙遙領先快速追趕的</w:t>
      </w:r>
      <w:r>
        <w:rPr>
          <w:color w:val="000000"/>
          <w:lang w:eastAsia="zh-TW"/>
        </w:rPr>
        <w:t xml:space="preserve"> Macquarie(</w:t>
      </w:r>
      <w:r>
        <w:rPr>
          <w:color w:val="000000"/>
          <w:lang w:eastAsia="zh-TW"/>
        </w:rPr>
        <w:t>詳見表</w:t>
      </w:r>
      <w:proofErr w:type="gramStart"/>
      <w:r>
        <w:rPr>
          <w:color w:val="000000"/>
          <w:lang w:eastAsia="zh-TW"/>
        </w:rPr>
        <w:t>一</w:t>
      </w:r>
      <w:proofErr w:type="gramEnd"/>
      <w:r>
        <w:rPr>
          <w:color w:val="000000"/>
          <w:lang w:eastAsia="zh-TW"/>
        </w:rPr>
        <w:t>)</w:t>
      </w:r>
      <w:r>
        <w:rPr>
          <w:color w:val="000000"/>
          <w:lang w:eastAsia="zh-TW"/>
        </w:rPr>
        <w:t>。</w:t>
      </w:r>
      <w:r>
        <w:rPr>
          <w:color w:val="000000"/>
        </w:rPr>
        <w:t>自有通路占比</w:t>
      </w:r>
      <w:r>
        <w:rPr>
          <w:color w:val="000000"/>
        </w:rPr>
        <w:t xml:space="preserve"> 66% </w:t>
      </w:r>
      <w:r>
        <w:rPr>
          <w:color w:val="000000"/>
        </w:rPr>
        <w:t>降低對經紀商的佣金依賴</w:t>
      </w:r>
      <w:r>
        <w:rPr>
          <w:color w:val="000000"/>
        </w:rPr>
        <w:t>,</w:t>
      </w:r>
      <w:r>
        <w:rPr>
          <w:color w:val="000000"/>
        </w:rPr>
        <w:t>廣大客群強化交叉銷售與資料優勢</w:t>
      </w:r>
      <w:r>
        <w:rPr>
          <w:color w:val="000000"/>
        </w:rPr>
        <w:t xml:space="preserve">;CBA </w:t>
      </w:r>
      <w:r>
        <w:rPr>
          <w:color w:val="000000"/>
        </w:rPr>
        <w:t>更於</w:t>
      </w:r>
      <w:r>
        <w:rPr>
          <w:color w:val="000000"/>
        </w:rPr>
        <w:t xml:space="preserve"> 2025 </w:t>
      </w:r>
      <w:r>
        <w:rPr>
          <w:color w:val="000000"/>
        </w:rPr>
        <w:t>年首度成為澳洲最受信任銀行品牌</w:t>
      </w:r>
      <w:r>
        <w:rPr>
          <w:color w:val="000000"/>
        </w:rPr>
        <w:t>,</w:t>
      </w:r>
      <w:r>
        <w:rPr>
          <w:color w:val="000000"/>
        </w:rPr>
        <w:t>鞏固信任護城河</w:t>
      </w:r>
      <w:r>
        <w:rPr>
          <w:color w:val="000000"/>
        </w:rPr>
        <w:t>(Roy Morgan Research, 2025)</w:t>
      </w:r>
      <w:r>
        <w:rPr>
          <w:color w:val="000000"/>
        </w:rPr>
        <w:t>。</w:t>
      </w:r>
    </w:p>
    <w:p w14:paraId="2CCC5665" w14:textId="77777777" w:rsidR="002402E0" w:rsidRDefault="00000000">
      <w:pPr>
        <w:spacing w:after="80" w:line="360" w:lineRule="auto"/>
      </w:pPr>
      <w:r>
        <w:rPr>
          <w:b/>
          <w:color w:val="000000"/>
          <w:sz w:val="22"/>
        </w:rPr>
        <w:t>表一、四大行與</w:t>
      </w:r>
      <w:r>
        <w:rPr>
          <w:b/>
          <w:color w:val="000000"/>
          <w:sz w:val="22"/>
        </w:rPr>
        <w:t xml:space="preserve"> Macquarie </w:t>
      </w:r>
      <w:r>
        <w:rPr>
          <w:b/>
          <w:color w:val="000000"/>
          <w:sz w:val="22"/>
        </w:rPr>
        <w:t>競爭指標對照</w:t>
      </w:r>
      <w:r>
        <w:rPr>
          <w:b/>
          <w:color w:val="000000"/>
          <w:sz w:val="22"/>
        </w:rPr>
        <w:t>(2025)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2402E0" w14:paraId="4920C429" w14:textId="77777777">
        <w:tc>
          <w:tcPr>
            <w:tcW w:w="1440" w:type="dxa"/>
            <w:shd w:val="clear" w:color="auto" w:fill="D9E2F3"/>
          </w:tcPr>
          <w:p w14:paraId="361B3CC7" w14:textId="77777777" w:rsidR="002402E0" w:rsidRDefault="00000000">
            <w:pPr>
              <w:spacing w:after="20" w:line="264" w:lineRule="auto"/>
            </w:pPr>
            <w:r>
              <w:rPr>
                <w:b/>
                <w:color w:val="000000"/>
                <w:sz w:val="19"/>
              </w:rPr>
              <w:t>指標</w:t>
            </w:r>
          </w:p>
        </w:tc>
        <w:tc>
          <w:tcPr>
            <w:tcW w:w="1440" w:type="dxa"/>
            <w:shd w:val="clear" w:color="auto" w:fill="D9E2F3"/>
          </w:tcPr>
          <w:p w14:paraId="4DF78133" w14:textId="77777777" w:rsidR="002402E0" w:rsidRDefault="00000000">
            <w:pPr>
              <w:spacing w:after="20" w:line="264" w:lineRule="auto"/>
            </w:pPr>
            <w:r>
              <w:rPr>
                <w:b/>
                <w:color w:val="000000"/>
                <w:sz w:val="19"/>
              </w:rPr>
              <w:t>CBA</w:t>
            </w:r>
          </w:p>
        </w:tc>
        <w:tc>
          <w:tcPr>
            <w:tcW w:w="1440" w:type="dxa"/>
            <w:shd w:val="clear" w:color="auto" w:fill="D9E2F3"/>
          </w:tcPr>
          <w:p w14:paraId="2B245260" w14:textId="77777777" w:rsidR="002402E0" w:rsidRDefault="00000000">
            <w:pPr>
              <w:spacing w:after="20" w:line="264" w:lineRule="auto"/>
            </w:pPr>
            <w:r>
              <w:rPr>
                <w:b/>
                <w:color w:val="000000"/>
                <w:sz w:val="19"/>
              </w:rPr>
              <w:t>NAB</w:t>
            </w:r>
          </w:p>
        </w:tc>
        <w:tc>
          <w:tcPr>
            <w:tcW w:w="1440" w:type="dxa"/>
            <w:shd w:val="clear" w:color="auto" w:fill="D9E2F3"/>
          </w:tcPr>
          <w:p w14:paraId="2B790657" w14:textId="77777777" w:rsidR="002402E0" w:rsidRDefault="00000000">
            <w:pPr>
              <w:spacing w:after="20" w:line="264" w:lineRule="auto"/>
            </w:pPr>
            <w:r>
              <w:rPr>
                <w:b/>
                <w:color w:val="000000"/>
                <w:sz w:val="19"/>
              </w:rPr>
              <w:t>ANZ</w:t>
            </w:r>
          </w:p>
        </w:tc>
        <w:tc>
          <w:tcPr>
            <w:tcW w:w="1440" w:type="dxa"/>
            <w:shd w:val="clear" w:color="auto" w:fill="D9E2F3"/>
          </w:tcPr>
          <w:p w14:paraId="5CF50CCC" w14:textId="77777777" w:rsidR="002402E0" w:rsidRDefault="00000000">
            <w:pPr>
              <w:spacing w:after="20" w:line="264" w:lineRule="auto"/>
            </w:pPr>
            <w:r>
              <w:rPr>
                <w:b/>
                <w:color w:val="000000"/>
                <w:sz w:val="19"/>
              </w:rPr>
              <w:t>Westpac</w:t>
            </w:r>
          </w:p>
        </w:tc>
        <w:tc>
          <w:tcPr>
            <w:tcW w:w="1440" w:type="dxa"/>
            <w:shd w:val="clear" w:color="auto" w:fill="D9E2F3"/>
          </w:tcPr>
          <w:p w14:paraId="3FF8DC1B" w14:textId="77777777" w:rsidR="002402E0" w:rsidRDefault="00000000">
            <w:pPr>
              <w:spacing w:after="20" w:line="264" w:lineRule="auto"/>
            </w:pPr>
            <w:r>
              <w:rPr>
                <w:b/>
                <w:color w:val="000000"/>
                <w:sz w:val="19"/>
              </w:rPr>
              <w:t>Macquarie</w:t>
            </w:r>
          </w:p>
        </w:tc>
      </w:tr>
      <w:tr w:rsidR="002402E0" w14:paraId="1C53C39C" w14:textId="77777777">
        <w:tc>
          <w:tcPr>
            <w:tcW w:w="1440" w:type="dxa"/>
          </w:tcPr>
          <w:p w14:paraId="09123642" w14:textId="77777777" w:rsidR="002402E0" w:rsidRDefault="00000000">
            <w:pPr>
              <w:spacing w:after="20" w:line="264" w:lineRule="auto"/>
            </w:pPr>
            <w:r>
              <w:rPr>
                <w:color w:val="000000"/>
                <w:sz w:val="19"/>
              </w:rPr>
              <w:t>產業市占</w:t>
            </w:r>
          </w:p>
        </w:tc>
        <w:tc>
          <w:tcPr>
            <w:tcW w:w="1440" w:type="dxa"/>
          </w:tcPr>
          <w:p w14:paraId="1AB841E5" w14:textId="77777777" w:rsidR="002402E0" w:rsidRDefault="00000000">
            <w:pPr>
              <w:spacing w:after="20" w:line="264" w:lineRule="auto"/>
            </w:pPr>
            <w:r>
              <w:rPr>
                <w:color w:val="000000"/>
                <w:sz w:val="19"/>
              </w:rPr>
              <w:t>21.7%</w:t>
            </w:r>
          </w:p>
        </w:tc>
        <w:tc>
          <w:tcPr>
            <w:tcW w:w="1440" w:type="dxa"/>
          </w:tcPr>
          <w:p w14:paraId="29C49F59" w14:textId="77777777" w:rsidR="002402E0" w:rsidRDefault="00000000">
            <w:pPr>
              <w:spacing w:after="20" w:line="264" w:lineRule="auto"/>
            </w:pPr>
            <w:r>
              <w:rPr>
                <w:color w:val="000000"/>
                <w:sz w:val="19"/>
              </w:rPr>
              <w:t>18.3%</w:t>
            </w:r>
          </w:p>
        </w:tc>
        <w:tc>
          <w:tcPr>
            <w:tcW w:w="1440" w:type="dxa"/>
          </w:tcPr>
          <w:p w14:paraId="7721D2CD" w14:textId="77777777" w:rsidR="002402E0" w:rsidRDefault="00000000">
            <w:pPr>
              <w:spacing w:after="20" w:line="264" w:lineRule="auto"/>
            </w:pPr>
            <w:r>
              <w:rPr>
                <w:color w:val="000000"/>
                <w:sz w:val="19"/>
              </w:rPr>
              <w:t>17.5%</w:t>
            </w:r>
          </w:p>
        </w:tc>
        <w:tc>
          <w:tcPr>
            <w:tcW w:w="1440" w:type="dxa"/>
          </w:tcPr>
          <w:p w14:paraId="67A0E886" w14:textId="77777777" w:rsidR="002402E0" w:rsidRDefault="00000000">
            <w:pPr>
              <w:spacing w:after="20" w:line="264" w:lineRule="auto"/>
            </w:pPr>
            <w:r>
              <w:rPr>
                <w:color w:val="000000"/>
                <w:sz w:val="19"/>
              </w:rPr>
              <w:t>18.2%</w:t>
            </w:r>
          </w:p>
        </w:tc>
        <w:tc>
          <w:tcPr>
            <w:tcW w:w="1440" w:type="dxa"/>
          </w:tcPr>
          <w:p w14:paraId="230545CE" w14:textId="77777777" w:rsidR="002402E0" w:rsidRDefault="00000000">
            <w:pPr>
              <w:spacing w:after="20" w:line="264" w:lineRule="auto"/>
            </w:pPr>
            <w:r>
              <w:rPr>
                <w:color w:val="000000"/>
                <w:sz w:val="19"/>
              </w:rPr>
              <w:t>—</w:t>
            </w:r>
          </w:p>
        </w:tc>
      </w:tr>
      <w:tr w:rsidR="002402E0" w14:paraId="539664D3" w14:textId="77777777">
        <w:tc>
          <w:tcPr>
            <w:tcW w:w="1440" w:type="dxa"/>
          </w:tcPr>
          <w:p w14:paraId="5483EDFE" w14:textId="77777777" w:rsidR="002402E0" w:rsidRDefault="00000000">
            <w:pPr>
              <w:spacing w:after="20" w:line="264" w:lineRule="auto"/>
            </w:pPr>
            <w:r>
              <w:rPr>
                <w:color w:val="000000"/>
                <w:sz w:val="19"/>
              </w:rPr>
              <w:t>ROE(FY25)</w:t>
            </w:r>
          </w:p>
        </w:tc>
        <w:tc>
          <w:tcPr>
            <w:tcW w:w="1440" w:type="dxa"/>
          </w:tcPr>
          <w:p w14:paraId="644E1D8F" w14:textId="77777777" w:rsidR="002402E0" w:rsidRDefault="00000000">
            <w:pPr>
              <w:spacing w:after="20" w:line="264" w:lineRule="auto"/>
            </w:pPr>
            <w:r>
              <w:rPr>
                <w:color w:val="000000"/>
                <w:sz w:val="19"/>
              </w:rPr>
              <w:t>13.5%</w:t>
            </w:r>
          </w:p>
        </w:tc>
        <w:tc>
          <w:tcPr>
            <w:tcW w:w="1440" w:type="dxa"/>
          </w:tcPr>
          <w:p w14:paraId="23D0F38F" w14:textId="77777777" w:rsidR="002402E0" w:rsidRDefault="00000000">
            <w:pPr>
              <w:spacing w:after="20" w:line="264" w:lineRule="auto"/>
            </w:pPr>
            <w:r>
              <w:rPr>
                <w:color w:val="000000"/>
                <w:sz w:val="19"/>
              </w:rPr>
              <w:t>11.4%</w:t>
            </w:r>
          </w:p>
        </w:tc>
        <w:tc>
          <w:tcPr>
            <w:tcW w:w="1440" w:type="dxa"/>
          </w:tcPr>
          <w:p w14:paraId="221C6B0D" w14:textId="77777777" w:rsidR="002402E0" w:rsidRDefault="00000000">
            <w:pPr>
              <w:spacing w:after="20" w:line="264" w:lineRule="auto"/>
            </w:pPr>
            <w:r>
              <w:rPr>
                <w:color w:val="000000"/>
                <w:sz w:val="19"/>
              </w:rPr>
              <w:t>8.1%</w:t>
            </w:r>
          </w:p>
        </w:tc>
        <w:tc>
          <w:tcPr>
            <w:tcW w:w="1440" w:type="dxa"/>
          </w:tcPr>
          <w:p w14:paraId="37438ABE" w14:textId="77777777" w:rsidR="002402E0" w:rsidRDefault="00000000">
            <w:pPr>
              <w:spacing w:after="20" w:line="264" w:lineRule="auto"/>
            </w:pPr>
            <w:r>
              <w:rPr>
                <w:color w:val="000000"/>
                <w:sz w:val="19"/>
              </w:rPr>
              <w:t>n/a</w:t>
            </w:r>
          </w:p>
        </w:tc>
        <w:tc>
          <w:tcPr>
            <w:tcW w:w="1440" w:type="dxa"/>
          </w:tcPr>
          <w:p w14:paraId="352E7DA1" w14:textId="77777777" w:rsidR="002402E0" w:rsidRDefault="00000000">
            <w:pPr>
              <w:spacing w:after="20" w:line="264" w:lineRule="auto"/>
            </w:pPr>
            <w:r>
              <w:rPr>
                <w:color w:val="000000"/>
                <w:sz w:val="19"/>
              </w:rPr>
              <w:t>—</w:t>
            </w:r>
          </w:p>
        </w:tc>
      </w:tr>
      <w:tr w:rsidR="002402E0" w14:paraId="1926C1C3" w14:textId="77777777">
        <w:tc>
          <w:tcPr>
            <w:tcW w:w="1440" w:type="dxa"/>
          </w:tcPr>
          <w:p w14:paraId="4BA6DC9A" w14:textId="77777777" w:rsidR="002402E0" w:rsidRDefault="00000000">
            <w:pPr>
              <w:spacing w:after="20" w:line="264" w:lineRule="auto"/>
            </w:pPr>
            <w:r>
              <w:rPr>
                <w:color w:val="000000"/>
                <w:sz w:val="19"/>
              </w:rPr>
              <w:t>房貸結餘</w:t>
            </w:r>
            <w:r>
              <w:rPr>
                <w:color w:val="000000"/>
                <w:sz w:val="19"/>
              </w:rPr>
              <w:t>(2025)</w:t>
            </w:r>
          </w:p>
        </w:tc>
        <w:tc>
          <w:tcPr>
            <w:tcW w:w="1440" w:type="dxa"/>
          </w:tcPr>
          <w:p w14:paraId="5B69D3A4" w14:textId="77777777" w:rsidR="002402E0" w:rsidRDefault="00000000">
            <w:pPr>
              <w:spacing w:after="20" w:line="264" w:lineRule="auto"/>
            </w:pPr>
            <w:r>
              <w:rPr>
                <w:color w:val="000000"/>
                <w:sz w:val="19"/>
              </w:rPr>
              <w:t>A$611.5bn</w:t>
            </w:r>
          </w:p>
        </w:tc>
        <w:tc>
          <w:tcPr>
            <w:tcW w:w="1440" w:type="dxa"/>
          </w:tcPr>
          <w:p w14:paraId="05E9104D" w14:textId="77777777" w:rsidR="002402E0" w:rsidRDefault="00000000">
            <w:pPr>
              <w:spacing w:after="20" w:line="264" w:lineRule="auto"/>
            </w:pPr>
            <w:r>
              <w:rPr>
                <w:color w:val="000000"/>
                <w:sz w:val="19"/>
              </w:rPr>
              <w:t>A$341.7bn</w:t>
            </w:r>
          </w:p>
        </w:tc>
        <w:tc>
          <w:tcPr>
            <w:tcW w:w="1440" w:type="dxa"/>
          </w:tcPr>
          <w:p w14:paraId="592305A8" w14:textId="77777777" w:rsidR="002402E0" w:rsidRDefault="00000000">
            <w:pPr>
              <w:spacing w:after="20" w:line="264" w:lineRule="auto"/>
            </w:pPr>
            <w:r>
              <w:rPr>
                <w:color w:val="000000"/>
                <w:sz w:val="19"/>
              </w:rPr>
              <w:t>A$321.5bn</w:t>
            </w:r>
          </w:p>
        </w:tc>
        <w:tc>
          <w:tcPr>
            <w:tcW w:w="1440" w:type="dxa"/>
          </w:tcPr>
          <w:p w14:paraId="2F9CD3E7" w14:textId="77777777" w:rsidR="002402E0" w:rsidRDefault="00000000">
            <w:pPr>
              <w:spacing w:after="20" w:line="264" w:lineRule="auto"/>
            </w:pPr>
            <w:r>
              <w:rPr>
                <w:color w:val="000000"/>
                <w:sz w:val="19"/>
              </w:rPr>
              <w:t>A$498.5bn</w:t>
            </w:r>
          </w:p>
        </w:tc>
        <w:tc>
          <w:tcPr>
            <w:tcW w:w="1440" w:type="dxa"/>
          </w:tcPr>
          <w:p w14:paraId="2E79FE8A" w14:textId="77777777" w:rsidR="002402E0" w:rsidRDefault="00000000">
            <w:pPr>
              <w:spacing w:after="20" w:line="264" w:lineRule="auto"/>
            </w:pPr>
            <w:r>
              <w:rPr>
                <w:color w:val="000000"/>
                <w:sz w:val="19"/>
              </w:rPr>
              <w:t>A$141.7bn</w:t>
            </w:r>
          </w:p>
        </w:tc>
      </w:tr>
    </w:tbl>
    <w:p w14:paraId="7EE41035" w14:textId="77777777" w:rsidR="002402E0" w:rsidRDefault="00000000">
      <w:pPr>
        <w:spacing w:after="160" w:line="288" w:lineRule="auto"/>
      </w:pPr>
      <w:r>
        <w:rPr>
          <w:color w:val="000000"/>
          <w:sz w:val="17"/>
        </w:rPr>
        <w:t>資料來源</w:t>
      </w:r>
      <w:r>
        <w:rPr>
          <w:color w:val="000000"/>
          <w:sz w:val="17"/>
        </w:rPr>
        <w:t>:IBISWorld (2025);National Australia Bank (2025);ANZ Group Holdings (2025);Commonwealth Bank of Australia (2025b);Australian Broker News (2025)</w:t>
      </w:r>
      <w:r>
        <w:rPr>
          <w:color w:val="000000"/>
          <w:sz w:val="17"/>
        </w:rPr>
        <w:t>。</w:t>
      </w:r>
      <w:r>
        <w:rPr>
          <w:color w:val="000000"/>
          <w:sz w:val="17"/>
        </w:rPr>
        <w:t xml:space="preserve">Westpac FY25 ROE </w:t>
      </w:r>
      <w:r>
        <w:rPr>
          <w:color w:val="000000"/>
          <w:sz w:val="17"/>
        </w:rPr>
        <w:t>未公開可比數字。</w:t>
      </w:r>
    </w:p>
    <w:p w14:paraId="0E4EAE34" w14:textId="77777777" w:rsidR="002402E0" w:rsidRDefault="00000000">
      <w:pPr>
        <w:pStyle w:val="1"/>
        <w:spacing w:before="200" w:after="120" w:line="360" w:lineRule="auto"/>
        <w:rPr>
          <w:lang w:eastAsia="zh-TW"/>
        </w:rPr>
      </w:pPr>
      <w:bookmarkStart w:id="3" w:name="_Toc234589034"/>
      <w:r>
        <w:rPr>
          <w:rFonts w:ascii="Times New Roman" w:eastAsia="微軟正黑體" w:hAnsi="Times New Roman"/>
          <w:color w:val="000000"/>
          <w:sz w:val="26"/>
          <w:lang w:eastAsia="zh-TW"/>
        </w:rPr>
        <w:t>四、</w:t>
      </w:r>
      <w:r>
        <w:rPr>
          <w:rFonts w:ascii="Times New Roman" w:eastAsia="微軟正黑體" w:hAnsi="Times New Roman"/>
          <w:color w:val="000000"/>
          <w:sz w:val="26"/>
          <w:lang w:eastAsia="zh-TW"/>
        </w:rPr>
        <w:t xml:space="preserve">AI </w:t>
      </w:r>
      <w:r>
        <w:rPr>
          <w:rFonts w:ascii="Times New Roman" w:eastAsia="微軟正黑體" w:hAnsi="Times New Roman"/>
          <w:color w:val="000000"/>
          <w:sz w:val="26"/>
          <w:lang w:eastAsia="zh-TW"/>
        </w:rPr>
        <w:t>賦能</w:t>
      </w:r>
      <w:bookmarkEnd w:id="3"/>
    </w:p>
    <w:p w14:paraId="7B7DB88F" w14:textId="77777777" w:rsidR="002402E0" w:rsidRDefault="00000000">
      <w:pPr>
        <w:spacing w:after="120" w:line="360" w:lineRule="auto"/>
        <w:rPr>
          <w:lang w:eastAsia="zh-TW"/>
        </w:rPr>
      </w:pPr>
      <w:r>
        <w:rPr>
          <w:color w:val="000000"/>
          <w:lang w:eastAsia="zh-TW"/>
        </w:rPr>
        <w:t>面對三大挑戰</w:t>
      </w:r>
      <w:r>
        <w:rPr>
          <w:color w:val="000000"/>
          <w:lang w:eastAsia="zh-TW"/>
        </w:rPr>
        <w:t xml:space="preserve">,CBA </w:t>
      </w:r>
      <w:r>
        <w:rPr>
          <w:color w:val="000000"/>
          <w:lang w:eastAsia="zh-TW"/>
        </w:rPr>
        <w:t>以三項可衡量標準評估</w:t>
      </w:r>
      <w:r>
        <w:rPr>
          <w:color w:val="000000"/>
          <w:lang w:eastAsia="zh-TW"/>
        </w:rPr>
        <w:t xml:space="preserve"> AI </w:t>
      </w:r>
      <w:r>
        <w:rPr>
          <w:color w:val="000000"/>
          <w:lang w:eastAsia="zh-TW"/>
        </w:rPr>
        <w:t>成效</w:t>
      </w:r>
      <w:proofErr w:type="gramStart"/>
      <w:r>
        <w:rPr>
          <w:color w:val="000000"/>
          <w:lang w:eastAsia="zh-TW"/>
        </w:rPr>
        <w:t>——</w:t>
      </w:r>
      <w:proofErr w:type="gramEnd"/>
      <w:r>
        <w:rPr>
          <w:color w:val="000000"/>
          <w:lang w:eastAsia="zh-TW"/>
        </w:rPr>
        <w:t>效率、速度與風險</w:t>
      </w:r>
      <w:r>
        <w:rPr>
          <w:color w:val="000000"/>
          <w:lang w:eastAsia="zh-TW"/>
        </w:rPr>
        <w:t>,</w:t>
      </w:r>
      <w:r>
        <w:rPr>
          <w:color w:val="000000"/>
          <w:lang w:eastAsia="zh-TW"/>
        </w:rPr>
        <w:t>分別對應獲利、競爭與風險</w:t>
      </w:r>
      <w:r>
        <w:rPr>
          <w:color w:val="000000"/>
          <w:lang w:eastAsia="zh-TW"/>
        </w:rPr>
        <w:t>,</w:t>
      </w:r>
      <w:r>
        <w:rPr>
          <w:color w:val="000000"/>
          <w:lang w:eastAsia="zh-TW"/>
        </w:rPr>
        <w:t>各設成功門檻</w:t>
      </w:r>
      <w:r>
        <w:rPr>
          <w:color w:val="000000"/>
          <w:lang w:eastAsia="zh-TW"/>
        </w:rPr>
        <w:t>(</w:t>
      </w:r>
      <w:r>
        <w:rPr>
          <w:color w:val="000000"/>
          <w:lang w:eastAsia="zh-TW"/>
        </w:rPr>
        <w:t>見表二</w:t>
      </w:r>
      <w:r>
        <w:rPr>
          <w:color w:val="000000"/>
          <w:lang w:eastAsia="zh-TW"/>
        </w:rPr>
        <w:t>)</w:t>
      </w:r>
      <w:r>
        <w:rPr>
          <w:color w:val="000000"/>
          <w:lang w:eastAsia="zh-TW"/>
        </w:rPr>
        <w:t>。第一</w:t>
      </w:r>
      <w:r>
        <w:rPr>
          <w:color w:val="000000"/>
          <w:lang w:eastAsia="zh-TW"/>
        </w:rPr>
        <w:t>,</w:t>
      </w:r>
      <w:r>
        <w:rPr>
          <w:color w:val="000000"/>
          <w:lang w:eastAsia="zh-TW"/>
        </w:rPr>
        <w:t>效率軸回應</w:t>
      </w:r>
      <w:proofErr w:type="gramStart"/>
      <w:r>
        <w:rPr>
          <w:color w:val="000000"/>
          <w:lang w:eastAsia="zh-TW"/>
        </w:rPr>
        <w:t>利差受壓</w:t>
      </w:r>
      <w:proofErr w:type="gramEnd"/>
      <w:r>
        <w:rPr>
          <w:color w:val="000000"/>
          <w:lang w:eastAsia="zh-TW"/>
        </w:rPr>
        <w:t xml:space="preserve">:AI </w:t>
      </w:r>
      <w:r>
        <w:rPr>
          <w:color w:val="000000"/>
          <w:lang w:eastAsia="zh-TW"/>
        </w:rPr>
        <w:t>被學界視為重塑行銷與顧客互動的核心力量</w:t>
      </w:r>
      <w:r>
        <w:rPr>
          <w:color w:val="000000"/>
          <w:lang w:eastAsia="zh-TW"/>
        </w:rPr>
        <w:t xml:space="preserve">(Davenport et al., 2019),Customer Engagement Engine </w:t>
      </w:r>
      <w:r>
        <w:rPr>
          <w:color w:val="000000"/>
          <w:lang w:eastAsia="zh-TW"/>
        </w:rPr>
        <w:t>即時個人化搭配生成式</w:t>
      </w:r>
      <w:r>
        <w:rPr>
          <w:color w:val="000000"/>
          <w:lang w:eastAsia="zh-TW"/>
        </w:rPr>
        <w:t xml:space="preserve"> AI </w:t>
      </w:r>
      <w:r>
        <w:rPr>
          <w:color w:val="000000"/>
          <w:lang w:eastAsia="zh-TW"/>
        </w:rPr>
        <w:t>客服</w:t>
      </w:r>
      <w:r>
        <w:rPr>
          <w:color w:val="000000"/>
          <w:lang w:eastAsia="zh-TW"/>
        </w:rPr>
        <w:t>,</w:t>
      </w:r>
      <w:proofErr w:type="gramStart"/>
      <w:r>
        <w:rPr>
          <w:color w:val="000000"/>
          <w:lang w:eastAsia="zh-TW"/>
        </w:rPr>
        <w:t>使客服</w:t>
      </w:r>
      <w:proofErr w:type="gramEnd"/>
      <w:r>
        <w:rPr>
          <w:color w:val="000000"/>
          <w:lang w:eastAsia="zh-TW"/>
        </w:rPr>
        <w:t>等待時間顯著縮短</w:t>
      </w:r>
      <w:r>
        <w:rPr>
          <w:color w:val="000000"/>
          <w:lang w:eastAsia="zh-TW"/>
        </w:rPr>
        <w:t>,</w:t>
      </w:r>
      <w:r>
        <w:rPr>
          <w:color w:val="000000"/>
          <w:lang w:eastAsia="zh-TW"/>
        </w:rPr>
        <w:t>深化交叉</w:t>
      </w:r>
      <w:proofErr w:type="gramStart"/>
      <w:r>
        <w:rPr>
          <w:color w:val="000000"/>
          <w:lang w:eastAsia="zh-TW"/>
        </w:rPr>
        <w:t>銷售以攤平</w:t>
      </w:r>
      <w:proofErr w:type="gramEnd"/>
      <w:r>
        <w:rPr>
          <w:color w:val="000000"/>
          <w:lang w:eastAsia="zh-TW"/>
        </w:rPr>
        <w:t>固定成本</w:t>
      </w:r>
      <w:r>
        <w:rPr>
          <w:color w:val="000000"/>
          <w:lang w:eastAsia="zh-TW"/>
        </w:rPr>
        <w:t>(CBA, 2024)</w:t>
      </w:r>
      <w:r>
        <w:rPr>
          <w:color w:val="000000"/>
          <w:lang w:eastAsia="zh-TW"/>
        </w:rPr>
        <w:t>。第二</w:t>
      </w:r>
      <w:r>
        <w:rPr>
          <w:color w:val="000000"/>
          <w:lang w:eastAsia="zh-TW"/>
        </w:rPr>
        <w:t>,</w:t>
      </w:r>
      <w:r>
        <w:rPr>
          <w:color w:val="000000"/>
          <w:lang w:eastAsia="zh-TW"/>
        </w:rPr>
        <w:t>速度軸回擊</w:t>
      </w:r>
      <w:r>
        <w:rPr>
          <w:color w:val="000000"/>
          <w:lang w:eastAsia="zh-TW"/>
        </w:rPr>
        <w:t xml:space="preserve"> Macquarie </w:t>
      </w:r>
      <w:r>
        <w:rPr>
          <w:color w:val="000000"/>
          <w:lang w:eastAsia="zh-TW"/>
        </w:rPr>
        <w:t>與</w:t>
      </w:r>
      <w:r>
        <w:rPr>
          <w:color w:val="000000"/>
          <w:lang w:eastAsia="zh-TW"/>
        </w:rPr>
        <w:t xml:space="preserve"> fintech:AI </w:t>
      </w:r>
      <w:r>
        <w:rPr>
          <w:color w:val="000000"/>
          <w:lang w:eastAsia="zh-TW"/>
        </w:rPr>
        <w:t>加速信貸審批</w:t>
      </w:r>
      <w:r>
        <w:rPr>
          <w:color w:val="000000"/>
          <w:lang w:eastAsia="zh-TW"/>
        </w:rPr>
        <w:t>,</w:t>
      </w:r>
      <w:r>
        <w:rPr>
          <w:color w:val="000000"/>
          <w:lang w:eastAsia="zh-TW"/>
        </w:rPr>
        <w:t>業務信貸</w:t>
      </w:r>
      <w:proofErr w:type="gramStart"/>
      <w:r>
        <w:rPr>
          <w:color w:val="000000"/>
          <w:lang w:eastAsia="zh-TW"/>
        </w:rPr>
        <w:t>年審已自</w:t>
      </w:r>
      <w:proofErr w:type="gramEnd"/>
      <w:r>
        <w:rPr>
          <w:color w:val="000000"/>
          <w:lang w:eastAsia="zh-TW"/>
        </w:rPr>
        <w:t xml:space="preserve"> 14 </w:t>
      </w:r>
      <w:r>
        <w:rPr>
          <w:color w:val="000000"/>
          <w:lang w:eastAsia="zh-TW"/>
        </w:rPr>
        <w:t>小時降至</w:t>
      </w:r>
      <w:r>
        <w:rPr>
          <w:color w:val="000000"/>
          <w:lang w:eastAsia="zh-TW"/>
        </w:rPr>
        <w:t xml:space="preserve"> 2 </w:t>
      </w:r>
      <w:r>
        <w:rPr>
          <w:color w:val="000000"/>
          <w:lang w:eastAsia="zh-TW"/>
        </w:rPr>
        <w:t>小時</w:t>
      </w:r>
      <w:r>
        <w:rPr>
          <w:color w:val="000000"/>
          <w:lang w:eastAsia="zh-TW"/>
        </w:rPr>
        <w:t>,</w:t>
      </w:r>
      <w:r>
        <w:rPr>
          <w:color w:val="000000"/>
          <w:lang w:eastAsia="zh-TW"/>
        </w:rPr>
        <w:t>以速度築起顛覆者難以跨越的護城河</w:t>
      </w:r>
      <w:r>
        <w:rPr>
          <w:color w:val="000000"/>
          <w:lang w:eastAsia="zh-TW"/>
        </w:rPr>
        <w:t xml:space="preserve">(CBA, </w:t>
      </w:r>
      <w:r>
        <w:rPr>
          <w:color w:val="000000"/>
          <w:lang w:eastAsia="zh-TW"/>
        </w:rPr>
        <w:lastRenderedPageBreak/>
        <w:t>2024)</w:t>
      </w:r>
      <w:r>
        <w:rPr>
          <w:color w:val="000000"/>
          <w:lang w:eastAsia="zh-TW"/>
        </w:rPr>
        <w:t>。第三</w:t>
      </w:r>
      <w:r>
        <w:rPr>
          <w:color w:val="000000"/>
          <w:lang w:eastAsia="zh-TW"/>
        </w:rPr>
        <w:t>,</w:t>
      </w:r>
      <w:r>
        <w:rPr>
          <w:color w:val="000000"/>
          <w:lang w:eastAsia="zh-TW"/>
        </w:rPr>
        <w:t>風險軸管理詐騙</w:t>
      </w:r>
      <w:proofErr w:type="gramStart"/>
      <w:r>
        <w:rPr>
          <w:color w:val="000000"/>
          <w:lang w:eastAsia="zh-TW"/>
        </w:rPr>
        <w:t>與資安</w:t>
      </w:r>
      <w:proofErr w:type="gramEnd"/>
      <w:r>
        <w:rPr>
          <w:color w:val="000000"/>
          <w:lang w:eastAsia="zh-TW"/>
        </w:rPr>
        <w:t xml:space="preserve">:NameCheck </w:t>
      </w:r>
      <w:r>
        <w:rPr>
          <w:color w:val="000000"/>
          <w:lang w:eastAsia="zh-TW"/>
        </w:rPr>
        <w:t>等防詐工具使客戶詐騙損失較</w:t>
      </w:r>
      <w:r>
        <w:rPr>
          <w:color w:val="000000"/>
          <w:lang w:eastAsia="zh-TW"/>
        </w:rPr>
        <w:t xml:space="preserve"> 2022 </w:t>
      </w:r>
      <w:r>
        <w:rPr>
          <w:color w:val="000000"/>
          <w:lang w:eastAsia="zh-TW"/>
        </w:rPr>
        <w:t>年底高峰下降</w:t>
      </w:r>
      <w:r>
        <w:rPr>
          <w:color w:val="000000"/>
          <w:lang w:eastAsia="zh-TW"/>
        </w:rPr>
        <w:t xml:space="preserve"> 76%,</w:t>
      </w:r>
      <w:r>
        <w:rPr>
          <w:color w:val="000000"/>
          <w:lang w:eastAsia="zh-TW"/>
        </w:rPr>
        <w:t>並持續加碼投入</w:t>
      </w:r>
      <w:r>
        <w:rPr>
          <w:color w:val="000000"/>
          <w:lang w:eastAsia="zh-TW"/>
        </w:rPr>
        <w:t>(CBA, 2025c)</w:t>
      </w:r>
      <w:r>
        <w:rPr>
          <w:color w:val="000000"/>
          <w:lang w:eastAsia="zh-TW"/>
        </w:rPr>
        <w:t>。就資源配置而言</w:t>
      </w:r>
      <w:r>
        <w:rPr>
          <w:color w:val="000000"/>
          <w:lang w:eastAsia="zh-TW"/>
        </w:rPr>
        <w:t>,</w:t>
      </w:r>
      <w:r>
        <w:rPr>
          <w:color w:val="000000"/>
          <w:lang w:eastAsia="zh-TW"/>
        </w:rPr>
        <w:t>筆者認為風險軸即時報酬最高、效率軸為長期護城河之本</w:t>
      </w:r>
      <w:r>
        <w:rPr>
          <w:color w:val="000000"/>
          <w:lang w:eastAsia="zh-TW"/>
        </w:rPr>
        <w:t>;</w:t>
      </w:r>
      <w:r>
        <w:rPr>
          <w:color w:val="000000"/>
          <w:lang w:eastAsia="zh-TW"/>
        </w:rPr>
        <w:t>展望未來</w:t>
      </w:r>
      <w:r>
        <w:rPr>
          <w:color w:val="000000"/>
          <w:lang w:eastAsia="zh-TW"/>
        </w:rPr>
        <w:t>,</w:t>
      </w:r>
      <w:proofErr w:type="gramStart"/>
      <w:r>
        <w:rPr>
          <w:color w:val="000000"/>
          <w:lang w:eastAsia="zh-TW"/>
        </w:rPr>
        <w:t>管理層宜將</w:t>
      </w:r>
      <w:proofErr w:type="gramEnd"/>
      <w:r>
        <w:rPr>
          <w:color w:val="000000"/>
          <w:lang w:eastAsia="zh-TW"/>
        </w:rPr>
        <w:t>領先的</w:t>
      </w:r>
      <w:r>
        <w:rPr>
          <w:color w:val="000000"/>
          <w:lang w:eastAsia="zh-TW"/>
        </w:rPr>
        <w:t xml:space="preserve"> AI </w:t>
      </w:r>
      <w:r>
        <w:rPr>
          <w:color w:val="000000"/>
          <w:lang w:eastAsia="zh-TW"/>
        </w:rPr>
        <w:t>地位轉化為可量化的成本收入比改善</w:t>
      </w:r>
      <w:r>
        <w:rPr>
          <w:color w:val="000000"/>
          <w:lang w:eastAsia="zh-TW"/>
        </w:rPr>
        <w:t>,</w:t>
      </w:r>
      <w:r>
        <w:rPr>
          <w:color w:val="000000"/>
          <w:lang w:eastAsia="zh-TW"/>
        </w:rPr>
        <w:t>持續鞏固結構性護城河</w:t>
      </w:r>
      <w:r>
        <w:rPr>
          <w:color w:val="000000"/>
          <w:lang w:eastAsia="zh-TW"/>
        </w:rPr>
        <w:t>;</w:t>
      </w:r>
      <w:r>
        <w:rPr>
          <w:color w:val="000000"/>
          <w:lang w:eastAsia="zh-TW"/>
        </w:rPr>
        <w:t>唯須同步強化資料治理與模型風險管理</w:t>
      </w:r>
      <w:r>
        <w:rPr>
          <w:color w:val="000000"/>
          <w:lang w:eastAsia="zh-TW"/>
        </w:rPr>
        <w:t>,</w:t>
      </w:r>
      <w:r>
        <w:rPr>
          <w:color w:val="000000"/>
          <w:lang w:eastAsia="zh-TW"/>
        </w:rPr>
        <w:t>方能將技術優勢穩健轉化為可持續的長期競爭力。</w:t>
      </w:r>
    </w:p>
    <w:p w14:paraId="211E4495" w14:textId="77777777" w:rsidR="002402E0" w:rsidRDefault="00000000">
      <w:pPr>
        <w:spacing w:after="80" w:line="360" w:lineRule="auto"/>
        <w:rPr>
          <w:lang w:eastAsia="zh-TW"/>
        </w:rPr>
      </w:pPr>
      <w:r>
        <w:rPr>
          <w:b/>
          <w:color w:val="000000"/>
          <w:sz w:val="22"/>
          <w:lang w:eastAsia="zh-TW"/>
        </w:rPr>
        <w:t>表二、挑戰</w:t>
      </w:r>
      <w:r>
        <w:rPr>
          <w:b/>
          <w:color w:val="000000"/>
          <w:sz w:val="22"/>
          <w:lang w:eastAsia="zh-TW"/>
        </w:rPr>
        <w:t xml:space="preserve"> → AI </w:t>
      </w:r>
      <w:r>
        <w:rPr>
          <w:b/>
          <w:color w:val="000000"/>
          <w:sz w:val="22"/>
          <w:lang w:eastAsia="zh-TW"/>
        </w:rPr>
        <w:t>能力</w:t>
      </w:r>
      <w:r>
        <w:rPr>
          <w:b/>
          <w:color w:val="000000"/>
          <w:sz w:val="22"/>
          <w:lang w:eastAsia="zh-TW"/>
        </w:rPr>
        <w:t xml:space="preserve"> → </w:t>
      </w:r>
      <w:r>
        <w:rPr>
          <w:b/>
          <w:color w:val="000000"/>
          <w:sz w:val="22"/>
          <w:lang w:eastAsia="zh-TW"/>
        </w:rPr>
        <w:t>效益對照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402E0" w14:paraId="540C3B32" w14:textId="77777777">
        <w:tc>
          <w:tcPr>
            <w:tcW w:w="2880" w:type="dxa"/>
            <w:shd w:val="clear" w:color="auto" w:fill="D9E2F3"/>
          </w:tcPr>
          <w:p w14:paraId="2139BAB5" w14:textId="77777777" w:rsidR="002402E0" w:rsidRDefault="00000000">
            <w:pPr>
              <w:spacing w:after="20" w:line="264" w:lineRule="auto"/>
            </w:pPr>
            <w:r>
              <w:rPr>
                <w:b/>
                <w:color w:val="000000"/>
                <w:sz w:val="19"/>
              </w:rPr>
              <w:t>產業挑戰</w:t>
            </w:r>
          </w:p>
        </w:tc>
        <w:tc>
          <w:tcPr>
            <w:tcW w:w="2880" w:type="dxa"/>
            <w:shd w:val="clear" w:color="auto" w:fill="D9E2F3"/>
          </w:tcPr>
          <w:p w14:paraId="3EBC7C88" w14:textId="77777777" w:rsidR="002402E0" w:rsidRDefault="00000000">
            <w:pPr>
              <w:spacing w:after="20" w:line="264" w:lineRule="auto"/>
              <w:rPr>
                <w:lang w:eastAsia="zh-TW"/>
              </w:rPr>
            </w:pPr>
            <w:r>
              <w:rPr>
                <w:b/>
                <w:color w:val="000000"/>
                <w:sz w:val="19"/>
                <w:lang w:eastAsia="zh-TW"/>
              </w:rPr>
              <w:t>對應</w:t>
            </w:r>
            <w:r>
              <w:rPr>
                <w:b/>
                <w:color w:val="000000"/>
                <w:sz w:val="19"/>
                <w:lang w:eastAsia="zh-TW"/>
              </w:rPr>
              <w:t xml:space="preserve"> AI </w:t>
            </w:r>
            <w:r>
              <w:rPr>
                <w:b/>
                <w:color w:val="000000"/>
                <w:sz w:val="19"/>
                <w:lang w:eastAsia="zh-TW"/>
              </w:rPr>
              <w:t>能力</w:t>
            </w:r>
            <w:r>
              <w:rPr>
                <w:b/>
                <w:color w:val="000000"/>
                <w:sz w:val="19"/>
                <w:lang w:eastAsia="zh-TW"/>
              </w:rPr>
              <w:t>(</w:t>
            </w:r>
            <w:r>
              <w:rPr>
                <w:b/>
                <w:color w:val="000000"/>
                <w:sz w:val="19"/>
                <w:lang w:eastAsia="zh-TW"/>
              </w:rPr>
              <w:t>評估軸與門檻</w:t>
            </w:r>
            <w:r>
              <w:rPr>
                <w:b/>
                <w:color w:val="000000"/>
                <w:sz w:val="19"/>
                <w:lang w:eastAsia="zh-TW"/>
              </w:rPr>
              <w:t>)</w:t>
            </w:r>
          </w:p>
        </w:tc>
        <w:tc>
          <w:tcPr>
            <w:tcW w:w="2880" w:type="dxa"/>
            <w:shd w:val="clear" w:color="auto" w:fill="D9E2F3"/>
          </w:tcPr>
          <w:p w14:paraId="600251E2" w14:textId="77777777" w:rsidR="002402E0" w:rsidRDefault="00000000">
            <w:pPr>
              <w:spacing w:after="20" w:line="264" w:lineRule="auto"/>
            </w:pPr>
            <w:r>
              <w:rPr>
                <w:b/>
                <w:color w:val="000000"/>
                <w:sz w:val="19"/>
              </w:rPr>
              <w:t>量化效益</w:t>
            </w:r>
          </w:p>
        </w:tc>
      </w:tr>
      <w:tr w:rsidR="002402E0" w14:paraId="005B0ADD" w14:textId="77777777">
        <w:tc>
          <w:tcPr>
            <w:tcW w:w="2880" w:type="dxa"/>
          </w:tcPr>
          <w:p w14:paraId="7447BCCF" w14:textId="77777777" w:rsidR="002402E0" w:rsidRDefault="00000000">
            <w:pPr>
              <w:spacing w:after="20" w:line="264" w:lineRule="auto"/>
            </w:pPr>
            <w:r>
              <w:rPr>
                <w:color w:val="000000"/>
                <w:sz w:val="19"/>
              </w:rPr>
              <w:t>獲利與利差受壓</w:t>
            </w:r>
          </w:p>
        </w:tc>
        <w:tc>
          <w:tcPr>
            <w:tcW w:w="2880" w:type="dxa"/>
          </w:tcPr>
          <w:p w14:paraId="7F23549F" w14:textId="77777777" w:rsidR="002402E0" w:rsidRDefault="00000000">
            <w:pPr>
              <w:spacing w:after="20" w:line="264" w:lineRule="auto"/>
              <w:rPr>
                <w:lang w:eastAsia="zh-TW"/>
              </w:rPr>
            </w:pPr>
            <w:r>
              <w:rPr>
                <w:color w:val="000000"/>
                <w:sz w:val="19"/>
                <w:lang w:eastAsia="zh-TW"/>
              </w:rPr>
              <w:t>效率軸</w:t>
            </w:r>
            <w:r>
              <w:rPr>
                <w:color w:val="000000"/>
                <w:sz w:val="19"/>
                <w:lang w:eastAsia="zh-TW"/>
              </w:rPr>
              <w:t xml:space="preserve">:CEE </w:t>
            </w:r>
            <w:r>
              <w:rPr>
                <w:color w:val="000000"/>
                <w:sz w:val="19"/>
                <w:lang w:eastAsia="zh-TW"/>
              </w:rPr>
              <w:t>與生成式</w:t>
            </w:r>
            <w:r>
              <w:rPr>
                <w:color w:val="000000"/>
                <w:sz w:val="19"/>
                <w:lang w:eastAsia="zh-TW"/>
              </w:rPr>
              <w:t xml:space="preserve"> AI </w:t>
            </w:r>
            <w:r>
              <w:rPr>
                <w:color w:val="000000"/>
                <w:sz w:val="19"/>
                <w:lang w:eastAsia="zh-TW"/>
              </w:rPr>
              <w:t>客服</w:t>
            </w:r>
            <w:r>
              <w:rPr>
                <w:color w:val="000000"/>
                <w:sz w:val="19"/>
                <w:lang w:eastAsia="zh-TW"/>
              </w:rPr>
              <w:t>(</w:t>
            </w:r>
            <w:r>
              <w:rPr>
                <w:color w:val="000000"/>
                <w:sz w:val="19"/>
                <w:lang w:eastAsia="zh-TW"/>
              </w:rPr>
              <w:t>門檻</w:t>
            </w:r>
            <w:r>
              <w:rPr>
                <w:color w:val="000000"/>
                <w:sz w:val="19"/>
                <w:lang w:eastAsia="zh-TW"/>
              </w:rPr>
              <w:t>:</w:t>
            </w:r>
            <w:r>
              <w:rPr>
                <w:color w:val="000000"/>
                <w:sz w:val="19"/>
                <w:lang w:eastAsia="zh-TW"/>
              </w:rPr>
              <w:t>成本收入比下行、等待縮短</w:t>
            </w:r>
            <w:r>
              <w:rPr>
                <w:color w:val="000000"/>
                <w:sz w:val="19"/>
                <w:lang w:eastAsia="zh-TW"/>
              </w:rPr>
              <w:t>)</w:t>
            </w:r>
          </w:p>
        </w:tc>
        <w:tc>
          <w:tcPr>
            <w:tcW w:w="2880" w:type="dxa"/>
          </w:tcPr>
          <w:p w14:paraId="097248AF" w14:textId="77777777" w:rsidR="002402E0" w:rsidRDefault="00000000">
            <w:pPr>
              <w:spacing w:after="20" w:line="264" w:lineRule="auto"/>
              <w:rPr>
                <w:lang w:eastAsia="zh-TW"/>
              </w:rPr>
            </w:pPr>
            <w:r>
              <w:rPr>
                <w:color w:val="000000"/>
                <w:sz w:val="19"/>
                <w:lang w:eastAsia="zh-TW"/>
              </w:rPr>
              <w:t>客服等待時間</w:t>
            </w:r>
            <w:proofErr w:type="gramStart"/>
            <w:r>
              <w:rPr>
                <w:color w:val="000000"/>
                <w:sz w:val="19"/>
                <w:lang w:eastAsia="zh-TW"/>
              </w:rPr>
              <w:t>一</w:t>
            </w:r>
            <w:proofErr w:type="gramEnd"/>
            <w:r>
              <w:rPr>
                <w:color w:val="000000"/>
                <w:sz w:val="19"/>
                <w:lang w:eastAsia="zh-TW"/>
              </w:rPr>
              <w:t>財年內</w:t>
            </w:r>
            <w:r>
              <w:rPr>
                <w:color w:val="000000"/>
                <w:sz w:val="19"/>
                <w:lang w:eastAsia="zh-TW"/>
              </w:rPr>
              <w:t xml:space="preserve"> -40%;</w:t>
            </w:r>
            <w:r>
              <w:rPr>
                <w:color w:val="000000"/>
                <w:sz w:val="19"/>
                <w:lang w:eastAsia="zh-TW"/>
              </w:rPr>
              <w:t>深化交叉銷售</w:t>
            </w:r>
          </w:p>
        </w:tc>
      </w:tr>
      <w:tr w:rsidR="002402E0" w14:paraId="6CFE364B" w14:textId="77777777">
        <w:tc>
          <w:tcPr>
            <w:tcW w:w="2880" w:type="dxa"/>
          </w:tcPr>
          <w:p w14:paraId="3FBC76FC" w14:textId="77777777" w:rsidR="002402E0" w:rsidRDefault="00000000">
            <w:pPr>
              <w:spacing w:after="20" w:line="264" w:lineRule="auto"/>
            </w:pPr>
            <w:proofErr w:type="gramStart"/>
            <w:r>
              <w:rPr>
                <w:color w:val="000000"/>
                <w:sz w:val="19"/>
              </w:rPr>
              <w:t>數位顛覆與競爭</w:t>
            </w:r>
            <w:r>
              <w:rPr>
                <w:color w:val="000000"/>
                <w:sz w:val="19"/>
              </w:rPr>
              <w:t>(</w:t>
            </w:r>
            <w:proofErr w:type="gramEnd"/>
            <w:r>
              <w:rPr>
                <w:color w:val="000000"/>
                <w:sz w:val="19"/>
              </w:rPr>
              <w:t>Macquarie +</w:t>
            </w:r>
            <w:proofErr w:type="gramStart"/>
            <w:r>
              <w:rPr>
                <w:color w:val="000000"/>
                <w:sz w:val="19"/>
              </w:rPr>
              <w:t>19%</w:t>
            </w:r>
            <w:r>
              <w:rPr>
                <w:color w:val="000000"/>
                <w:sz w:val="19"/>
              </w:rPr>
              <w:t>、</w:t>
            </w:r>
            <w:proofErr w:type="gramEnd"/>
            <w:r>
              <w:rPr>
                <w:color w:val="000000"/>
                <w:sz w:val="19"/>
              </w:rPr>
              <w:t>CDR)</w:t>
            </w:r>
          </w:p>
        </w:tc>
        <w:tc>
          <w:tcPr>
            <w:tcW w:w="2880" w:type="dxa"/>
          </w:tcPr>
          <w:p w14:paraId="3C2D6BF4" w14:textId="77777777" w:rsidR="002402E0" w:rsidRDefault="00000000">
            <w:pPr>
              <w:spacing w:after="20" w:line="264" w:lineRule="auto"/>
              <w:rPr>
                <w:lang w:eastAsia="zh-TW"/>
              </w:rPr>
            </w:pPr>
            <w:r>
              <w:rPr>
                <w:color w:val="000000"/>
                <w:sz w:val="19"/>
                <w:lang w:eastAsia="zh-TW"/>
              </w:rPr>
              <w:t>速度軸</w:t>
            </w:r>
            <w:r>
              <w:rPr>
                <w:color w:val="000000"/>
                <w:sz w:val="19"/>
                <w:lang w:eastAsia="zh-TW"/>
              </w:rPr>
              <w:t xml:space="preserve">:AI </w:t>
            </w:r>
            <w:r>
              <w:rPr>
                <w:color w:val="000000"/>
                <w:sz w:val="19"/>
                <w:lang w:eastAsia="zh-TW"/>
              </w:rPr>
              <w:t>加速信貸審批</w:t>
            </w:r>
            <w:r>
              <w:rPr>
                <w:color w:val="000000"/>
                <w:sz w:val="19"/>
                <w:lang w:eastAsia="zh-TW"/>
              </w:rPr>
              <w:t>(</w:t>
            </w:r>
            <w:r>
              <w:rPr>
                <w:color w:val="000000"/>
                <w:sz w:val="19"/>
                <w:lang w:eastAsia="zh-TW"/>
              </w:rPr>
              <w:t>門檻</w:t>
            </w:r>
            <w:r>
              <w:rPr>
                <w:color w:val="000000"/>
                <w:sz w:val="19"/>
                <w:lang w:eastAsia="zh-TW"/>
              </w:rPr>
              <w:t>:</w:t>
            </w:r>
            <w:r>
              <w:rPr>
                <w:color w:val="000000"/>
                <w:sz w:val="19"/>
                <w:lang w:eastAsia="zh-TW"/>
              </w:rPr>
              <w:t>核准</w:t>
            </w:r>
            <w:r>
              <w:rPr>
                <w:color w:val="000000"/>
                <w:sz w:val="19"/>
                <w:lang w:eastAsia="zh-TW"/>
              </w:rPr>
              <w:t xml:space="preserve"> &lt;10 </w:t>
            </w:r>
            <w:proofErr w:type="gramStart"/>
            <w:r>
              <w:rPr>
                <w:color w:val="000000"/>
                <w:sz w:val="19"/>
                <w:lang w:eastAsia="zh-TW"/>
              </w:rPr>
              <w:t>分鐘／</w:t>
            </w:r>
            <w:proofErr w:type="gramEnd"/>
            <w:r>
              <w:rPr>
                <w:color w:val="000000"/>
                <w:sz w:val="19"/>
                <w:lang w:eastAsia="zh-TW"/>
              </w:rPr>
              <w:t>年審</w:t>
            </w:r>
            <w:r>
              <w:rPr>
                <w:color w:val="000000"/>
                <w:sz w:val="19"/>
                <w:lang w:eastAsia="zh-TW"/>
              </w:rPr>
              <w:t xml:space="preserve"> &lt;2 </w:t>
            </w:r>
            <w:r>
              <w:rPr>
                <w:color w:val="000000"/>
                <w:sz w:val="19"/>
                <w:lang w:eastAsia="zh-TW"/>
              </w:rPr>
              <w:t>小時</w:t>
            </w:r>
            <w:r>
              <w:rPr>
                <w:color w:val="000000"/>
                <w:sz w:val="19"/>
                <w:lang w:eastAsia="zh-TW"/>
              </w:rPr>
              <w:t>)</w:t>
            </w:r>
          </w:p>
        </w:tc>
        <w:tc>
          <w:tcPr>
            <w:tcW w:w="2880" w:type="dxa"/>
          </w:tcPr>
          <w:p w14:paraId="35933FAA" w14:textId="77777777" w:rsidR="002402E0" w:rsidRDefault="00000000">
            <w:pPr>
              <w:spacing w:after="20" w:line="264" w:lineRule="auto"/>
              <w:rPr>
                <w:lang w:eastAsia="zh-TW"/>
              </w:rPr>
            </w:pPr>
            <w:r>
              <w:rPr>
                <w:color w:val="000000"/>
                <w:sz w:val="19"/>
                <w:lang w:eastAsia="zh-TW"/>
              </w:rPr>
              <w:t>房貸有條件核准</w:t>
            </w:r>
            <w:r>
              <w:rPr>
                <w:color w:val="000000"/>
                <w:sz w:val="19"/>
                <w:lang w:eastAsia="zh-TW"/>
              </w:rPr>
              <w:t xml:space="preserve"> &lt;10 </w:t>
            </w:r>
            <w:r>
              <w:rPr>
                <w:color w:val="000000"/>
                <w:sz w:val="19"/>
                <w:lang w:eastAsia="zh-TW"/>
              </w:rPr>
              <w:t>分鐘</w:t>
            </w:r>
            <w:r>
              <w:rPr>
                <w:color w:val="000000"/>
                <w:sz w:val="19"/>
                <w:lang w:eastAsia="zh-TW"/>
              </w:rPr>
              <w:t>;</w:t>
            </w:r>
            <w:r>
              <w:rPr>
                <w:color w:val="000000"/>
                <w:sz w:val="19"/>
                <w:lang w:eastAsia="zh-TW"/>
              </w:rPr>
              <w:t>業務信貸年審</w:t>
            </w:r>
            <w:r>
              <w:rPr>
                <w:color w:val="000000"/>
                <w:sz w:val="19"/>
                <w:lang w:eastAsia="zh-TW"/>
              </w:rPr>
              <w:t xml:space="preserve"> 14 </w:t>
            </w:r>
            <w:r>
              <w:rPr>
                <w:color w:val="000000"/>
                <w:sz w:val="19"/>
                <w:lang w:eastAsia="zh-TW"/>
              </w:rPr>
              <w:t>小時</w:t>
            </w:r>
            <w:r>
              <w:rPr>
                <w:color w:val="000000"/>
                <w:sz w:val="19"/>
                <w:lang w:eastAsia="zh-TW"/>
              </w:rPr>
              <w:t xml:space="preserve"> → 2 </w:t>
            </w:r>
            <w:r>
              <w:rPr>
                <w:color w:val="000000"/>
                <w:sz w:val="19"/>
                <w:lang w:eastAsia="zh-TW"/>
              </w:rPr>
              <w:t>小時</w:t>
            </w:r>
          </w:p>
        </w:tc>
      </w:tr>
      <w:tr w:rsidR="002402E0" w14:paraId="1D82C6C9" w14:textId="77777777">
        <w:tc>
          <w:tcPr>
            <w:tcW w:w="2880" w:type="dxa"/>
          </w:tcPr>
          <w:p w14:paraId="6F75DDC5" w14:textId="77777777" w:rsidR="002402E0" w:rsidRDefault="00000000">
            <w:pPr>
              <w:spacing w:after="20" w:line="264" w:lineRule="auto"/>
            </w:pPr>
            <w:r>
              <w:rPr>
                <w:color w:val="000000"/>
                <w:sz w:val="19"/>
              </w:rPr>
              <w:t>詐騙與資安風險</w:t>
            </w:r>
          </w:p>
        </w:tc>
        <w:tc>
          <w:tcPr>
            <w:tcW w:w="2880" w:type="dxa"/>
          </w:tcPr>
          <w:p w14:paraId="17C9B898" w14:textId="77777777" w:rsidR="002402E0" w:rsidRDefault="00000000">
            <w:pPr>
              <w:spacing w:after="20" w:line="264" w:lineRule="auto"/>
              <w:rPr>
                <w:lang w:eastAsia="zh-TW"/>
              </w:rPr>
            </w:pPr>
            <w:r>
              <w:rPr>
                <w:color w:val="000000"/>
                <w:sz w:val="19"/>
                <w:lang w:eastAsia="zh-TW"/>
              </w:rPr>
              <w:t>風險軸</w:t>
            </w:r>
            <w:r>
              <w:rPr>
                <w:color w:val="000000"/>
                <w:sz w:val="19"/>
                <w:lang w:eastAsia="zh-TW"/>
              </w:rPr>
              <w:t xml:space="preserve">:NameCheck </w:t>
            </w:r>
            <w:r>
              <w:rPr>
                <w:color w:val="000000"/>
                <w:sz w:val="19"/>
                <w:lang w:eastAsia="zh-TW"/>
              </w:rPr>
              <w:t>等防詐</w:t>
            </w:r>
            <w:r>
              <w:rPr>
                <w:color w:val="000000"/>
                <w:sz w:val="19"/>
                <w:lang w:eastAsia="zh-TW"/>
              </w:rPr>
              <w:t xml:space="preserve"> AI(</w:t>
            </w:r>
            <w:r>
              <w:rPr>
                <w:color w:val="000000"/>
                <w:sz w:val="19"/>
                <w:lang w:eastAsia="zh-TW"/>
              </w:rPr>
              <w:t>門檻</w:t>
            </w:r>
            <w:r>
              <w:rPr>
                <w:color w:val="000000"/>
                <w:sz w:val="19"/>
                <w:lang w:eastAsia="zh-TW"/>
              </w:rPr>
              <w:t>:</w:t>
            </w:r>
            <w:r>
              <w:rPr>
                <w:color w:val="000000"/>
                <w:sz w:val="19"/>
                <w:lang w:eastAsia="zh-TW"/>
              </w:rPr>
              <w:t>損失較高峰大幅下降</w:t>
            </w:r>
            <w:r>
              <w:rPr>
                <w:color w:val="000000"/>
                <w:sz w:val="19"/>
                <w:lang w:eastAsia="zh-TW"/>
              </w:rPr>
              <w:t>)</w:t>
            </w:r>
          </w:p>
        </w:tc>
        <w:tc>
          <w:tcPr>
            <w:tcW w:w="2880" w:type="dxa"/>
          </w:tcPr>
          <w:p w14:paraId="30BB5398" w14:textId="77777777" w:rsidR="002402E0" w:rsidRDefault="00000000">
            <w:pPr>
              <w:spacing w:after="20" w:line="264" w:lineRule="auto"/>
              <w:rPr>
                <w:lang w:eastAsia="zh-TW"/>
              </w:rPr>
            </w:pPr>
            <w:r>
              <w:rPr>
                <w:color w:val="000000"/>
                <w:sz w:val="19"/>
                <w:lang w:eastAsia="zh-TW"/>
              </w:rPr>
              <w:t>客戶詐騙損失自</w:t>
            </w:r>
            <w:r>
              <w:rPr>
                <w:color w:val="000000"/>
                <w:sz w:val="19"/>
                <w:lang w:eastAsia="zh-TW"/>
              </w:rPr>
              <w:t xml:space="preserve"> 2022 </w:t>
            </w:r>
            <w:r>
              <w:rPr>
                <w:color w:val="000000"/>
                <w:sz w:val="19"/>
                <w:lang w:eastAsia="zh-TW"/>
              </w:rPr>
              <w:t>年底高峰</w:t>
            </w:r>
            <w:r>
              <w:rPr>
                <w:color w:val="000000"/>
                <w:sz w:val="19"/>
                <w:lang w:eastAsia="zh-TW"/>
              </w:rPr>
              <w:t xml:space="preserve"> -76%;FY25 </w:t>
            </w:r>
            <w:r>
              <w:rPr>
                <w:color w:val="000000"/>
                <w:sz w:val="19"/>
                <w:lang w:eastAsia="zh-TW"/>
              </w:rPr>
              <w:t>投入約</w:t>
            </w:r>
            <w:r>
              <w:rPr>
                <w:color w:val="000000"/>
                <w:sz w:val="19"/>
                <w:lang w:eastAsia="zh-TW"/>
              </w:rPr>
              <w:t xml:space="preserve"> A$9 </w:t>
            </w:r>
            <w:r>
              <w:rPr>
                <w:color w:val="000000"/>
                <w:sz w:val="19"/>
                <w:lang w:eastAsia="zh-TW"/>
              </w:rPr>
              <w:t>億</w:t>
            </w:r>
          </w:p>
        </w:tc>
      </w:tr>
    </w:tbl>
    <w:p w14:paraId="3D10DB52" w14:textId="77777777" w:rsidR="002402E0" w:rsidRDefault="00000000">
      <w:pPr>
        <w:rPr>
          <w:lang w:eastAsia="zh-TW"/>
        </w:rPr>
      </w:pPr>
      <w:r>
        <w:rPr>
          <w:lang w:eastAsia="zh-TW"/>
        </w:rPr>
        <w:br w:type="page"/>
      </w:r>
    </w:p>
    <w:p w14:paraId="4ABAAB82" w14:textId="77777777" w:rsidR="002402E0" w:rsidRDefault="00000000">
      <w:pPr>
        <w:pStyle w:val="1"/>
        <w:spacing w:before="200" w:after="120" w:line="360" w:lineRule="auto"/>
      </w:pPr>
      <w:bookmarkStart w:id="4" w:name="_Toc234589035"/>
      <w:r>
        <w:rPr>
          <w:rFonts w:ascii="Times New Roman" w:eastAsia="微軟正黑體" w:hAnsi="Times New Roman"/>
          <w:color w:val="000000"/>
          <w:sz w:val="26"/>
        </w:rPr>
        <w:lastRenderedPageBreak/>
        <w:t>參考文獻</w:t>
      </w:r>
      <w:bookmarkEnd w:id="4"/>
    </w:p>
    <w:p w14:paraId="76528871" w14:textId="0E6005DB" w:rsidR="002402E0" w:rsidRDefault="00000000">
      <w:pPr>
        <w:spacing w:after="160" w:line="360" w:lineRule="auto"/>
        <w:ind w:left="720" w:hanging="720"/>
      </w:pPr>
      <w:r>
        <w:rPr>
          <w:color w:val="000000"/>
          <w:sz w:val="22"/>
        </w:rPr>
        <w:t xml:space="preserve">ANZ Group Holdings. (2025). 2025 full year result and proposed final dividend. </w:t>
      </w:r>
      <w:hyperlink r:id="rId8" w:history="1">
        <w:r w:rsidR="003B3511" w:rsidRPr="00475452">
          <w:rPr>
            <w:rStyle w:val="affa"/>
            <w:sz w:val="22"/>
          </w:rPr>
          <w:t>https://www.anz.com.au/newsroom/media/2025/november/2025-full-year-result---proposed-final-dividend/</w:t>
        </w:r>
      </w:hyperlink>
      <w:r w:rsidR="003B3511">
        <w:rPr>
          <w:rFonts w:hint="eastAsia"/>
          <w:color w:val="000000"/>
          <w:sz w:val="22"/>
          <w:lang w:eastAsia="zh-TW"/>
        </w:rPr>
        <w:t xml:space="preserve"> </w:t>
      </w:r>
    </w:p>
    <w:p w14:paraId="57495EAB" w14:textId="627F72F6" w:rsidR="002402E0" w:rsidRDefault="00000000">
      <w:pPr>
        <w:spacing w:after="160" w:line="360" w:lineRule="auto"/>
        <w:ind w:left="720" w:hanging="720"/>
      </w:pPr>
      <w:r>
        <w:rPr>
          <w:color w:val="000000"/>
          <w:sz w:val="22"/>
        </w:rPr>
        <w:t xml:space="preserve">Australian Broker News. (2025). Macquarie Bank's home loan book surges 19%, defying industry trends. </w:t>
      </w:r>
      <w:hyperlink r:id="rId9" w:history="1">
        <w:r w:rsidR="003B3511" w:rsidRPr="00475452">
          <w:rPr>
            <w:rStyle w:val="affa"/>
            <w:sz w:val="22"/>
          </w:rPr>
          <w:t>https://www.brokernews.com.au/</w:t>
        </w:r>
      </w:hyperlink>
      <w:r w:rsidR="003B3511">
        <w:rPr>
          <w:rFonts w:hint="eastAsia"/>
          <w:color w:val="000000"/>
          <w:sz w:val="22"/>
          <w:lang w:eastAsia="zh-TW"/>
        </w:rPr>
        <w:t xml:space="preserve"> </w:t>
      </w:r>
    </w:p>
    <w:p w14:paraId="34C1BDA2" w14:textId="2C1C27A5" w:rsidR="002402E0" w:rsidRDefault="00000000">
      <w:pPr>
        <w:spacing w:after="160" w:line="360" w:lineRule="auto"/>
        <w:ind w:left="720" w:hanging="720"/>
      </w:pPr>
      <w:r>
        <w:rPr>
          <w:color w:val="000000"/>
          <w:sz w:val="22"/>
        </w:rPr>
        <w:t xml:space="preserve">Australian Competition and Consumer Commission. (2024). Scam losses decline, but more work to do as Australians lose $2.7 billion. National Anti-Scam Centre. </w:t>
      </w:r>
      <w:hyperlink r:id="rId10" w:history="1">
        <w:r w:rsidR="003B3511" w:rsidRPr="00475452">
          <w:rPr>
            <w:rStyle w:val="affa"/>
            <w:sz w:val="22"/>
          </w:rPr>
          <w:t>https://www.accc.gov.au/media-release/scam-losses-decline-but-more-work-to-do-as-australians-lose-27-billion</w:t>
        </w:r>
      </w:hyperlink>
      <w:r w:rsidR="003B3511">
        <w:rPr>
          <w:rFonts w:hint="eastAsia"/>
          <w:color w:val="000000"/>
          <w:sz w:val="22"/>
          <w:lang w:eastAsia="zh-TW"/>
        </w:rPr>
        <w:t xml:space="preserve"> </w:t>
      </w:r>
    </w:p>
    <w:p w14:paraId="0794BED4" w14:textId="6ABE50A0" w:rsidR="002402E0" w:rsidRDefault="00000000">
      <w:pPr>
        <w:spacing w:after="160" w:line="360" w:lineRule="auto"/>
        <w:ind w:left="720" w:hanging="720"/>
      </w:pPr>
      <w:r>
        <w:rPr>
          <w:color w:val="000000"/>
          <w:sz w:val="22"/>
        </w:rPr>
        <w:t xml:space="preserve">Commonwealth Bank of Australia. (2024). Customer safety, convenience and recognition boosted by early implementation of Gen AI. </w:t>
      </w:r>
      <w:hyperlink r:id="rId11" w:history="1">
        <w:r w:rsidR="003B3511" w:rsidRPr="00475452">
          <w:rPr>
            <w:rStyle w:val="affa"/>
            <w:sz w:val="22"/>
          </w:rPr>
          <w:t>https://www.commbank.com.au/articles/newsroom/2024/11/reimagining-banking-nov24.html</w:t>
        </w:r>
      </w:hyperlink>
      <w:r w:rsidR="003B3511">
        <w:rPr>
          <w:rFonts w:hint="eastAsia"/>
          <w:color w:val="000000"/>
          <w:sz w:val="22"/>
          <w:lang w:eastAsia="zh-TW"/>
        </w:rPr>
        <w:t xml:space="preserve"> </w:t>
      </w:r>
    </w:p>
    <w:p w14:paraId="70698FB9" w14:textId="03C35770" w:rsidR="002402E0" w:rsidRDefault="00000000">
      <w:pPr>
        <w:spacing w:after="160" w:line="360" w:lineRule="auto"/>
        <w:ind w:left="720" w:hanging="720"/>
      </w:pPr>
      <w:r>
        <w:rPr>
          <w:color w:val="000000"/>
          <w:sz w:val="22"/>
        </w:rPr>
        <w:t xml:space="preserve">Commonwealth Bank of Australia. (2025a). CommBank ranks among world's best banks for AI maturity. </w:t>
      </w:r>
      <w:hyperlink r:id="rId12" w:history="1">
        <w:r w:rsidR="003B3511" w:rsidRPr="00475452">
          <w:rPr>
            <w:rStyle w:val="affa"/>
            <w:sz w:val="22"/>
          </w:rPr>
          <w:t>https://www.commbank.com.au/articles/newsroom/2025/10/commbank-among-best-banks-ai-maturity1.html</w:t>
        </w:r>
      </w:hyperlink>
      <w:r w:rsidR="003B3511">
        <w:rPr>
          <w:rFonts w:hint="eastAsia"/>
          <w:color w:val="000000"/>
          <w:sz w:val="22"/>
          <w:lang w:eastAsia="zh-TW"/>
        </w:rPr>
        <w:t xml:space="preserve"> </w:t>
      </w:r>
    </w:p>
    <w:p w14:paraId="1CBB9BB4" w14:textId="0C2A7798" w:rsidR="002402E0" w:rsidRDefault="00000000">
      <w:pPr>
        <w:spacing w:after="160" w:line="360" w:lineRule="auto"/>
        <w:ind w:left="720" w:hanging="720"/>
      </w:pPr>
      <w:r>
        <w:rPr>
          <w:color w:val="000000"/>
          <w:sz w:val="22"/>
        </w:rPr>
        <w:t xml:space="preserve">Commonwealth Bank of Australia. (2025b). FY25 full year results. Investor Relations. </w:t>
      </w:r>
      <w:hyperlink r:id="rId13" w:history="1">
        <w:r w:rsidR="003B3511" w:rsidRPr="00475452">
          <w:rPr>
            <w:rStyle w:val="affa"/>
            <w:sz w:val="22"/>
          </w:rPr>
          <w:t>https://www.commbank.com.au/about-us/investors/results.html</w:t>
        </w:r>
      </w:hyperlink>
      <w:r w:rsidR="003B3511">
        <w:rPr>
          <w:rFonts w:hint="eastAsia"/>
          <w:color w:val="000000"/>
          <w:sz w:val="22"/>
          <w:lang w:eastAsia="zh-TW"/>
        </w:rPr>
        <w:t xml:space="preserve"> </w:t>
      </w:r>
    </w:p>
    <w:p w14:paraId="645106A7" w14:textId="39CDE0D1" w:rsidR="002402E0" w:rsidRDefault="00000000">
      <w:pPr>
        <w:spacing w:after="160" w:line="360" w:lineRule="auto"/>
        <w:ind w:left="720" w:hanging="720"/>
      </w:pPr>
      <w:r>
        <w:rPr>
          <w:color w:val="000000"/>
          <w:sz w:val="22"/>
        </w:rPr>
        <w:t xml:space="preserve">Commonwealth Bank of Australia. (2025c). CBA sees customer scam losses fall by 76%. </w:t>
      </w:r>
      <w:hyperlink r:id="rId14" w:history="1">
        <w:r w:rsidR="003B3511" w:rsidRPr="00475452">
          <w:rPr>
            <w:rStyle w:val="affa"/>
            <w:sz w:val="22"/>
          </w:rPr>
          <w:t>https://www.commbank.com.au/articles/newsroom/2025/08/commbank-customer-scam-losses-fall-truyu.html</w:t>
        </w:r>
      </w:hyperlink>
      <w:r w:rsidR="003B3511">
        <w:rPr>
          <w:rFonts w:hint="eastAsia"/>
          <w:color w:val="000000"/>
          <w:sz w:val="22"/>
          <w:lang w:eastAsia="zh-TW"/>
        </w:rPr>
        <w:t xml:space="preserve"> </w:t>
      </w:r>
    </w:p>
    <w:p w14:paraId="137932B3" w14:textId="4B50FB06" w:rsidR="002402E0" w:rsidRDefault="00000000">
      <w:pPr>
        <w:spacing w:after="160" w:line="360" w:lineRule="auto"/>
        <w:ind w:left="720" w:hanging="720"/>
      </w:pPr>
      <w:r>
        <w:rPr>
          <w:color w:val="000000"/>
          <w:sz w:val="22"/>
        </w:rPr>
        <w:t xml:space="preserve">Davenport, T., Guha, A., Grewal, D., &amp; Bressgott, T. (2019). How artificial intelligence will change the future of marketing. Journal of the Academy of Marketing Science, 48(1), 24-42. </w:t>
      </w:r>
      <w:hyperlink r:id="rId15" w:history="1">
        <w:r w:rsidR="003B3511" w:rsidRPr="00475452">
          <w:rPr>
            <w:rStyle w:val="affa"/>
            <w:sz w:val="22"/>
          </w:rPr>
          <w:t>https://doi.org/10.1007/s11747-019-00696-0</w:t>
        </w:r>
      </w:hyperlink>
      <w:r w:rsidR="003B3511">
        <w:rPr>
          <w:rFonts w:hint="eastAsia"/>
          <w:color w:val="000000"/>
          <w:sz w:val="22"/>
          <w:lang w:eastAsia="zh-TW"/>
        </w:rPr>
        <w:t xml:space="preserve"> </w:t>
      </w:r>
    </w:p>
    <w:p w14:paraId="2B9AC470" w14:textId="78286DF8" w:rsidR="002402E0" w:rsidRDefault="00000000">
      <w:pPr>
        <w:spacing w:after="160" w:line="360" w:lineRule="auto"/>
        <w:ind w:left="720" w:hanging="720"/>
      </w:pPr>
      <w:r>
        <w:rPr>
          <w:color w:val="000000"/>
          <w:sz w:val="22"/>
        </w:rPr>
        <w:t>IBISWorld. (2025). National and regional commercial banks in Australia (Report No. K6221A). IBISWorld Industry Report. Retrieved via UTS Library.</w:t>
      </w:r>
    </w:p>
    <w:p w14:paraId="6B6EB422" w14:textId="67CF70B5" w:rsidR="002402E0" w:rsidRDefault="00000000">
      <w:pPr>
        <w:spacing w:after="160" w:line="360" w:lineRule="auto"/>
        <w:ind w:left="720" w:hanging="720"/>
      </w:pPr>
      <w:r>
        <w:rPr>
          <w:color w:val="000000"/>
          <w:sz w:val="22"/>
        </w:rPr>
        <w:t xml:space="preserve">National Australia Bank. (2025). 2025 full year results investor presentation. </w:t>
      </w:r>
      <w:hyperlink r:id="rId16" w:history="1">
        <w:r w:rsidR="003B3511" w:rsidRPr="00475452">
          <w:rPr>
            <w:rStyle w:val="affa"/>
            <w:sz w:val="22"/>
          </w:rPr>
          <w:t>https://www.nab.com.au/</w:t>
        </w:r>
      </w:hyperlink>
      <w:r w:rsidR="003B3511">
        <w:rPr>
          <w:rFonts w:hint="eastAsia"/>
          <w:color w:val="000000"/>
          <w:sz w:val="22"/>
          <w:lang w:eastAsia="zh-TW"/>
        </w:rPr>
        <w:t xml:space="preserve"> </w:t>
      </w:r>
    </w:p>
    <w:p w14:paraId="11016614" w14:textId="288922B9" w:rsidR="002402E0" w:rsidRDefault="00000000">
      <w:pPr>
        <w:spacing w:after="160" w:line="360" w:lineRule="auto"/>
        <w:ind w:left="720" w:hanging="720"/>
      </w:pPr>
      <w:r>
        <w:rPr>
          <w:color w:val="000000"/>
          <w:sz w:val="22"/>
        </w:rPr>
        <w:lastRenderedPageBreak/>
        <w:t xml:space="preserve">Roy Morgan Research. (2025). Commonwealth Bank are Australia's most trusted finance and insurance brands. </w:t>
      </w:r>
      <w:hyperlink r:id="rId17" w:history="1">
        <w:r w:rsidR="003B3511" w:rsidRPr="00475452">
          <w:rPr>
            <w:rStyle w:val="affa"/>
            <w:sz w:val="22"/>
          </w:rPr>
          <w:t>https://www.roymorgan.com/findings/10038-trusted-brand-awards-2025-finance-and-insurance-companies</w:t>
        </w:r>
      </w:hyperlink>
      <w:r w:rsidR="003B3511">
        <w:rPr>
          <w:rFonts w:hint="eastAsia"/>
          <w:color w:val="000000"/>
          <w:sz w:val="22"/>
          <w:lang w:eastAsia="zh-TW"/>
        </w:rPr>
        <w:t xml:space="preserve"> </w:t>
      </w:r>
    </w:p>
    <w:p w14:paraId="7DB5CC21" w14:textId="32BCB80C" w:rsidR="002402E0" w:rsidRDefault="00000000">
      <w:pPr>
        <w:spacing w:after="160" w:line="360" w:lineRule="auto"/>
        <w:ind w:left="720" w:hanging="720"/>
      </w:pPr>
      <w:r>
        <w:rPr>
          <w:color w:val="000000"/>
          <w:sz w:val="22"/>
        </w:rPr>
        <w:t xml:space="preserve">S&amp;P Global Market Intelligence. (2023). Competition to squeeze Australian bank profits in 2024 as COVID-era subsidy ends. </w:t>
      </w:r>
      <w:hyperlink r:id="rId18" w:history="1">
        <w:r w:rsidR="003B3511" w:rsidRPr="00475452">
          <w:rPr>
            <w:rStyle w:val="affa"/>
            <w:sz w:val="22"/>
          </w:rPr>
          <w:t>https://www.spglobal.com/</w:t>
        </w:r>
      </w:hyperlink>
      <w:r w:rsidR="003B3511">
        <w:rPr>
          <w:rFonts w:hint="eastAsia"/>
          <w:color w:val="000000"/>
          <w:sz w:val="22"/>
          <w:lang w:eastAsia="zh-TW"/>
        </w:rPr>
        <w:t xml:space="preserve"> </w:t>
      </w:r>
    </w:p>
    <w:sectPr w:rsidR="002402E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C5493D" w14:textId="77777777" w:rsidR="005735B5" w:rsidRDefault="005735B5" w:rsidP="003B3511">
      <w:pPr>
        <w:spacing w:after="0" w:line="240" w:lineRule="auto"/>
      </w:pPr>
      <w:r>
        <w:separator/>
      </w:r>
    </w:p>
  </w:endnote>
  <w:endnote w:type="continuationSeparator" w:id="0">
    <w:p w14:paraId="5330212C" w14:textId="77777777" w:rsidR="005735B5" w:rsidRDefault="005735B5" w:rsidP="003B35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7EB173" w14:textId="77777777" w:rsidR="005735B5" w:rsidRDefault="005735B5" w:rsidP="003B3511">
      <w:pPr>
        <w:spacing w:after="0" w:line="240" w:lineRule="auto"/>
      </w:pPr>
      <w:r>
        <w:separator/>
      </w:r>
    </w:p>
  </w:footnote>
  <w:footnote w:type="continuationSeparator" w:id="0">
    <w:p w14:paraId="14B57756" w14:textId="77777777" w:rsidR="005735B5" w:rsidRDefault="005735B5" w:rsidP="003B35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11495998">
    <w:abstractNumId w:val="8"/>
  </w:num>
  <w:num w:numId="2" w16cid:durableId="570508349">
    <w:abstractNumId w:val="6"/>
  </w:num>
  <w:num w:numId="3" w16cid:durableId="1977753265">
    <w:abstractNumId w:val="5"/>
  </w:num>
  <w:num w:numId="4" w16cid:durableId="802308533">
    <w:abstractNumId w:val="4"/>
  </w:num>
  <w:num w:numId="5" w16cid:durableId="1895508083">
    <w:abstractNumId w:val="7"/>
  </w:num>
  <w:num w:numId="6" w16cid:durableId="1094277651">
    <w:abstractNumId w:val="3"/>
  </w:num>
  <w:num w:numId="7" w16cid:durableId="1980259731">
    <w:abstractNumId w:val="2"/>
  </w:num>
  <w:num w:numId="8" w16cid:durableId="2016762945">
    <w:abstractNumId w:val="1"/>
  </w:num>
  <w:num w:numId="9" w16cid:durableId="17644521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402E0"/>
    <w:rsid w:val="0029639D"/>
    <w:rsid w:val="00326F90"/>
    <w:rsid w:val="003B3511"/>
    <w:rsid w:val="0040564F"/>
    <w:rsid w:val="005735B5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DEC9AC8"/>
  <w14:defaultImageDpi w14:val="300"/>
  <w15:docId w15:val="{839665D2-C456-4F9E-BA22-8A08300ED8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微軟正黑體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3B3511"/>
  </w:style>
  <w:style w:type="character" w:styleId="affa">
    <w:name w:val="Hyperlink"/>
    <w:basedOn w:val="a2"/>
    <w:uiPriority w:val="99"/>
    <w:unhideWhenUsed/>
    <w:rsid w:val="003B3511"/>
    <w:rPr>
      <w:color w:val="0000FF" w:themeColor="hyperlink"/>
      <w:u w:val="single"/>
    </w:rPr>
  </w:style>
  <w:style w:type="character" w:styleId="affb">
    <w:name w:val="Unresolved Mention"/>
    <w:basedOn w:val="a2"/>
    <w:uiPriority w:val="99"/>
    <w:semiHidden/>
    <w:unhideWhenUsed/>
    <w:rsid w:val="003B351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nz.com.au/newsroom/media/2025/november/2025-full-year-result---proposed-final-dividend/" TargetMode="External"/><Relationship Id="rId13" Type="http://schemas.openxmlformats.org/officeDocument/2006/relationships/hyperlink" Target="https://www.commbank.com.au/about-us/investors/results.html" TargetMode="External"/><Relationship Id="rId18" Type="http://schemas.openxmlformats.org/officeDocument/2006/relationships/hyperlink" Target="https://www.spglobal.com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commbank.com.au/articles/newsroom/2025/10/commbank-among-best-banks-ai-maturity1.html" TargetMode="External"/><Relationship Id="rId17" Type="http://schemas.openxmlformats.org/officeDocument/2006/relationships/hyperlink" Target="https://www.roymorgan.com/findings/10038-trusted-brand-awards-2025-finance-and-insurance-companies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nab.com.au/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commbank.com.au/articles/newsroom/2024/11/reimagining-banking-nov24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oi.org/10.1007/s11747-019-00696-0" TargetMode="External"/><Relationship Id="rId10" Type="http://schemas.openxmlformats.org/officeDocument/2006/relationships/hyperlink" Target="https://www.accc.gov.au/media-release/scam-losses-decline-but-more-work-to-do-as-australians-lose-27-billion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brokernews.com.au/" TargetMode="External"/><Relationship Id="rId14" Type="http://schemas.openxmlformats.org/officeDocument/2006/relationships/hyperlink" Target="https://www.commbank.com.au/articles/newsroom/2025/08/commbank-customer-scam-losses-fall-truyu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7</Pages>
  <Words>1601</Words>
  <Characters>4307</Characters>
  <Application>Microsoft Office Word</Application>
  <DocSecurity>0</DocSecurity>
  <Lines>143</Lines>
  <Paragraphs>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5813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Po-Kai Huang</cp:lastModifiedBy>
  <cp:revision>2</cp:revision>
  <dcterms:created xsi:type="dcterms:W3CDTF">2013-12-23T23:15:00Z</dcterms:created>
  <dcterms:modified xsi:type="dcterms:W3CDTF">2026-07-10T07:17:00Z</dcterms:modified>
  <cp:category/>
</cp:coreProperties>
</file>