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120"/>
        <w:jc w:val="center"/>
      </w:pPr>
      <w:r>
        <w:rPr>
          <w:rFonts w:ascii="Calibri" w:hAnsi="Calibri" w:eastAsia="微軟正黑體"/>
          <w:b/>
          <w:i w:val="0"/>
          <w:sz w:val="40"/>
        </w:rPr>
        <w:t>電信客戶流失預測概念驗證報告</w:t>
      </w:r>
    </w:p>
    <w:p>
      <w:pPr>
        <w:spacing w:after="120"/>
        <w:jc w:val="center"/>
      </w:pPr>
      <w:r>
        <w:rPr>
          <w:rFonts w:ascii="Calibri" w:hAnsi="Calibri" w:eastAsia="微軟正黑體"/>
          <w:b w:val="0"/>
          <w:i w:val="0"/>
          <w:sz w:val="28"/>
        </w:rPr>
        <w:t>評估任務二a:使用監督學習技術分析數據</w:t>
      </w:r>
    </w:p>
    <w:p/>
    <w:p>
      <w:pPr>
        <w:spacing w:after="80"/>
        <w:jc w:val="center"/>
      </w:pPr>
      <w:r>
        <w:rPr>
          <w:rFonts w:ascii="Calibri" w:hAnsi="Calibri" w:eastAsia="微軟正黑體"/>
          <w:b w:val="0"/>
          <w:i w:val="0"/>
          <w:sz w:val="24"/>
        </w:rPr>
        <w:t>課程:421104 Artificial Intelligence for Enterprises(企業人工智能)</w:t>
      </w:r>
    </w:p>
    <w:p>
      <w:pPr>
        <w:spacing w:after="80"/>
        <w:jc w:val="center"/>
      </w:pPr>
      <w:r>
        <w:rPr>
          <w:rFonts w:ascii="Calibri" w:hAnsi="Calibri" w:eastAsia="微軟正黑體"/>
          <w:b w:val="0"/>
          <w:i w:val="0"/>
          <w:sz w:val="24"/>
        </w:rPr>
        <w:t>姓名:黃柏凱(PoKai Huang)</w:t>
      </w:r>
    </w:p>
    <w:p>
      <w:pPr>
        <w:spacing w:after="80"/>
        <w:jc w:val="center"/>
      </w:pPr>
      <w:r>
        <w:rPr>
          <w:rFonts w:ascii="Calibri" w:hAnsi="Calibri" w:eastAsia="微軟正黑體"/>
          <w:b w:val="0"/>
          <w:i w:val="0"/>
          <w:sz w:val="24"/>
        </w:rPr>
        <w:t>學號:26254793</w:t>
      </w:r>
    </w:p>
    <w:p>
      <w:pPr>
        <w:spacing w:after="80"/>
        <w:jc w:val="center"/>
      </w:pPr>
      <w:r>
        <w:rPr>
          <w:rFonts w:ascii="Calibri" w:hAnsi="Calibri" w:eastAsia="微軟正黑體"/>
          <w:b w:val="0"/>
          <w:i w:val="0"/>
          <w:sz w:val="24"/>
        </w:rPr>
        <w:t>參考格式:APA 第 7 版</w:t>
      </w:r>
    </w:p>
    <w:p>
      <w:pPr>
        <w:spacing w:after="80"/>
        <w:jc w:val="center"/>
      </w:pPr>
      <w:r>
        <w:rPr>
          <w:rFonts w:ascii="Calibri" w:hAnsi="Calibri" w:eastAsia="微軟正黑體"/>
          <w:b w:val="0"/>
          <w:i w:val="0"/>
          <w:sz w:val="24"/>
        </w:rPr>
        <w:t>日期:2026 年 7 月</w:t>
      </w:r>
    </w:p>
    <w:p>
      <w:pPr>
        <w:spacing w:after="80"/>
        <w:jc w:val="center"/>
      </w:pPr>
      <w:r>
        <w:rPr>
          <w:rFonts w:ascii="Calibri" w:hAnsi="Calibri" w:eastAsia="微軟正黑體"/>
          <w:b w:val="0"/>
          <w:i w:val="0"/>
          <w:sz w:val="24"/>
        </w:rPr>
        <w:t>附件:Huang_26254793_421104_Assessment 2a.ipynb(完整程式與輸出)</w:t>
      </w:r>
    </w:p>
    <w:p>
      <w:r>
        <w:br w:type="page"/>
      </w:r>
    </w:p>
    <w:p>
      <w:pPr>
        <w:spacing w:after="120"/>
      </w:pPr>
      <w:r>
        <w:rPr>
          <w:rFonts w:ascii="Calibri" w:hAnsi="Calibri" w:eastAsia="微軟正黑體"/>
          <w:b/>
          <w:i w:val="0"/>
          <w:sz w:val="28"/>
        </w:rPr>
        <w:t>目錄</w:t>
      </w:r>
    </w:p>
    <w:p>
      <w:r>
        <w:fldChar w:fldCharType="begin" w:dirty="true"/>
        <w:instrText xml:space="preserve">TOC \o "1-1" \h \z \u</w:instrText>
        <w:fldChar w:fldCharType="separate"/>
        <w:t>(開啟文件後目錄將自動更新)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管理摘要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本報告為電信公司建立客戶流失(Churn)預測的概念驗證。以 3,333 筆手機使用數據比較六種分類模型,依事前訂定的規則推薦 XGBoost 為最終模型(測試集 accuracy 0.925、F1 0.715;RandomForest 表現相當,列為次選)。最終模型於測試集漏判 51 名實際流失客戶(False Negative),十二個月收入暴露上限約 A$35,926;以挽留成功率三成的情境估算,約 A$10,778 為可挽回價值。最重要變數為日間通話分鐘數;月費與客服來電次數為同層級第二梯隊;合約續約次之。第四節據此提出三項行動與優先順序。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一、分類模型的評估與推薦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沿用課程範本流程並加入方法改進:分層抽樣切分(70/30,random_state=42,兩集流失比例約 14.5%)、以 Pipeline 封裝使縮放只在訓練折內擬合、模型選擇僅使用訓練集的 5×5 重複分層交叉驗證(共 25 個折次);測試集不參與任何模型與配置選擇,僅於選模完成後用於最終評估與解釋。資料高度不平衡:把全部客戶預測為「不流失」也有 85.5% 的 accuracy,因此評估以 churn 類的 F 值、召回率(recall)與精確率(precision)為主,accuracy 為輔。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表一、六模型於 5×5 重複分層交叉驗證與保留測試集之表現(churn 類指標)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  <w:cantSplit/>
        </w:trPr>
        <w:tc>
          <w:tcPr>
            <w:tcW w:type="dxa" w:w="1440"/>
          </w:tcPr>
          <w:p>
            <w:r>
              <w:rPr>
                <w:rFonts w:ascii="Calibri" w:hAnsi="Calibri" w:eastAsia="微軟正黑體"/>
                <w:b/>
                <w:i w:val="0"/>
                <w:sz w:val="19"/>
              </w:rPr>
              <w:t>模型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/>
                <w:i w:val="0"/>
                <w:sz w:val="19"/>
              </w:rPr>
              <w:t>CV F1(mean±std)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/>
                <w:i w:val="0"/>
                <w:sz w:val="19"/>
              </w:rPr>
              <w:t>測試 Accuracy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/>
                <w:i w:val="0"/>
                <w:sz w:val="19"/>
              </w:rPr>
              <w:t>測試 Precision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/>
                <w:i w:val="0"/>
                <w:sz w:val="19"/>
              </w:rPr>
              <w:t>測試 Recall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/>
                <w:i w:val="0"/>
                <w:sz w:val="19"/>
              </w:rPr>
              <w:t>測試 F1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XGBoost(推薦)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0.732 ± 0.053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0.925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0.797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0.648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0.715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RandomForest(次選)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0.732 ± 0.053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0.935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0.864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0.655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0.745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SVC(balanced)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0.652 ± 0.034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0.854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0.498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0.807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0.616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DecisionTree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0.625 ± 0.047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0.878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0.578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0.586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0.582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KNN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0.555 ± 0.042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0.892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0.713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0.428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0.535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LogisticRegression(balanced)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0.483 ± 0.028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0.765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0.356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0.766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0.486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註:資料來源為附件 notebook 第八、九節輸出;CV 僅用訓練集,測試集不參與模型與配置選擇。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結果如表一與圖一:XGBoost 與 RandomForest 明顯領先其餘四模型,交叉驗證 F1 幾乎相同(0.732 對 0.732),經重複交叉驗證的校正檢定(Nadeau &amp; Bengio, 2003),F1、recall、precision 皆無統計顯著差異。兩模型性能相當,故依事前訂定的業務平手規則裁決:流失情境下 recall 直接對應漏抓的流失客戶,取 recall 均值較高的 XGBoost(0.656 對 0.639)為最終模型——此為規則選定,而非性能勝出。單次測試集上 RandomForest 的 F1(0.745)較高,惟成對 bootstrap 95% 信賴區間 [−0.001, +0.064] 與零相容;依協議不以測試集回選,RandomForest 列為次選。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圖一、六分類器於保留測試集之表現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94960" cy="25555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model_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555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註:虛線為「全猜不流失」的 accuracy 基準(85.5%)。資料來源:附件 notebook 第九節。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二、最佳模型誤判造成的收入損失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混淆矩陣(圖二)中的 False Negative(FN)是實際流失卻被預測為留存的客戶:公司不會對其啟動挽留,收入默默流失。XGBoost 於測試集(1,000 筆,含 145 名流失者)產生 51 名 FN,其實際月費合計 A$2,993.8(平均每人每月 A$58.7)。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圖二、XGBoost 測試集混淆矩陣(FN = 51)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94960" cy="47205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confusion_winn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4720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註:FN = 實際流失(1)而被預測為留存(0)。資料來源:附件 notebook 第十節。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損失以三層呈現(表二):以留存十二個月為基準情境,毛收入暴露上限約 A$35,926;獲取新客成本為留客的五至二十五倍(Gallo, 2014),故設挽留成功率 30% 的管理情境,預期可挽回價值約 A$10,778。將測試集 FN 率外推至全體 483 名流失者,預估漏抓約 170 人、年暴露約 A$119,669,屬量級參考而非預測。本估算為毛收入口徑的範圍界定:未扣除毛利率、挽留方案成本與自然回流,實際淨損失視此三者而定(表二附 6/24 個月敏感度)。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表二、FN 收入損失三層估算(依 FN 個體實際月費)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  <w:cantSplit/>
        </w:trPr>
        <w:tc>
          <w:tcPr>
            <w:tcW w:type="dxa" w:w="2160"/>
          </w:tcPr>
          <w:p>
            <w:r>
              <w:rPr>
                <w:rFonts w:ascii="Calibri" w:hAnsi="Calibri" w:eastAsia="微軟正黑體"/>
                <w:b/>
                <w:i w:val="0"/>
                <w:sz w:val="19"/>
              </w:rPr>
              <w:t>留存假設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軟正黑體"/>
                <w:b/>
                <w:i w:val="0"/>
                <w:sz w:val="19"/>
              </w:rPr>
              <w:t>測試集 FN 毛暴露上限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軟正黑體"/>
                <w:b/>
                <w:i w:val="0"/>
                <w:sz w:val="19"/>
              </w:rPr>
              <w:t>預期可挽回(@30%)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軟正黑體"/>
                <w:b/>
                <w:i w:val="0"/>
                <w:sz w:val="19"/>
              </w:rPr>
              <w:t>全資料集預估 FN 暴露(推估)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6 個月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A$17,963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A$5,389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A$59,835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12 個月(基準)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A$35,926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A$10,778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A$119,669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24 個月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A$71,851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A$21,555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A$239,339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註:挽留成功率 30% 為管理情境假設;挽留之高報酬依據為獲客成本高於留客五至二十五倍(Gallo, 2014)。全資料集欄以測試集 FN 率外推(約 170 人),屬量級推估。資料來源:附件 notebook 第十一節。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三、最重要屬性的識別與領域解釋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各模型原生重要度排序並不一致,單看任一模型不足以下結論,故以最終模型在測試集上的 permutation importance 裁決(重複 30 次、以 F1 評分):日間通話分鐘數(DayMins)在 30 次重複中全數排名第一;月費(MonthlyCharge)與客服來電次數(CustServCalls)互有領先(23/30),屬同層級第二梯隊;合約續約(ContractRenewal)多數位居第四(圖三)。此一致性屬同一已擬合模型與同一測試集內的結果,而非跨樣本重訓的穩健性宣稱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圖三、Permutation importance(測試集,重複 30 次,scoring=F1)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94960" cy="30828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perm_import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82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註:橫軸為打亂該欄後 F1 的平均降幅(±標準差)。資料來源:附件 notebook 第十三節。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原始資料的群組差異支持此結果(表三):流失者的日間通話、月費與客服來電均較高,續約率明顯較低。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表三、重要變數於流失/未流失群組的平均值差異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  <w:cantSplit/>
        </w:trPr>
        <w:tc>
          <w:tcPr>
            <w:tcW w:type="dxa" w:w="2160"/>
          </w:tcPr>
          <w:p>
            <w:r>
              <w:rPr>
                <w:rFonts w:ascii="Calibri" w:hAnsi="Calibri" w:eastAsia="微軟正黑體"/>
                <w:b/>
                <w:i w:val="0"/>
                <w:sz w:val="19"/>
              </w:rPr>
              <w:t>變數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軟正黑體"/>
                <w:b/>
                <w:i w:val="0"/>
                <w:sz w:val="19"/>
              </w:rPr>
              <w:t>未流失(Churn=0)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軟正黑體"/>
                <w:b/>
                <w:i w:val="0"/>
                <w:sz w:val="19"/>
              </w:rPr>
              <w:t>流失(Churn=1)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軟正黑體"/>
                <w:b/>
                <w:i w:val="0"/>
                <w:sz w:val="19"/>
              </w:rPr>
              <w:t>差異方向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DayMins(日間通話分鐘)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175.2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206.9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流失者較高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MonthlyCharge(月費, A$)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55.8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59.2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流失者較高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CustServCalls(客服來電次數)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1.45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2.23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流失者較高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ContractRenewal(續約率)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93.5%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71.6%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軟正黑體"/>
                <w:b w:val="0"/>
                <w:i w:val="0"/>
                <w:sz w:val="19"/>
              </w:rPr>
              <w:t>流失者較低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註:全體 3,333 筆之群組平均。資料來源:附件 notebook 第十四節。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領域解釋(與資料一致的假說,非因果結論):高用量客戶帳單高,可能對資費與體驗較敏感——與電信文獻「重度使用為流失關鍵預測因子」一致(Ahmad et al., 2019);頻繁致電客服是可觀察的不滿信號;未續約客戶轉換成本低。另 DayMins 與 MonthlyCharge 中度相關(r = 0.57),重要度可能互相分攤,宜視為同一「高用量-高帳單」信號;流失模型的價值正在於及早識別此類高風險組合(Neslin et al., 2006)。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四、降低客戶流失率的策略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挽留策略完全建立於第三節識別的變數,由模型評分驅動:每月以 XGBoost 對全體客戶評分,高風險名單交由挽留團隊執行三項行動。試點門檻、覆蓋與該群實際流失率見表四:三個門檻群流失率為全體的 1.8 至 2.9 倍,確實鎖定高風險客群;門檻於正式上線前依模型分數細調。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表四、三項行動之試點設計與決策矩陣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blHeader w:val="true"/>
          <w:cantSplit/>
        </w:trPr>
        <w:tc>
          <w:tcPr>
            <w:tcW w:type="dxa" w:w="1234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行動(對應變數)</w:t>
            </w:r>
          </w:p>
        </w:tc>
        <w:tc>
          <w:tcPr>
            <w:tcW w:type="dxa" w:w="1234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試點門檻</w:t>
            </w:r>
          </w:p>
        </w:tc>
        <w:tc>
          <w:tcPr>
            <w:tcW w:type="dxa" w:w="1234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覆蓋客群</w:t>
            </w:r>
          </w:p>
        </w:tc>
        <w:tc>
          <w:tcPr>
            <w:tcW w:type="dxa" w:w="1234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該群流失率(倍數)</w:t>
            </w:r>
          </w:p>
        </w:tc>
        <w:tc>
          <w:tcPr>
            <w:tcW w:type="dxa" w:w="1234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成本/時程</w:t>
            </w:r>
          </w:p>
        </w:tc>
        <w:tc>
          <w:tcPr>
            <w:tcW w:type="dxa" w:w="1234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負責單位</w:t>
            </w:r>
          </w:p>
        </w:tc>
        <w:tc>
          <w:tcPr>
            <w:tcW w:type="dxa" w:w="1234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優先</w:t>
            </w:r>
          </w:p>
        </w:tc>
      </w:tr>
      <w:tr>
        <w:trPr>
          <w:cantSplit/>
        </w:trPr>
        <w:tc>
          <w:tcPr>
            <w:tcW w:type="dxa" w:w="1234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一、服務恢復</w:t>
              <w:br/>
              <w:t>(CustServCalls)</w:t>
            </w:r>
          </w:p>
        </w:tc>
        <w:tc>
          <w:tcPr>
            <w:tcW w:type="dxa" w:w="1234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來電 ≥3 次</w:t>
            </w:r>
          </w:p>
        </w:tc>
        <w:tc>
          <w:tcPr>
            <w:tcW w:type="dxa" w:w="1234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696 人(21%)</w:t>
            </w:r>
          </w:p>
        </w:tc>
        <w:tc>
          <w:tcPr>
            <w:tcW w:type="dxa" w:w="1234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26.1%(1.8×)</w:t>
            </w:r>
          </w:p>
        </w:tc>
        <w:tc>
          <w:tcPr>
            <w:tcW w:type="dxa" w:w="1234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低/即刻</w:t>
            </w:r>
          </w:p>
        </w:tc>
        <w:tc>
          <w:tcPr>
            <w:tcW w:type="dxa" w:w="1234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客服部</w:t>
            </w:r>
          </w:p>
        </w:tc>
        <w:tc>
          <w:tcPr>
            <w:tcW w:type="dxa" w:w="1234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1234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二、續約轉化</w:t>
              <w:br/>
              <w:t>(ContractRenewal)</w:t>
            </w:r>
          </w:p>
        </w:tc>
        <w:tc>
          <w:tcPr>
            <w:tcW w:type="dxa" w:w="1234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未續約</w:t>
            </w:r>
          </w:p>
        </w:tc>
        <w:tc>
          <w:tcPr>
            <w:tcW w:type="dxa" w:w="1234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323 人(10%)</w:t>
            </w:r>
          </w:p>
        </w:tc>
        <w:tc>
          <w:tcPr>
            <w:tcW w:type="dxa" w:w="1234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42.4%(2.9×)</w:t>
            </w:r>
          </w:p>
        </w:tc>
        <w:tc>
          <w:tcPr>
            <w:tcW w:type="dxa" w:w="1234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中/1–2 月</w:t>
            </w:r>
          </w:p>
        </w:tc>
        <w:tc>
          <w:tcPr>
            <w:tcW w:type="dxa" w:w="1234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行銷部</w:t>
            </w:r>
          </w:p>
        </w:tc>
        <w:tc>
          <w:tcPr>
            <w:tcW w:type="dxa" w:w="1234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234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三、資費重組</w:t>
              <w:br/>
              <w:t>(DayMins/MonthlyCharge)</w:t>
            </w:r>
          </w:p>
        </w:tc>
        <w:tc>
          <w:tcPr>
            <w:tcW w:type="dxa" w:w="1234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日通話 ≥216 分且月費 ≥ 中位(A$53.5)</w:t>
            </w:r>
          </w:p>
        </w:tc>
        <w:tc>
          <w:tcPr>
            <w:tcW w:type="dxa" w:w="1234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767 人(23%)</w:t>
            </w:r>
          </w:p>
        </w:tc>
        <w:tc>
          <w:tcPr>
            <w:tcW w:type="dxa" w:w="1234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31.3%(2.2×)</w:t>
            </w:r>
          </w:p>
        </w:tc>
        <w:tc>
          <w:tcPr>
            <w:tcW w:type="dxa" w:w="1234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中高/3–6 月</w:t>
            </w:r>
          </w:p>
        </w:tc>
        <w:tc>
          <w:tcPr>
            <w:tcW w:type="dxa" w:w="1234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資費部</w:t>
            </w:r>
          </w:p>
        </w:tc>
        <w:tc>
          <w:tcPr>
            <w:tcW w:type="dxa" w:w="1234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3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註:覆蓋與流失率為全資料集實算(附件 notebook);倍數 = 該群流失率 ÷ 全體 14.5%。各行動共同停止條件:試點三個月後該群流失率未優於隨機對照組即停止。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行動一(對應 CustServCalls)服務恢復:來電達門檻即觸發專員回訪與問題升級,直接處理不滿來源。行動二(對應 ContractRenewal)續約轉化:向未續約的高風險客戶提供限時續約優惠,鎖定流失最集中的客群。行動三(對應 DayMins 與 MonthlyCharge)高用量資費重組:主動推薦封頂或客製方案,預防帳單震撼。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優先順序為一、二、三(表四)。各行動以試點先行、隨機保留對照組,三個月檢視 KPI,該群流失率未優於對照組即停止並檢討。以 30% 挽留情境計,年可挽回毛收入 A$10,778 可作為行動一、二試點成本的粗略上限參考(未調整毛利率)。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結論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本概念驗證確認:現有數據即可建立可用的流失預測模型;XGBoost 為依事前規則選定的推薦模型;誤判成本可量化為挽留投資的依據;重要變數排序於重複檢驗中一致且具清楚業務意涵。建議先將行動一試點上線,三個月後以 KPI 檢視並逐步擴大。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參考文獻</w:t>
      </w:r>
    </w:p>
    <w:p>
      <w:pPr>
        <w:spacing w:after="120"/>
        <w:ind w:left="720" w:hanging="720"/>
      </w:pPr>
      <w:r>
        <w:rPr>
          <w:rFonts w:ascii="Calibri" w:hAnsi="Calibri" w:eastAsia="微軟正黑體"/>
          <w:b w:val="0"/>
          <w:i w:val="0"/>
          <w:sz w:val="21"/>
        </w:rPr>
        <w:t xml:space="preserve">Ahmad, A. K., Jafar, A., &amp; Aljoumaa, K. (2019). Customer churn prediction in telecom using machine learning in big data platform. </w:t>
      </w:r>
      <w:r>
        <w:rPr>
          <w:rFonts w:ascii="Calibri" w:hAnsi="Calibri" w:eastAsia="微軟正黑體"/>
          <w:b w:val="0"/>
          <w:i/>
          <w:sz w:val="21"/>
        </w:rPr>
        <w:t>Journal of Big Data, 6</w:t>
      </w:r>
      <w:r>
        <w:rPr>
          <w:rFonts w:ascii="Calibri" w:hAnsi="Calibri" w:eastAsia="微軟正黑體"/>
          <w:b w:val="0"/>
          <w:i w:val="0"/>
          <w:sz w:val="21"/>
        </w:rPr>
        <w:t>, Article 28. https://doi.org/10.1186/s40537-019-0191-6</w:t>
      </w:r>
    </w:p>
    <w:p>
      <w:pPr>
        <w:spacing w:after="120"/>
        <w:ind w:left="720" w:hanging="720"/>
      </w:pPr>
      <w:r>
        <w:rPr>
          <w:rFonts w:ascii="Calibri" w:hAnsi="Calibri" w:eastAsia="微軟正黑體"/>
          <w:b w:val="0"/>
          <w:i w:val="0"/>
          <w:sz w:val="21"/>
        </w:rPr>
        <w:t xml:space="preserve">Gallo, A. (2014, October 29). The value of keeping the right customers. </w:t>
      </w:r>
      <w:r>
        <w:rPr>
          <w:rFonts w:ascii="Calibri" w:hAnsi="Calibri" w:eastAsia="微軟正黑體"/>
          <w:b w:val="0"/>
          <w:i/>
          <w:sz w:val="21"/>
        </w:rPr>
        <w:t>Harvard Business Review</w:t>
      </w:r>
      <w:r>
        <w:rPr>
          <w:rFonts w:ascii="Calibri" w:hAnsi="Calibri" w:eastAsia="微軟正黑體"/>
          <w:b w:val="0"/>
          <w:i w:val="0"/>
          <w:sz w:val="21"/>
        </w:rPr>
        <w:t>. https://hbr.org/2014/10/the-value-of-keeping-the-right-customers</w:t>
      </w:r>
    </w:p>
    <w:p>
      <w:pPr>
        <w:spacing w:after="120"/>
        <w:ind w:left="720" w:hanging="720"/>
      </w:pPr>
      <w:r>
        <w:rPr>
          <w:rFonts w:ascii="Calibri" w:hAnsi="Calibri" w:eastAsia="微軟正黑體"/>
          <w:b w:val="0"/>
          <w:i w:val="0"/>
          <w:sz w:val="21"/>
        </w:rPr>
        <w:t xml:space="preserve">Nadeau, C., &amp; Bengio, Y. (2003). Inference for the generalization error. </w:t>
      </w:r>
      <w:r>
        <w:rPr>
          <w:rFonts w:ascii="Calibri" w:hAnsi="Calibri" w:eastAsia="微軟正黑體"/>
          <w:b w:val="0"/>
          <w:i/>
          <w:sz w:val="21"/>
        </w:rPr>
        <w:t>Machine Learning, 52</w:t>
      </w:r>
      <w:r>
        <w:rPr>
          <w:rFonts w:ascii="Calibri" w:hAnsi="Calibri" w:eastAsia="微軟正黑體"/>
          <w:b w:val="0"/>
          <w:i w:val="0"/>
          <w:sz w:val="21"/>
        </w:rPr>
        <w:t>(3), 239–281. https://doi.org/10.1023/A:1024068626366</w:t>
      </w:r>
    </w:p>
    <w:p>
      <w:pPr>
        <w:spacing w:after="120"/>
        <w:ind w:left="720" w:hanging="720"/>
      </w:pPr>
      <w:r>
        <w:rPr>
          <w:rFonts w:ascii="Calibri" w:hAnsi="Calibri" w:eastAsia="微軟正黑體"/>
          <w:b w:val="0"/>
          <w:i w:val="0"/>
          <w:sz w:val="21"/>
        </w:rPr>
        <w:t xml:space="preserve">Neslin, S. A., Gupta, S., Kamakura, W., Lu, J., &amp; Mason, C. H. (2006). Defection detection: Measuring and understanding the predictive accuracy of customer churn models. </w:t>
      </w:r>
      <w:r>
        <w:rPr>
          <w:rFonts w:ascii="Calibri" w:hAnsi="Calibri" w:eastAsia="微軟正黑體"/>
          <w:b w:val="0"/>
          <w:i/>
          <w:sz w:val="21"/>
        </w:rPr>
        <w:t>Journal of Marketing Research, 43</w:t>
      </w:r>
      <w:r>
        <w:rPr>
          <w:rFonts w:ascii="Calibri" w:hAnsi="Calibri" w:eastAsia="微軟正黑體"/>
          <w:b w:val="0"/>
          <w:i w:val="0"/>
          <w:sz w:val="21"/>
        </w:rPr>
        <w:t>(2), 204–211. https://doi.org/10.1509/jmkr.43.2.204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軟正黑體"/>
        <w:b w:val="0"/>
        <w:i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軟正黑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