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40" w:line="360" w:lineRule="auto"/>
        <w:jc w:val="center"/>
      </w:pPr>
      <w:r>
        <w:rPr>
          <w:rFonts w:ascii="Times New Roman" w:hAnsi="Times New Roman" w:eastAsia="Microsoft JhengHei"/>
          <w:b/>
          <w:color w:val="000000"/>
          <w:sz w:val="36"/>
        </w:rPr>
        <w:t>AI 如何協助澳洲聯邦銀行(CBA)為數位未來做準備</w:t>
      </w:r>
    </w:p>
    <w:p>
      <w:pPr>
        <w:spacing w:after="880" w:line="360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5"/>
        </w:rPr>
        <w:t>以「競爭護城河 vs 顛覆威脅」為主軸 — 評估任務一:人工智能在商業中的應用案例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課程:421104 Artificial Intelligence for Enterprises(企業人工智能)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姓名:黃柏凱(PoKai Huang)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學號:26254793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參考格式:APA 第 7 版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4"/>
        </w:rPr>
        <w:t>日期:2026 年 7 月</w:t>
      </w:r>
    </w:p>
    <w:p>
      <w:pPr>
        <w:spacing w:after="80" w:line="312" w:lineRule="auto"/>
        <w:jc w:val="center"/>
      </w:pPr>
      <w:r>
        <w:rPr>
          <w:rFonts w:ascii="Times New Roman" w:hAnsi="Times New Roman" w:eastAsia="Microsoft JhengHei"/>
          <w:b w:val="0"/>
          <w:color w:val="000000"/>
          <w:sz w:val="23"/>
        </w:rPr>
        <w:t>正文字數:約 730 中文字／Word 字數約 839(不含標題頁、目錄、表格與參考文獻)</w:t>
      </w:r>
    </w:p>
    <w:p>
      <w:r>
        <w:br w:type="page"/>
      </w:r>
    </w:p>
    <w:p>
      <w:pPr>
        <w:spacing w:after="200" w:line="360" w:lineRule="auto"/>
        <w:jc w:val="center"/>
      </w:pPr>
      <w:r>
        <w:rPr>
          <w:rFonts w:ascii="Times New Roman" w:hAnsi="Times New Roman" w:eastAsia="Microsoft JhengHei"/>
          <w:b/>
          <w:color w:val="000000"/>
          <w:sz w:val="30"/>
        </w:rPr>
        <w:t>目錄</w:t>
      </w:r>
    </w:p>
    <w:p>
      <w:r>
        <w:fldChar w:fldCharType="begin"/>
        <w:instrText xml:space="preserve">TOC \o "1-1" \h \z \u</w:instrText>
        <w:fldChar w:fldCharType="separate"/>
        <w:t>(在 Word 中對此處按右鍵 → 更新功能變數,即顯示章節與頁碼)</w:t>
        <w:fldChar w:fldCharType="end"/>
      </w:r>
    </w:p>
    <w:p>
      <w:r>
        <w:br w:type="page"/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一、引言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澳洲聯邦銀行(Commonwealth Bank of Australia, CBA)為澳洲最大零售與商業銀行,2025 年產業市占 21.7%,於四大行合計 75.6% 的寡占格局中居首;服務約 1,700 萬客戶(約人口 67%),形成同業難以複製的規模與資料護城河(IBISWorld, 2025)。CBA 更於 Evident AI Index 2025 名列全球第 4、亞太第 1(Commonwealth Bank of Australia [CBA], 2025a)。本報告以「競爭護城河 vs 顛覆威脅」為主軸,論證在利差收窄與數位顛覆並存下,CBA 如何以 AI 深化護城河、回擊 Macquarie 與 fintech,使 AI 成為維繫定價權、迎向數位未來的關鍵槓桿。</w:t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二、產業挑戰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澳洲銀行業正處結構性轉折,主要挑戰有三。第一,獲利與利差同步受壓:2025 年產業營收年減 8.3%、2025–30 年 CAGR 僅 +0.3%,利潤率五年降 1.1pp;全球銀行淨利息差(NIM)亦估自 3.1% 收窄至 2.7%,量價拉鋸使利差紅利縮水(IBISWorld, 2025; S&amp;P Global, 2023)。第二,數位顛覆白熱化:消費者資料權(CDR,開放銀行)降低轉換成本,Macquarie 房貸年增約 19%、市占升至 5.9%,非銀行與 fintech 放款方持續蠶食(Australian Broker News, 2025)。第三,詐騙與資安風險升溫:2023 年澳洲通報詐騙損失約 A$27 億,直接侵蝕客戶信任(Australian Competition and Consumer Commission, 2024)。三者交織,對定價權與客戶黏著度構成結構性壓力。</w:t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三、公司當前表現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面對上述壓力,CBA 仍顯著跑贏行業:FY25 現金淨利(Cash NPAT)達 A$10,252m(+4.2%),與產業營收衰退 8.3% 形成鮮明對照(CBA, 2025b)。其獲利品質與競爭地位領先同業——淨利息差 2.08%、ROE 13.5% 為四大行最高,房貸結餘 A$611.5bn、市占 25.4%(APRA 基礎)遙遙領先快速追趕的 Macquarie(詳見表一)。自有通路占比 66% 降低對經紀商的佣金依賴,廣大客群強化交叉銷售與資料優勢;CBA 更於 2025 年首度成為澳洲最受信任銀行品牌,鞏固信任護城河(Roy Morgan Research, 2025)。</w:t>
      </w:r>
    </w:p>
    <w:p>
      <w:pPr>
        <w:spacing w:after="80" w:line="360" w:lineRule="auto"/>
      </w:pPr>
      <w:r>
        <w:rPr>
          <w:rFonts w:ascii="Times New Roman" w:hAnsi="Times New Roman" w:eastAsia="Microsoft JhengHei"/>
          <w:b/>
          <w:color w:val="000000"/>
          <w:sz w:val="22"/>
        </w:rPr>
        <w:t>表一、四大行與 Macquarie 競爭指標對照(2025)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指標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CBA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NAB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ANZ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Westpac</w:t>
            </w:r>
          </w:p>
        </w:tc>
        <w:tc>
          <w:tcPr>
            <w:tcW w:type="dxa" w:w="144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Macquarie</w:t>
            </w:r>
          </w:p>
        </w:tc>
      </w:tr>
      <w:tr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產業市占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21.7%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18.3%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17.5%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18.2%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ROE(FY25)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13.5%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11.4%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8.1%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n/a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房貸結餘(2025)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A$611.5bn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A$341.7bn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A$321.5bn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A$498.5bn</w:t>
            </w:r>
          </w:p>
        </w:tc>
        <w:tc>
          <w:tcPr>
            <w:tcW w:type="dxa" w:w="144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A$141.7bn</w:t>
            </w:r>
          </w:p>
        </w:tc>
      </w:tr>
    </w:tbl>
    <w:p>
      <w:pPr>
        <w:spacing w:after="160" w:line="288" w:lineRule="auto"/>
      </w:pPr>
      <w:r>
        <w:rPr>
          <w:rFonts w:ascii="Times New Roman" w:hAnsi="Times New Roman" w:eastAsia="Microsoft JhengHei"/>
          <w:b w:val="0"/>
          <w:color w:val="000000"/>
          <w:sz w:val="17"/>
        </w:rPr>
        <w:t>資料來源:IBISWorld (2025);National Australia Bank (2025);ANZ Group Holdings (2025);Commonwealth Bank of Australia (2025b);Australian Broker News (2025)。Westpac FY25 ROE 未公開可比數字。</w:t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四、AI 賦能</w:t>
      </w:r>
    </w:p>
    <w:p>
      <w:pPr>
        <w:spacing w:after="120" w:line="360" w:lineRule="auto"/>
      </w:pPr>
      <w:r>
        <w:rPr>
          <w:rFonts w:ascii="Times New Roman" w:hAnsi="Times New Roman" w:eastAsia="Microsoft JhengHei"/>
          <w:b w:val="0"/>
          <w:color w:val="000000"/>
          <w:sz w:val="24"/>
        </w:rPr>
        <w:t>面對三大挑戰,CBA 以三項可衡量標準評估 AI 成效——效率、速度與風險,分別對應獲利、競爭與風險,各設成功門檻(見表二)。第一,效率軸回應利差受壓:Customer Engagement Engine 即時個人化搭配生成式 AI 客服,使客服等待時間顯著縮短,深化交叉銷售以攤平固定成本(CBA, 2024)。第二,速度軸回擊 Macquarie 與 fintech:AI 加速信貸審批,業務信貸年審已自 14 小時降至 2 小時,以速度築起顛覆者難以跨越的護城河(CBA, 2024)。第三,風險軸管理詐騙與資安:NameCheck 等防詐工具使客戶詐騙損失較 2022 年底高峰下降 76%,並持續加碼投入(CBA, 2025c)。就資源配置而言,筆者認為風險軸即時報酬最高、效率軸為長期護城河之本;展望未來,管理層宜將領先的 AI 地位轉化為可量化的成本收入比改善,持續鞏固結構性護城河;唯須同步強化資料治理與模型風險管理,方能將技術優勢穩健轉化為可持續的長期競爭力。</w:t>
      </w:r>
    </w:p>
    <w:p>
      <w:pPr>
        <w:spacing w:after="80" w:line="360" w:lineRule="auto"/>
      </w:pPr>
      <w:r>
        <w:rPr>
          <w:rFonts w:ascii="Times New Roman" w:hAnsi="Times New Roman" w:eastAsia="Microsoft JhengHei"/>
          <w:b/>
          <w:color w:val="000000"/>
          <w:sz w:val="22"/>
        </w:rPr>
        <w:t>表二、挑戰 → AI 能力 → 效益對照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產業挑戰</w:t>
            </w:r>
          </w:p>
        </w:tc>
        <w:tc>
          <w:tcPr>
            <w:tcW w:type="dxa" w:w="288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對應 AI 能力(評估軸與門檻)</w:t>
            </w:r>
          </w:p>
        </w:tc>
        <w:tc>
          <w:tcPr>
            <w:tcW w:type="dxa" w:w="2880"/>
            <w:shd w:val="clear" w:fill="D9E2F3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/>
                <w:color w:val="000000"/>
                <w:sz w:val="19"/>
              </w:rPr>
              <w:t>量化效益</w:t>
            </w:r>
          </w:p>
        </w:tc>
      </w:tr>
      <w:tr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獲利與利差受壓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效率軸:CEE 與生成式 AI 客服(門檻:成本收入比下行、等待縮短)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客服等待時間一財年內 -40%;深化交叉銷售</w:t>
            </w:r>
          </w:p>
        </w:tc>
      </w:tr>
      <w:tr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數位顛覆與競爭(Macquarie +19%、CDR)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速度軸:AI 加速信貸審批(門檻:核准 &lt;10 分鐘／年審 &lt;2 小時)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房貸有條件核准 &lt;10 分鐘;業務信貸年審 14 小時 → 2 小時</w:t>
            </w:r>
          </w:p>
        </w:tc>
      </w:tr>
      <w:tr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詐騙與資安風險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風險軸:NameCheck 等防詐 AI(門檻:損失較高峰大幅下降)</w:t>
            </w:r>
          </w:p>
        </w:tc>
        <w:tc>
          <w:tcPr>
            <w:tcW w:type="dxa" w:w="2880"/>
          </w:tcPr>
          <w:p>
            <w:pPr>
              <w:spacing w:line="264" w:lineRule="auto" w:after="20"/>
            </w:pPr>
            <w:r/>
            <w:r>
              <w:rPr>
                <w:rFonts w:ascii="Times New Roman" w:hAnsi="Times New Roman" w:eastAsia="Microsoft JhengHei"/>
                <w:b w:val="0"/>
                <w:color w:val="000000"/>
                <w:sz w:val="19"/>
              </w:rPr>
              <w:t>客戶詐騙損失自 2022 年底高峰 -76%;FY25 投入約 A$9 億</w:t>
            </w:r>
          </w:p>
        </w:tc>
      </w:tr>
    </w:tbl>
    <w:p>
      <w:r>
        <w:br w:type="page"/>
      </w:r>
    </w:p>
    <w:p>
      <w:pPr>
        <w:pStyle w:val="Heading1"/>
        <w:spacing w:before="200" w:after="120" w:line="360" w:lineRule="auto"/>
      </w:pPr>
      <w:r>
        <w:rPr>
          <w:rFonts w:ascii="Times New Roman" w:hAnsi="Times New Roman" w:eastAsia="Microsoft JhengHei"/>
          <w:b/>
          <w:color w:val="000000"/>
          <w:sz w:val="26"/>
        </w:rPr>
        <w:t>參考文獻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ANZ Group Holdings. (2025). 2025 full year result and proposed final dividend. https://www.anz.com.au/newsroom/media/2025/november/2025-full-year-result---proposed-final-dividend/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Australian Broker News. (2025). Macquarie Bank's home loan book surges 19%, defying industry trends. https://www.brokernews.com.au/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Australian Competition and Consumer Commission. (2024). Scam losses decline, but more work to do as Australians lose $2.7 billion. National Anti-Scam Centre. https://www.accc.gov.au/media-release/scam-losses-decline-but-more-work-to-do-as-australians-lose-27-billion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(2024). Customer safety, convenience and recognition boosted by early implementation of Gen AI. https://www.commbank.com.au/articles/newsroom/2024/11/reimagining-banking-nov24.html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(2025a). CommBank ranks among world's best banks for AI maturity. https://www.commbank.com.au/articles/newsroom/2025/10/commbank-among-best-banks-ai-maturity1.html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(2025b). FY25 full year results. Investor Relations. https://www.commbank.com.au/about-us/investors/results.html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Commonwealth Bank of Australia. (2025c). CBA sees customer scam losses fall by 76%. https://www.commbank.com.au/articles/newsroom/2025/08/commbank-customer-scam-losses-fall-truyu.html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IBISWorld. (2025). National and regional commercial banks in Australia (Report No. K6221A). IBISWorld Industry Report.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National Australia Bank. (2025). 2025 full year results investor presentation. https://www.nab.com.au/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Roy Morgan Research. (2025). Commonwealth Bank are Australia's most trusted finance and insurance brands. https://www.roymorgan.com/findings/10038-trusted-brand-awards-2025-finance-and-insurance-companies</w:t>
      </w:r>
    </w:p>
    <w:p>
      <w:pPr>
        <w:spacing w:after="160" w:line="360" w:lineRule="auto"/>
        <w:ind w:left="720" w:hanging="720"/>
      </w:pPr>
      <w:r>
        <w:rPr>
          <w:rFonts w:ascii="Times New Roman" w:hAnsi="Times New Roman" w:eastAsia="Microsoft JhengHei"/>
          <w:b w:val="0"/>
          <w:color w:val="000000"/>
          <w:sz w:val="22"/>
        </w:rPr>
        <w:t>S&amp;P Global Market Intelligence. (2023). Competition to squeeze Australian bank profits in 2024 as COVID-era subsidy ends. https://www.spglobal.com/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