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wlu61sb5y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評估一：應用網路安全指標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c6ptp9v01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一、公司安全政策所處的 CMM 等級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根據本次對公司 IT 安全政策的審查結果，我認為該公司的資訊安全管理目前屬於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能力成熟度模型（CMM）第一級：初始級（Initial）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公司在政策中提到「所有員工都應能識別資訊安全風險」，但實際上並未提供任何正式的培訓、指引或標準流程來支援這項要求，因此風險辨識高度依賴員工個人經驗，而非組織制度。此外，公司宣稱所有員工皆受到安全控制，但多數員工並不清楚這些控制措施的內容，顯示安全政策缺乏清楚的溝通與執行機制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技術層面上，大部分員工自入職以來未曾更換密碼，顯示公司並未落實基本的密碼管理政策，也缺乏相關的強制或監督措施。同時，遠端工作人員可以存取公司所有資源，反映出存取權限並未依照角色或實際需求進行限制，存在明顯的安全風險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整體而言，該公司的安全措施零散且缺乏一致性，主要依賴個人行為而非標準化流程，這正是 CMM 初始級「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臨時性、非制度化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」的典型特徵。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5na4q2ipm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二、政策缺口與提升 CMM 等級的建議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審查結果可歸納出數項關鍵政策缺口。首先，公司缺乏系統性的資安教育與訓練，導致員工雖被要求承擔安全責任，卻缺乏相應能力。其次，安全控制措施不透明，使政策無法真正落實。再者，密碼管理鬆散以及遠端存取權限過度寬鬆，顯示基本的技術與管理控制尚未建立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若公司希望提升至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CMM 第二級（發展級）甚至第三級（已定義級）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，建議採取以下措施：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建立正式且書面化的資訊安全政策，並確保所有員工理解並遵循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實施定期的資安意識訓練，提升員工識別與回應風險的能力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導入基本的帳號與密碼管理制度，例如強制密碼複雜度與定期更換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針對遠端工作實施基於角色的存取控制，遵循最小權限原則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指派明確的資安責任角色，以確保政策持續被執行與監督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透過這些改善，組織可將資訊安全從依賴個人行為的狀態，逐步轉變為可重複、可管理的制度化流程，進而提升其整體 CMM 成熟度。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421107 Cybersecurity Analytics and Insights - PoKai Huang 26254793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