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rFonts w:ascii="Calibri" w:hAnsi="Calibri" w:eastAsia="微軟正黑體"/>
          <w:b/>
          <w:i w:val="0"/>
          <w:sz w:val="40"/>
        </w:rPr>
        <w:t>電信客戶流失預測概念驗證報告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8"/>
        </w:rPr>
        <w:t>評估任務二a:使用監督學習技術分析數據</w:t>
      </w:r>
    </w:p>
    <w:p/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Artificial Intelligence for Enterprises(企業人工智能)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姓名:黃柏凱(PoKai Huang)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學號:26254793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參考格式:APA 第 7 版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日期:2026 年 7 月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附件:Huang_26254793_421104_Assessment 2a.ipynb(完整程式與輸出)</w:t>
      </w:r>
    </w:p>
    <w:p>
      <w:r>
        <w:br w:type="page"/>
      </w:r>
    </w:p>
    <w:p>
      <w:pPr>
        <w:spacing w:after="12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一、分類模型的評估與推薦　|　二、最佳模型誤判造成的收入損失　|　三、最重要屬性的識別與領域解釋　|　四、降低客戶流失率的策略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本報告為電信公司建立客戶流失(Churn)預測的概念驗證。以 3,333 筆數據比較六種分類模型,依事前訂定的規則推薦 XGBoost(測試集 accuracy 0.925、F1 0.715;RandomForest 為次選)。該模型漏判 51 名流失客戶(False Negative),十二個月毛收入暴露上限約 A$35,926。最重要變數為日間通話分鐘數(正向),月費與客服來電次數次之(正向),合約續約為負向;第四節據此提出三項行動與量化商業案例。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一、分類模型的評估與推薦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方法設計:分層切分(70/30)、以 Pipeline 使縮放只在訓練折內擬合、選模僅用訓練集的 25 折重複交叉驗證,測試集不參與選模(見附件 notebook)。全猜「不流失」也有 85.5% 的 accuracy,accuracy 因此具誤導性。選模主指標為 F1,因它同時約束漏判與誤報:單看 recall 會選到 SVC(表一,recall 0.807、precision 僅 0.498),其誤報負擔明顯較高,是否可承受須依單次接觸成本與客服產能評估。惟就商業風險而言 recall 最關鍵——流失者僅佔 14.5%,漏掉一位即一筆無人挽留的流失,故 recall 亦為事前訂定的平手裁決指標;precision 則用於監控挽留資源浪費。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表一、六模型於 5×5 重複分層交叉驗證與保留測試集之表現(churn 類指標)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CV F1(mean±std)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 Accuracy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 Precision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 Recall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 F1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XGBoost(推薦)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0.732 ± 0.053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0.925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0.797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0.648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0.715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RandomForest(次選)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0.732 ± 0.053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0.935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0.864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0.655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0.745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SVC(balanced)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0.652 ± 0.034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0.854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0.498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0.807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0.616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DecisionTree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0.625 ± 0.047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0.878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0.578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0.586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0.582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KNN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0.555 ± 0.042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0.892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0.713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0.428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0.535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LogisticRegression(balanced)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0.483 ± 0.028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0.765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0.356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0.766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0.486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註:notebook §8–9。CV 僅用訓練集。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結果如表一與圖一:XGBoost 與 RandomForest 領先其餘四模型,交叉驗證 F1 幾乎相同(0.732 對 0.732);經重複交叉驗證的校正檢定(Nadeau &amp; Bengio, 2003),三項指標皆未偵測到顯著差異——未偵測到差異不等於證明等效,僅代表本樣本無法區分。故依事前訂定的平手規則,取 recall 均值較高的 XGBoost(0.656 對 0.639)為最終模型,此為規則選定而非性能勝出。測試集上 RandomForest 的 F1(0.745)較高,惟成對 bootstrap 95% 區間 [−0.001, +0.064] 與零相容,依協議不回選。建模方法造成的準確率差異可使挽留活動獲利相差甚鉅(Neslin et al., 2006),故選模與最終評估分離。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圖一、六分類器於保留測試集之表現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2555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del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註:notebook §9。虛線為全猜不流失基準。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二、最佳模型誤判造成的收入損失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混淆矩陣(圖二)的兩類誤判成本方向相反。False Negative(FN)是實際流失卻被預測為留存:若模型標記是挽留的觸發條件,這些客戶不會被接觸,形成未挽留的收入暴露。False Positive(FP)相反——實際留存卻被判為流失,公司投入不必要的工時與優惠;XGBoost 為 24 人,其可承受程度需結合單次接觸成本與客服產能評估。本案以 F1 平衡兩類錯誤,並以 recall 監控 FN 風險。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圖二、XGBoost 測試集混淆矩陣(FN = 51)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47205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onfusion_wi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20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註:notebook §10。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XGBoost 於測試集(1,000 筆,含 145 名流失者)產生 51 名 FN,實際月費合計 A$2,993.8(平均每人每月 A$58.7)。表二列三種留存假設:十二個月基準下毛收入暴露上限約 A$35,926;外推至全體流失者,預估漏抓約 170 人、年暴露約 A$119,669,屬毛收入口徑的量級參考;淨效益見第四節。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表二、FN 收入暴露三層估算(依 FN 個體實際月費)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留存假設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測試集 FN 毛暴露上限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全資料集預估 FN 暴露(推估)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6 個月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A$17,963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A$59,835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12 個月(基準)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A$35,926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A$119,669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24 個月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A$71,851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A$239,339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註:notebook §11。毛收入口徑;全資料集欄為外推推估。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三、最重要屬性的識別與領域解釋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各模型原生重要度排序不一致,故以最終模型在測試集上的 permutation importance 裁決(重複 30 次、F1 評分):DayMins 30 次全數第一;MonthlyCharge 與 CustServCalls 互有領先(23/30),屬同層級第二梯隊;ContractRenewal 多數第四(圖三)。此一致性限於同一已擬合模型與測試集,非跨樣本穩健性宣稱。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圖三、Permutation importance(測試集,重複 30 次,scoring=F1)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828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erm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註:notebook §13。橫軸為 F1 平均降幅(±SD)。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影響方向可由群組平均差異讀出(表三):DayMins、MonthlyCharge、CustServCalls 為正向(流失群組平均較高);ContractRenewal 為負向(已續約者流失明顯較低)。此為兩群的描述性差異,非控制其他變數後的效果,亦不宣稱單調或因果關係。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表三、重要變數於流失/未流失群組的平均值差異與影響方向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變數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未流失(Churn=0)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流失(Churn=1)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影響方向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DayMins(日間通話分鐘)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175.2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206.9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正向(越高越易流失)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MonthlyCharge(月費, A$)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55.8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59.2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正向(越高越易流失)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CustServCalls(客服來電次數)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1.45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正向(越多越易流失)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ContractRenewal(續約率)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93.5%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71.6%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負向(已續約者較不流失)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註:notebook §14。全體群組平均。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領域解釋(與資料一致的假說,非因果結論):高用量客戶帳單高,可能對資費與體驗較敏感;同型電信資料研究亦將 total day minutes、total day charge 與 customer service calls 列為前三特徵(Abdelhady &amp; Mohamed, 2025)。頻繁致電客服是不滿信號;未續約者轉換成本低。DayMins 與 MonthlyCharge 中度相關(r = 0.57),宜視為同一「高用量-高帳單」信號。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四、降低客戶流失率的策略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挽留策略完全建立於第三節識別的變數:每月以 XGBoost 評分產生高風險名單,再依第三節變數建立三組試點候選標籤(表四)。三組以各自門檻獨立定義、可能重疊,表五僅呈現各行動單獨實施的情境,不得加總;若同時試行,重疊客戶依一、二、三順序只分派一次。門檻用於招募試點對象,不代表模型分數本身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表四、三項行動之試點設計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行動(對應變數)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試點門檻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覆蓋客群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該群流失率(倍數)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負責單位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上線順序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一、服務恢復</w:t>
              <w:br/>
              <w:t>(CustServCalls)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來電 ≥3 次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696 人(21%)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26.1%(1.8×)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客服部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二、續約轉化</w:t>
              <w:br/>
              <w:t>(ContractRenewal)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未續約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323 人(10%)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42.4%(2.9×)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行銷部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三、資費重組</w:t>
              <w:br/>
              <w:t>(DayMins/MonthlyCharge)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日通話 ≥216 分且月費 ≥ 中位(A$53.5)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767 人(23%)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31.3%(2.2×)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資費部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註:notebook 實算。倍數 = 該群流失率 ÷ 全體 14.5%。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行動一(CustServCalls)服務恢復:來電達門檻即觸發專員回訪與問題升級,處理可能的服務問題。行動二(ContractRenewal)續約轉化:向未續約的高風險客戶提供限時續約優惠。行動三(DayMins/MonthlyCharge)資費重組:主動推薦封頂或客製方案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表五、三項行動之量化商業案例(損益兩平與淨效益試算)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  <w:cantSplit/>
        </w:trPr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7"/>
              </w:rPr>
              <w:t>行動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7"/>
              </w:rPr>
              <w:t>每人接觸成本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7"/>
              </w:rPr>
              <w:t>成功挽留誘因成本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7"/>
              </w:rPr>
              <w:t>試點總投入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7"/>
              </w:rPr>
              <w:t>該群預期流失人數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7"/>
              </w:rPr>
              <w:t>損益兩平所需增量留存率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7"/>
              </w:rPr>
              <w:t>淨效益 @20% 增量留存</w:t>
            </w:r>
          </w:p>
        </w:tc>
      </w:tr>
      <w:tr>
        <w:trPr>
          <w:cantSplit/>
        </w:trPr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一、服務恢復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A$15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A$10,440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182 人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13.6%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+A$4,957</w:t>
            </w:r>
          </w:p>
        </w:tc>
      </w:tr>
      <w:tr>
        <w:trPr>
          <w:cantSplit/>
        </w:trPr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二、續約轉化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A$5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A$59(一個月折抵)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A$1,615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137 人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3.2%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+A$8,359</w:t>
            </w:r>
          </w:p>
        </w:tc>
      </w:tr>
      <w:tr>
        <w:trPr>
          <w:cantSplit/>
        </w:trPr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三、資費重組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A$10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A$70(月費調降 10%×12)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A$7,670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240 人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9.1%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7"/>
              </w:rPr>
              <w:t>+A$9,274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註:notebook 補充二。成本為估計值,誘因僅於挽留成功時發生。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表五為情境試算(假設毛利率 60%、每名挽回客戶保留十二個月毛利 A$423):三項行動的損益兩平增量留存率分別為 13.6%、3.2%、9.1%,於 20% 增量留存假設下皆為正淨效益。純以門檻排序應為二、三、一;若客服產能允許,建議行動一先行(無誘因成本)、行動二緊隨。各行動均以隨機對照組試點,三個月檢視預設 KPI,未優於對照即停止。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本概念驗證顯示:於本次切分,現有變數已可支持具辨識能力的模型,XGBoost 為依事前規則選定者,跨期穩定性仍須以時間外樣本驗證。FN 代表情境化的收入暴露,而非已證實可挽回的損失;三項行動的損益兩平門檻見表五,可達性須由隨機對照試點估計。若客服產能允許,建議先以行動一進行小型對照試點,KPI 達標後才擴大。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2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 xml:space="preserve">Abdelhady, M. G., &amp; Mohamed, K. A. (2025). Leveraging artificial intelligence for predictive customer churn modeling in telecommunications: A framework for enhanced customer relationship management. </w:t>
      </w:r>
      <w:r>
        <w:rPr>
          <w:rFonts w:ascii="Calibri" w:hAnsi="Calibri" w:eastAsia="微軟正黑體"/>
          <w:b w:val="0"/>
          <w:i/>
          <w:sz w:val="21"/>
        </w:rPr>
        <w:t>Scientific Reports, 15</w:t>
      </w:r>
      <w:r>
        <w:rPr>
          <w:rFonts w:ascii="Calibri" w:hAnsi="Calibri" w:eastAsia="微軟正黑體"/>
          <w:b w:val="0"/>
          <w:i w:val="0"/>
          <w:sz w:val="21"/>
        </w:rPr>
        <w:t>, Article 43826. https://doi.org/10.1038/s41598-025-30108-z</w:t>
      </w:r>
    </w:p>
    <w:p>
      <w:pPr>
        <w:spacing w:after="12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 xml:space="preserve">Nadeau, C., &amp; Bengio, Y. (2003). Inference for the generalization error. </w:t>
      </w:r>
      <w:r>
        <w:rPr>
          <w:rFonts w:ascii="Calibri" w:hAnsi="Calibri" w:eastAsia="微軟正黑體"/>
          <w:b w:val="0"/>
          <w:i/>
          <w:sz w:val="21"/>
        </w:rPr>
        <w:t>Machine Learning, 52</w:t>
      </w:r>
      <w:r>
        <w:rPr>
          <w:rFonts w:ascii="Calibri" w:hAnsi="Calibri" w:eastAsia="微軟正黑體"/>
          <w:b w:val="0"/>
          <w:i w:val="0"/>
          <w:sz w:val="21"/>
        </w:rPr>
        <w:t>(3), 239–281. https://doi.org/10.1023/A:1024068626366</w:t>
      </w:r>
    </w:p>
    <w:p>
      <w:pPr>
        <w:spacing w:after="12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 xml:space="preserve">Neslin, S. A., Gupta, S., Kamakura, W., Lu, J., &amp; Mason, C. H. (2006). Defection detection: Measuring and understanding the predictive accuracy of customer churn models. </w:t>
      </w:r>
      <w:r>
        <w:rPr>
          <w:rFonts w:ascii="Calibri" w:hAnsi="Calibri" w:eastAsia="微軟正黑體"/>
          <w:b w:val="0"/>
          <w:i/>
          <w:sz w:val="21"/>
        </w:rPr>
        <w:t>Journal of Marketing Research, 43</w:t>
      </w:r>
      <w:r>
        <w:rPr>
          <w:rFonts w:ascii="Calibri" w:hAnsi="Calibri" w:eastAsia="微軟正黑體"/>
          <w:b w:val="0"/>
          <w:i w:val="0"/>
          <w:sz w:val="21"/>
        </w:rPr>
        <w:t>(2), 204–211. https://doi.org/10.1509/jmkr.43.2.204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