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</w:pPr>
      <w:r>
        <w:rPr>
          <w:rFonts w:ascii="Calibri" w:hAnsi="Calibri" w:eastAsia="微軟正黑體"/>
          <w:b w:val="0"/>
          <w:i w:val="0"/>
          <w:sz w:val="22"/>
        </w:rPr>
      </w:r>
    </w:p>
    <w:p>
      <w:pPr>
        <w:spacing w:after="120"/>
      </w:pPr>
      <w:r>
        <w:rPr>
          <w:rFonts w:ascii="Calibri" w:hAnsi="Calibri" w:eastAsia="微軟正黑體"/>
          <w:b w:val="0"/>
          <w:i w:val="0"/>
          <w:sz w:val="22"/>
        </w:rPr>
      </w:r>
    </w:p>
    <w:p>
      <w:pPr>
        <w:spacing w:after="120"/>
      </w:pPr>
      <w:r>
        <w:rPr>
          <w:rFonts w:ascii="Calibri" w:hAnsi="Calibri" w:eastAsia="微軟正黑體"/>
          <w:b w:val="0"/>
          <w:i w:val="0"/>
          <w:sz w:val="22"/>
        </w:rPr>
      </w:r>
    </w:p>
    <w:p>
      <w:pPr>
        <w:spacing w:after="120"/>
      </w:pPr>
      <w:r>
        <w:rPr>
          <w:rFonts w:ascii="Calibri" w:hAnsi="Calibri" w:eastAsia="微軟正黑體"/>
          <w:b w:val="0"/>
          <w:i w:val="0"/>
          <w:sz w:val="22"/>
        </w:rPr>
      </w:r>
    </w:p>
    <w:p>
      <w:pPr>
        <w:spacing w:after="80"/>
        <w:jc w:val="center"/>
      </w:pPr>
      <w:r>
        <w:rPr>
          <w:rFonts w:ascii="Calibri" w:hAnsi="Calibri" w:eastAsia="微軟正黑體"/>
          <w:b/>
          <w:i w:val="0"/>
          <w:sz w:val="40"/>
        </w:rPr>
        <w:t>以 K-means 非監督式學習分析顧問績效</w:t>
      </w:r>
    </w:p>
    <w:p>
      <w:pPr>
        <w:spacing w:after="600"/>
        <w:jc w:val="center"/>
      </w:pPr>
      <w:r>
        <w:rPr>
          <w:rFonts w:ascii="Calibri" w:hAnsi="Calibri" w:eastAsia="微軟正黑體"/>
          <w:b w:val="0"/>
          <w:i w:val="0"/>
          <w:sz w:val="28"/>
        </w:rPr>
        <w:t>—— IBM 獎金級距設計建議</w:t>
      </w:r>
    </w:p>
    <w:p>
      <w:pPr>
        <w:spacing w:after="120"/>
        <w:jc w:val="center"/>
      </w:pPr>
      <w:r>
        <w:rPr>
          <w:rFonts w:ascii="Calibri" w:hAnsi="Calibri" w:eastAsia="微軟正黑體"/>
          <w:b w:val="0"/>
          <w:i w:val="0"/>
          <w:sz w:val="24"/>
        </w:rPr>
        <w:t>評估任務 2b</w:t>
      </w:r>
    </w:p>
    <w:p>
      <w:pPr>
        <w:spacing w:after="120"/>
        <w:jc w:val="center"/>
      </w:pPr>
      <w:r>
        <w:rPr>
          <w:rFonts w:ascii="Calibri" w:hAnsi="Calibri" w:eastAsia="微軟正黑體"/>
          <w:b w:val="0"/>
          <w:i w:val="0"/>
          <w:sz w:val="24"/>
        </w:rPr>
        <w:t>課程:421104 企業人工智慧</w:t>
      </w:r>
    </w:p>
    <w:p>
      <w:pPr>
        <w:spacing w:after="120"/>
        <w:jc w:val="center"/>
      </w:pPr>
      <w:r>
        <w:rPr>
          <w:rFonts w:ascii="Calibri" w:hAnsi="Calibri" w:eastAsia="微軟正黑體"/>
          <w:b w:val="0"/>
          <w:i w:val="0"/>
          <w:sz w:val="24"/>
        </w:rPr>
        <w:t>姓名:Po-Kai Huang    學號:26254793</w:t>
      </w:r>
    </w:p>
    <w:p>
      <w:pPr>
        <w:spacing w:after="120"/>
        <w:jc w:val="center"/>
      </w:pPr>
      <w:r>
        <w:rPr>
          <w:rFonts w:ascii="Calibri" w:hAnsi="Calibri" w:eastAsia="微軟正黑體"/>
          <w:b w:val="0"/>
          <w:i w:val="0"/>
          <w:sz w:val="24"/>
        </w:rPr>
        <w:t>繳交日期:2026 年 8 月 2 日</w:t>
      </w:r>
    </w:p>
    <w:p>
      <w:pPr>
        <w:spacing w:after="120"/>
      </w:pPr>
      <w:r>
        <w:rPr>
          <w:rFonts w:ascii="Calibri" w:hAnsi="Calibri" w:eastAsia="微軟正黑體"/>
          <w:b w:val="0"/>
          <w:i w:val="0"/>
          <w:sz w:val="22"/>
        </w:rPr>
      </w:r>
    </w:p>
    <w:p>
      <w:pPr>
        <w:spacing w:after="120"/>
        <w:jc w:val="center"/>
      </w:pPr>
      <w:r>
        <w:rPr>
          <w:rFonts w:ascii="Calibri" w:hAnsi="Calibri" w:eastAsia="微軟正黑體"/>
          <w:b w:val="0"/>
          <w:i w:val="0"/>
          <w:sz w:val="21"/>
        </w:rPr>
        <w:t>附件:Huang_26254793_421104_Assessment 2b.ipynb</w:t>
      </w:r>
    </w:p>
    <w:p>
      <w:r>
        <w:br w:type="page"/>
      </w:r>
    </w:p>
    <w:p>
      <w:pPr>
        <w:spacing w:after="160"/>
      </w:pPr>
      <w:r>
        <w:rPr>
          <w:rFonts w:ascii="Calibri" w:hAnsi="Calibri" w:eastAsia="微軟正黑體"/>
          <w:b/>
          <w:i w:val="0"/>
          <w:sz w:val="28"/>
        </w:rPr>
        <w:t>目錄</w:t>
      </w:r>
    </w:p>
    <w:p>
      <w:r>
        <w:fldChar w:fldCharType="begin" w:dirty="true"/>
        <w:instrText xml:space="preserve">TOC \o "1-1" \h \z \u</w:instrText>
        <w:fldChar w:fldCharType="separate"/>
        <w:t xml:space="preserve">管理摘要　|　一、主要數據特徵:納入與排除的決策　|　二、最優聚類數的決定　|　三、四個群組的語言解釋　|　四、績效最優群組的識別　|　五、方法限制　|　結論　|　參考文獻</w:t>
        <w:fldChar w:fldCharType="end"/>
      </w:r>
    </w:p>
    <w:p>
      <w:r>
        <w:br w:type="page"/>
      </w:r>
    </w:p>
    <w:p>
      <w:pPr>
        <w:pStyle w:val="Heading1"/>
      </w:pPr>
      <w:r>
        <w:rPr>
          <w:rFonts w:ascii="Calibri" w:hAnsi="Calibri" w:eastAsia="微軟正黑體"/>
          <w:b/>
          <w:i w:val="0"/>
          <w:color w:val="000000"/>
          <w:sz w:val="28"/>
        </w:rPr>
        <w:t>管理摘要</w:t>
      </w:r>
    </w:p>
    <w:p>
      <w:pPr>
        <w:spacing w:after="120"/>
      </w:pPr>
      <w:r>
        <w:rPr>
          <w:rFonts w:ascii="Calibri" w:hAnsi="Calibri" w:eastAsia="微軟正黑體"/>
          <w:b w:val="0"/>
          <w:i w:val="0"/>
          <w:sz w:val="22"/>
        </w:rPr>
        <w:t>本報告以 K-means 將 IBM 的 107 位顧問依三項績效指標分為四群,作為獎金級距設計依據。分析排除員工識別碼並施以標準化;此決策改變了 10 位顧問的歸屬,是影響最大的單一判斷。</w:t>
      </w:r>
    </w:p>
    <w:p>
      <w:pPr>
        <w:spacing w:after="120"/>
      </w:pPr>
      <w:r>
        <w:rPr>
          <w:rFonts w:ascii="Calibri" w:hAnsi="Calibri" w:eastAsia="微軟正黑體"/>
          <w:b w:val="0"/>
          <w:i w:val="0"/>
          <w:sz w:val="22"/>
        </w:rPr>
        <w:t>「帶隊核心群」(4 人)三項指標同時排名第一,為績效最優群,惟僅佔 3.7%。更具管理價值的是「高投入待認可群」(25 人):投入度達平均 2.2 倍但認可度低於平均,且在未標準化的分析中無法辨識。</w:t>
      </w:r>
    </w:p>
    <w:p>
      <w:pPr>
        <w:pStyle w:val="Heading1"/>
      </w:pPr>
      <w:r>
        <w:rPr>
          <w:rFonts w:ascii="Calibri" w:hAnsi="Calibri" w:eastAsia="微軟正黑體"/>
          <w:b/>
          <w:i w:val="0"/>
          <w:color w:val="000000"/>
          <w:sz w:val="28"/>
        </w:rPr>
        <w:t>一、主要數據特徵:納入與排除的決策</w:t>
      </w:r>
    </w:p>
    <w:p>
      <w:pPr>
        <w:spacing w:after="120"/>
      </w:pPr>
      <w:r>
        <w:rPr>
          <w:rFonts w:ascii="Calibri" w:hAnsi="Calibri" w:eastAsia="微軟正黑體"/>
          <w:b w:val="0"/>
          <w:i w:val="0"/>
          <w:sz w:val="22"/>
        </w:rPr>
        <w:t>排除 EmployeeID:它是標稱型識別碼,數值不承載順序意義,納入等同主張「編號相近者表現相似」;且其標準差為其餘三欄的 36 至 103 倍,納入後獨佔距離平方 99% 以上(表一)。保留該欄實跑的反證顯示,分群會退化為按編號切段。</w:t>
      </w:r>
    </w:p>
    <w:p>
      <w:pPr>
        <w:spacing w:after="120"/>
      </w:pPr>
      <w:r>
        <w:rPr>
          <w:rFonts w:ascii="Calibri" w:hAnsi="Calibri" w:eastAsia="微軟正黑體"/>
          <w:b w:val="0"/>
          <w:i w:val="0"/>
          <w:sz w:val="22"/>
        </w:rPr>
        <w:t>第二層決策是尺度。常見誤解是「不標準化較中立」,事實相反:未縮放時權重由各欄離散程度決定,而非由業務判斷決定——認可度一欄即佔距離平方的 79.6%,使分群退化為單變數複製,與「直接按認可度分組」的調整後蘭德指數(Hubert &amp; Arabie, 1985)達 0.99。</w:t>
      </w:r>
    </w:p>
    <w:p>
      <w:pPr>
        <w:spacing w:after="120"/>
      </w:pPr>
      <w:r>
        <w:rPr>
          <w:rFonts w:ascii="Calibri" w:hAnsi="Calibri" w:eastAsia="微軟正黑體"/>
          <w:b w:val="0"/>
          <w:i w:val="0"/>
          <w:sz w:val="22"/>
        </w:rPr>
        <w:t>其影響可具體量化:10 位使用率達 0.61 至 0.92 但認可度為 0 的顧問,未縮放時被併入一個 86 人的群,該群使用率跨幅 0.00 至 0.92(表二)。z 分數與 MinMax 產生相同分群,顯示結論取決於是否縮放(Milligan &amp; Cooper, 1988)。標準化並非「不加權」,而是把權重改為可依政策調整的明確假設。</w:t>
      </w:r>
    </w:p>
    <w:p>
      <w:pPr>
        <w:keepNext/>
        <w:spacing w:after="60"/>
      </w:pPr>
      <w:r>
        <w:rPr>
          <w:rFonts w:ascii="Calibri" w:hAnsi="Calibri" w:eastAsia="微軟正黑體"/>
          <w:b/>
          <w:i w:val="0"/>
          <w:sz w:val="20"/>
        </w:rPr>
        <w:t>表一　變數審核與納入決策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rPr>
          <w:tblHeader w:val="true"/>
          <w:cantSplit/>
        </w:trPr>
        <w:tc>
          <w:tcPr>
            <w:tcW w:type="dxa" w:w="1337"/>
          </w:tcPr>
          <w:p>
            <w:r>
              <w:rPr>
                <w:rFonts w:ascii="Calibri" w:hAnsi="Calibri" w:eastAsia="微軟正黑體"/>
                <w:b/>
                <w:i w:val="0"/>
                <w:sz w:val="18"/>
              </w:rPr>
              <w:t>變數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/>
                <w:i w:val="0"/>
                <w:sz w:val="18"/>
              </w:rPr>
              <w:t>型別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/>
                <w:i w:val="0"/>
                <w:sz w:val="18"/>
              </w:rPr>
              <w:t>範圍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/>
                <w:i w:val="0"/>
                <w:sz w:val="18"/>
              </w:rPr>
              <w:t>標準差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/>
                <w:i w:val="0"/>
                <w:sz w:val="18"/>
              </w:rPr>
              <w:t>零值佔比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/>
                <w:i w:val="0"/>
                <w:sz w:val="18"/>
              </w:rPr>
              <w:t>佔距離平方權重(未縮放)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/>
                <w:i w:val="0"/>
                <w:sz w:val="18"/>
              </w:rPr>
              <w:t>決策</w:t>
            </w:r>
          </w:p>
        </w:tc>
      </w:tr>
      <w:tr>
        <w:trPr>
          <w:cantSplit/>
        </w:trPr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EmployeeID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整數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1–107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30.89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0%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99%+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排除</w:t>
            </w:r>
          </w:p>
        </w:tc>
      </w:tr>
      <w:tr>
        <w:trPr>
          <w:cantSplit/>
        </w:trPr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UsageRate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小數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0.00–0.99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0.3145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10%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10.7%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納入</w:t>
            </w:r>
          </w:p>
        </w:tc>
      </w:tr>
      <w:tr>
        <w:trPr>
          <w:cantSplit/>
        </w:trPr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Recognition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整數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0–4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0.8595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80%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79.6%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納入</w:t>
            </w:r>
          </w:p>
        </w:tc>
      </w:tr>
      <w:tr>
        <w:trPr>
          <w:cantSplit/>
        </w:trPr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Leader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整數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0–2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0.3005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96%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9.7%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納入</w:t>
            </w:r>
          </w:p>
        </w:tc>
      </w:tr>
    </w:tbl>
    <w:p>
      <w:pPr>
        <w:spacing w:after="200"/>
      </w:pPr>
      <w:r>
        <w:rPr>
          <w:rFonts w:ascii="Calibri" w:hAnsi="Calibri" w:eastAsia="微軟正黑體"/>
          <w:b w:val="0"/>
          <w:i/>
          <w:sz w:val="17"/>
        </w:rPr>
        <w:t>註:數值取自 notebook §1.2 逐欄審核表與 §1.5 權重計算。「佔距離權重」指該欄變異數佔歐氏距離平方總變異的比例。</w:t>
      </w:r>
    </w:p>
    <w:p>
      <w:pPr>
        <w:keepNext/>
        <w:spacing w:after="60"/>
      </w:pPr>
      <w:r>
        <w:rPr>
          <w:rFonts w:ascii="Calibri" w:hAnsi="Calibri" w:eastAsia="微軟正黑體"/>
          <w:b/>
          <w:i w:val="0"/>
          <w:sz w:val="20"/>
        </w:rPr>
        <w:t>表二　縮放決策對 10 位高投入顧問的實質影響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 w:val="true"/>
          <w:cantSplit/>
        </w:trPr>
        <w:tc>
          <w:tcPr>
            <w:tcW w:type="dxa" w:w="2340"/>
          </w:tcPr>
          <w:p>
            <w:r>
              <w:rPr>
                <w:rFonts w:ascii="Calibri" w:hAnsi="Calibri" w:eastAsia="微軟正黑體"/>
                <w:b/>
                <w:i w:val="0"/>
                <w:sz w:val="18"/>
              </w:rPr>
              <w:t>尺度</w:t>
            </w:r>
          </w:p>
        </w:tc>
        <w:tc>
          <w:tcPr>
            <w:tcW w:type="dxa" w:w="2340"/>
          </w:tcPr>
          <w:p>
            <w:r>
              <w:rPr>
                <w:rFonts w:ascii="Calibri" w:hAnsi="Calibri" w:eastAsia="微軟正黑體"/>
                <w:b/>
                <w:i w:val="0"/>
                <w:sz w:val="18"/>
              </w:rPr>
              <w:t>該 10 人所屬群人數</w:t>
            </w:r>
          </w:p>
        </w:tc>
        <w:tc>
          <w:tcPr>
            <w:tcW w:type="dxa" w:w="2340"/>
          </w:tcPr>
          <w:p>
            <w:r>
              <w:rPr>
                <w:rFonts w:ascii="Calibri" w:hAnsi="Calibri" w:eastAsia="微軟正黑體"/>
                <w:b/>
                <w:i w:val="0"/>
                <w:sz w:val="18"/>
              </w:rPr>
              <w:t>該群使用率跨幅</w:t>
            </w:r>
          </w:p>
        </w:tc>
        <w:tc>
          <w:tcPr>
            <w:tcW w:type="dxa" w:w="2340"/>
          </w:tcPr>
          <w:p>
            <w:r>
              <w:rPr>
                <w:rFonts w:ascii="Calibri" w:hAnsi="Calibri" w:eastAsia="微軟正黑體"/>
                <w:b/>
                <w:i w:val="0"/>
                <w:sz w:val="18"/>
              </w:rPr>
              <w:t>業務可解釋性</w:t>
            </w:r>
          </w:p>
        </w:tc>
      </w:tr>
      <w:tr>
        <w:trPr>
          <w:cantSplit/>
        </w:trPr>
        <w:tc>
          <w:tcPr>
            <w:tcW w:type="dxa" w:w="2340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未縮放</w:t>
            </w:r>
          </w:p>
        </w:tc>
        <w:tc>
          <w:tcPr>
            <w:tcW w:type="dxa" w:w="2340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86</w:t>
            </w:r>
          </w:p>
        </w:tc>
        <w:tc>
          <w:tcPr>
            <w:tcW w:type="dxa" w:w="2340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0.00–0.92</w:t>
            </w:r>
          </w:p>
        </w:tc>
        <w:tc>
          <w:tcPr>
            <w:tcW w:type="dxa" w:w="2340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否:投入 92% 與 0% 同級距</w:t>
            </w:r>
          </w:p>
        </w:tc>
      </w:tr>
      <w:tr>
        <w:trPr>
          <w:cantSplit/>
        </w:trPr>
        <w:tc>
          <w:tcPr>
            <w:tcW w:type="dxa" w:w="2340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標準化 z 分數</w:t>
            </w:r>
          </w:p>
        </w:tc>
        <w:tc>
          <w:tcPr>
            <w:tcW w:type="dxa" w:w="2340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25</w:t>
            </w:r>
          </w:p>
        </w:tc>
        <w:tc>
          <w:tcPr>
            <w:tcW w:type="dxa" w:w="2340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0.41–0.94</w:t>
            </w:r>
          </w:p>
        </w:tc>
        <w:tc>
          <w:tcPr>
            <w:tcW w:type="dxa" w:w="2340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是:自成「高投入待認可群」</w:t>
            </w:r>
          </w:p>
        </w:tc>
      </w:tr>
      <w:tr>
        <w:trPr>
          <w:cantSplit/>
        </w:trPr>
        <w:tc>
          <w:tcPr>
            <w:tcW w:type="dxa" w:w="2340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MinMax 0–1</w:t>
            </w:r>
          </w:p>
        </w:tc>
        <w:tc>
          <w:tcPr>
            <w:tcW w:type="dxa" w:w="2340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25</w:t>
            </w:r>
          </w:p>
        </w:tc>
        <w:tc>
          <w:tcPr>
            <w:tcW w:type="dxa" w:w="2340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0.41–0.94</w:t>
            </w:r>
          </w:p>
        </w:tc>
        <w:tc>
          <w:tcPr>
            <w:tcW w:type="dxa" w:w="2340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是:與 z 分數結果完全相同</w:t>
            </w:r>
          </w:p>
        </w:tc>
      </w:tr>
    </w:tbl>
    <w:p>
      <w:pPr>
        <w:spacing w:after="200"/>
      </w:pPr>
      <w:r>
        <w:rPr>
          <w:rFonts w:ascii="Calibri" w:hAnsi="Calibri" w:eastAsia="微軟正黑體"/>
          <w:b w:val="0"/>
          <w:i/>
          <w:sz w:val="17"/>
        </w:rPr>
        <w:t>註:取自 notebook §1.7。該 10 人定義為使用率 ≥ 0.60 且認可度 = 0(員工編號 2、44、47、60、77、81、88、91、96、97)。k 固定為 4。</w:t>
      </w:r>
    </w:p>
    <w:p>
      <w:pPr>
        <w:keepNext/>
        <w:spacing w:after="60"/>
      </w:pPr>
      <w:r>
        <w:rPr>
          <w:rFonts w:ascii="Calibri" w:hAnsi="Calibri" w:eastAsia="微軟正黑體"/>
          <w:b/>
          <w:i w:val="0"/>
          <w:sz w:val="20"/>
        </w:rPr>
        <w:t>圖三　是否縮放,決定了 10 位高投入顧問被歸入哪一群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349240" cy="21392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scaling_effec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49240" cy="21392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</w:pPr>
      <w:r>
        <w:rPr>
          <w:rFonts w:ascii="Calibri" w:hAnsi="Calibri" w:eastAsia="微軟正黑體"/>
          <w:b w:val="0"/>
          <w:i/>
          <w:sz w:val="17"/>
        </w:rPr>
        <w:t>註:取自 notebook §3.5。左圖未縮放,10 位高投入者(紅色區域)被併入低投入群;右圖標準化後自成一群。認可度為整數,已加隨機抖動以避免點重疊。</w:t>
      </w:r>
    </w:p>
    <w:p>
      <w:pPr>
        <w:pStyle w:val="Heading1"/>
      </w:pPr>
      <w:r>
        <w:rPr>
          <w:rFonts w:ascii="Calibri" w:hAnsi="Calibri" w:eastAsia="微軟正黑體"/>
          <w:b/>
          <w:i w:val="0"/>
          <w:color w:val="000000"/>
          <w:sz w:val="28"/>
        </w:rPr>
        <w:t>二、最優聚類數的決定</w:t>
      </w:r>
    </w:p>
    <w:p>
      <w:pPr>
        <w:spacing w:after="120"/>
      </w:pPr>
      <w:r>
        <w:rPr>
          <w:rFonts w:ascii="Calibri" w:hAnsi="Calibri" w:eastAsia="微軟正黑體"/>
          <w:b w:val="0"/>
          <w:i w:val="0"/>
          <w:sz w:val="22"/>
        </w:rPr>
        <w:t>為避免先看結果再找理由,四項判準於執行掃描前即已訂定(表三):輪廓係數(Rousseeuw, 1987)取最高、差距小於 0.02 視為平手;肘部法取降幅跌破 30% 前的 k;每群最小人數須達 4 人;群內單一 KPI 的全距須小於全體全距。後兩項為業務門檻,直接源自「依相似表現分群以分配獎金」的目的。</w:t>
      </w:r>
    </w:p>
    <w:p>
      <w:pPr>
        <w:spacing w:after="120"/>
      </w:pPr>
      <w:r>
        <w:rPr>
          <w:rFonts w:ascii="Calibri" w:hAnsi="Calibri" w:eastAsia="微軟正黑體"/>
          <w:b w:val="0"/>
          <w:i w:val="0"/>
          <w:sz w:val="22"/>
        </w:rPr>
        <w:t>統計面兩項互相衝突:輪廓係數最高值在 k = 5(0.6823),但 k = 3、4、5 全距僅 0.0146,依判準視為平手;肘部法則指向 k = 4,群內平方和降幅自 55.7%、44.0% 降至 29.3% 後趨平。</w:t>
      </w:r>
    </w:p>
    <w:p>
      <w:pPr>
        <w:spacing w:after="120"/>
      </w:pPr>
      <w:r>
        <w:rPr>
          <w:rFonts w:ascii="Calibri" w:hAnsi="Calibri" w:eastAsia="微軟正黑體"/>
          <w:b w:val="0"/>
          <w:i w:val="0"/>
          <w:sz w:val="22"/>
        </w:rPr>
        <w:t>業務面兩項則明確排除相鄰候選。k = 5 產生兩個各 2 人的群,不足 4 人門檻。k = 3 的中間群 27 人,群內認可度全距 0 至 4,等於全體全距的 100%——獲指派 4 個專案者與完全未獲指派者同屬一級,該指標在此級距內無區分力;k = 4 拆開後各群認可度全距降至全體的 50% 以下。</w:t>
      </w:r>
    </w:p>
    <w:p>
      <w:pPr>
        <w:spacing w:after="120"/>
      </w:pPr>
      <w:r>
        <w:rPr>
          <w:rFonts w:ascii="Calibri" w:hAnsi="Calibri" w:eastAsia="微軟正黑體"/>
          <w:b w:val="0"/>
          <w:i w:val="0"/>
          <w:sz w:val="22"/>
        </w:rPr>
        <w:t>穩定性須誠實揭露:k = 4 的種子平均調整後蘭德指數 0.961,略低於 k = 3;但僅 10 人曾變動群組,且全數落在邊界。</w:t>
      </w:r>
    </w:p>
    <w:p>
      <w:pPr>
        <w:keepNext/>
        <w:spacing w:after="60"/>
      </w:pPr>
      <w:r>
        <w:rPr>
          <w:rFonts w:ascii="Calibri" w:hAnsi="Calibri" w:eastAsia="微軟正黑體"/>
          <w:b/>
          <w:i w:val="0"/>
          <w:sz w:val="20"/>
        </w:rPr>
        <w:t>表三　四項判準的掃描結果與裁決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rPr>
          <w:tblHeader w:val="true"/>
          <w:cantSplit/>
        </w:trPr>
        <w:tc>
          <w:tcPr>
            <w:tcW w:type="dxa" w:w="1337"/>
          </w:tcPr>
          <w:p>
            <w:r>
              <w:rPr>
                <w:rFonts w:ascii="Calibri" w:hAnsi="Calibri" w:eastAsia="微軟正黑體"/>
                <w:b/>
                <w:i w:val="0"/>
                <w:sz w:val="18"/>
              </w:rPr>
              <w:t>k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/>
                <w:i w:val="0"/>
                <w:sz w:val="18"/>
              </w:rPr>
              <w:t>判準1 輪廓係數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/>
                <w:i w:val="0"/>
                <w:sz w:val="18"/>
              </w:rPr>
              <w:t>判準2 平方和降幅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/>
                <w:i w:val="0"/>
                <w:sz w:val="18"/>
              </w:rPr>
              <w:t>判準3 最小群人數(≥4)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/>
                <w:i w:val="0"/>
                <w:sz w:val="18"/>
              </w:rPr>
              <w:t>判準4 群內認可度全距 ÷ 全體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/>
                <w:i w:val="0"/>
                <w:sz w:val="18"/>
              </w:rPr>
              <w:t>種子平均 ARI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/>
                <w:i w:val="0"/>
                <w:sz w:val="18"/>
              </w:rPr>
              <w:t>裁決</w:t>
            </w:r>
          </w:p>
        </w:tc>
      </w:tr>
      <w:tr>
        <w:trPr>
          <w:cantSplit/>
        </w:trPr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2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0.6435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24  ✓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100%  ✗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0.801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否(判準4)</w:t>
            </w:r>
          </w:p>
        </w:tc>
      </w:tr>
      <w:tr>
        <w:trPr>
          <w:cantSplit/>
        </w:trPr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3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0.6703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55.7%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4  ✓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100%  ✗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1.000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否(判準4)</w:t>
            </w:r>
          </w:p>
        </w:tc>
      </w:tr>
      <w:tr>
        <w:trPr>
          <w:cantSplit/>
        </w:trPr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4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0.6677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44.0%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4  ✓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50%  ✓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0.961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採用</w:t>
            </w:r>
          </w:p>
        </w:tc>
      </w:tr>
      <w:tr>
        <w:trPr>
          <w:cantSplit/>
        </w:trPr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5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0.6823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29.3%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2  ✗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50%  ✓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0.980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否(判準3)</w:t>
            </w:r>
          </w:p>
        </w:tc>
      </w:tr>
      <w:tr>
        <w:trPr>
          <w:cantSplit/>
        </w:trPr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6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0.6708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30.2%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2  ✗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50%  ✓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0.988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否(判準3)</w:t>
            </w:r>
          </w:p>
        </w:tc>
      </w:tr>
    </w:tbl>
    <w:p>
      <w:pPr>
        <w:spacing w:after="200"/>
      </w:pPr>
      <w:r>
        <w:rPr>
          <w:rFonts w:ascii="Calibri" w:hAnsi="Calibri" w:eastAsia="微軟正黑體"/>
          <w:b w:val="0"/>
          <w:i/>
          <w:sz w:val="17"/>
        </w:rPr>
        <w:t>註:取自 notebook §2.1、§2.2、§2.4、§2.5。四項判準於執行掃描前訂定,未因結果調整門檻。判準4 為群內單一 KPI 全距佔全體全距的比例,達 100% 者表示該指標在群內無區分力。ARI 以 20 組隨機種子(100–119)與 random_state = 42 的結果比對。k = 7 至 9 同樣不足 4 人門檻,已略。</w:t>
      </w:r>
    </w:p>
    <w:p>
      <w:pPr>
        <w:keepNext/>
        <w:spacing w:after="60"/>
      </w:pPr>
      <w:r>
        <w:rPr>
          <w:rFonts w:ascii="Calibri" w:hAnsi="Calibri" w:eastAsia="微軟正黑體"/>
          <w:b/>
          <w:i w:val="0"/>
          <w:sz w:val="20"/>
        </w:rPr>
        <w:t>圖一　輪廓係數與肘部法對 k 的建議不一致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349240" cy="269119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k_selecti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49240" cy="26911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</w:pPr>
      <w:r>
        <w:rPr>
          <w:rFonts w:ascii="Calibri" w:hAnsi="Calibri" w:eastAsia="微軟正黑體"/>
          <w:b w:val="0"/>
          <w:i/>
          <w:sz w:val="17"/>
        </w:rPr>
        <w:t>註:取自 notebook §2.3。輪廓係數(藍,左軸)最高點在 k = 5,群內平方和(紅,右軸)的轉折在 k = 4;兩法不一致時以業務可操作性裁決。</w:t>
      </w:r>
    </w:p>
    <w:p>
      <w:pPr>
        <w:pStyle w:val="Heading1"/>
      </w:pPr>
      <w:r>
        <w:rPr>
          <w:rFonts w:ascii="Calibri" w:hAnsi="Calibri" w:eastAsia="微軟正黑體"/>
          <w:b/>
          <w:i w:val="0"/>
          <w:color w:val="000000"/>
          <w:sz w:val="28"/>
        </w:rPr>
        <w:t>三、四個群組的語言解釋</w:t>
      </w:r>
    </w:p>
    <w:p>
      <w:pPr>
        <w:spacing w:after="120"/>
      </w:pPr>
      <w:r>
        <w:rPr>
          <w:rFonts w:ascii="Calibri" w:hAnsi="Calibri" w:eastAsia="微軟正黑體"/>
          <w:b w:val="0"/>
          <w:i w:val="0"/>
          <w:sz w:val="22"/>
        </w:rPr>
        <w:t>分群於標準化空間進行,呈現時還原為原始單位以便解讀(表四、圖二)。聚類為描述性技術,以下呈現群組間差異,不主張因果關係。</w:t>
      </w:r>
    </w:p>
    <w:p>
      <w:pPr>
        <w:spacing w:after="120"/>
      </w:pPr>
      <w:r>
        <w:rPr>
          <w:rFonts w:ascii="Calibri" w:hAnsi="Calibri" w:eastAsia="微軟正黑體"/>
          <w:b w:val="0"/>
          <w:i w:val="0"/>
          <w:sz w:val="22"/>
        </w:rPr>
        <w:t>對人力資源部門:四群提供可對應的四級獎金級距,公平性的辯護基礎在於級距由三項 KPI 的實際分布劃分而非主觀判定;惟最高級距僅 4 人,建議獎金池主體配置於前三級,並為高投入待認可群設計獨立的認可機制。</w:t>
      </w:r>
    </w:p>
    <w:p>
      <w:pPr>
        <w:spacing w:after="120"/>
      </w:pPr>
      <w:r>
        <w:rPr>
          <w:rFonts w:ascii="Calibri" w:hAnsi="Calibri" w:eastAsia="微軟正黑體"/>
          <w:b w:val="0"/>
          <w:i w:val="0"/>
          <w:sz w:val="22"/>
        </w:rPr>
        <w:t>對部門主管:受認可的專業骨幹投入與認可俱高、尚未帶隊,是負責人職位最直接的候補來源;高投入待認可群投入度達平均 2.2 倍卻幾乎未獲指派,應檢視指派流程。</w:t>
      </w:r>
    </w:p>
    <w:p>
      <w:pPr>
        <w:spacing w:after="120"/>
      </w:pPr>
      <w:r>
        <w:rPr>
          <w:rFonts w:ascii="Calibri" w:hAnsi="Calibri" w:eastAsia="微軟正黑體"/>
          <w:b w:val="0"/>
          <w:i w:val="0"/>
          <w:sz w:val="22"/>
        </w:rPr>
        <w:t>對高階主管:全體 96% 的顧問從未擔任負責人,人才梯隊的結構性風險高於個別績效問題。</w:t>
      </w:r>
    </w:p>
    <w:p>
      <w:pPr>
        <w:keepNext/>
        <w:spacing w:after="60"/>
      </w:pPr>
      <w:r>
        <w:rPr>
          <w:rFonts w:ascii="Calibri" w:hAnsi="Calibri" w:eastAsia="微軟正黑體"/>
          <w:b/>
          <w:i w:val="0"/>
          <w:sz w:val="20"/>
        </w:rPr>
        <w:t>表四　質心表(原始單位)與群組畫像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rPr>
          <w:tblHeader w:val="true"/>
          <w:cantSplit/>
        </w:trPr>
        <w:tc>
          <w:tcPr>
            <w:tcW w:type="dxa" w:w="1337"/>
          </w:tcPr>
          <w:p>
            <w:r>
              <w:rPr>
                <w:rFonts w:ascii="Calibri" w:hAnsi="Calibri" w:eastAsia="微軟正黑體"/>
                <w:b/>
                <w:i w:val="0"/>
                <w:sz w:val="18"/>
              </w:rPr>
              <w:t>群組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/>
                <w:i w:val="0"/>
                <w:sz w:val="18"/>
              </w:rPr>
              <w:t>人數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/>
                <w:i w:val="0"/>
                <w:sz w:val="18"/>
              </w:rPr>
              <w:t>佔比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/>
                <w:i w:val="0"/>
                <w:sz w:val="18"/>
              </w:rPr>
              <w:t>使用率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/>
                <w:i w:val="0"/>
                <w:sz w:val="18"/>
              </w:rPr>
              <w:t>認可度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/>
                <w:i w:val="0"/>
                <w:sz w:val="18"/>
              </w:rPr>
              <w:t>領導角色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/>
                <w:i w:val="0"/>
                <w:sz w:val="18"/>
              </w:rPr>
              <w:t>特徵</w:t>
            </w:r>
          </w:p>
        </w:tc>
      </w:tr>
      <w:tr>
        <w:trPr>
          <w:cantSplit/>
        </w:trPr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低度參與群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70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65.4%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0.102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0.00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0.0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投入度為全體平均三分之一</w:t>
            </w:r>
          </w:p>
        </w:tc>
      </w:tr>
      <w:tr>
        <w:trPr>
          <w:cantSplit/>
        </w:trPr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高投入待認可群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25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23.4%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0.674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0.36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0.0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投入高但幾乎未獲指派</w:t>
            </w:r>
          </w:p>
        </w:tc>
      </w:tr>
      <w:tr>
        <w:trPr>
          <w:cantSplit/>
        </w:trPr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受認可的專業骨幹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8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7.5%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0.751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2.50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0.0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投入與認可皆高,尚未帶隊</w:t>
            </w:r>
          </w:p>
        </w:tc>
      </w:tr>
      <w:tr>
        <w:trPr>
          <w:cantSplit/>
        </w:trPr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帶隊核心群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4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3.7%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0.810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2.75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1.5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三項全數領先</w:t>
            </w:r>
          </w:p>
        </w:tc>
      </w:tr>
      <w:tr>
        <w:trPr>
          <w:cantSplit/>
        </w:trPr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(全體平均)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107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100%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0.311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0.374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0.056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—</w:t>
            </w:r>
          </w:p>
        </w:tc>
      </w:tr>
    </w:tbl>
    <w:p>
      <w:pPr>
        <w:spacing w:after="200"/>
      </w:pPr>
      <w:r>
        <w:rPr>
          <w:rFonts w:ascii="Calibri" w:hAnsi="Calibri" w:eastAsia="微軟正黑體"/>
          <w:b w:val="0"/>
          <w:i/>
          <w:sz w:val="17"/>
        </w:rPr>
        <w:t>註:取自 notebook §3.1、§3.3。分群於標準化空間進行,本表將各群還原為原始欄位的平均值以便解讀;標準化空間的質心 z 分數見 notebook §3.1 對照表。</w:t>
      </w:r>
    </w:p>
    <w:p>
      <w:pPr>
        <w:keepNext/>
        <w:spacing w:after="60"/>
      </w:pPr>
      <w:r>
        <w:rPr>
          <w:rFonts w:ascii="Calibri" w:hAnsi="Calibri" w:eastAsia="微軟正黑體"/>
          <w:b/>
          <w:i w:val="0"/>
          <w:sz w:val="20"/>
        </w:rPr>
        <w:t>圖二　四個群組的績效輪廓(0 = 全體平均)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349240" cy="258388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cluster_profil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49240" cy="25838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</w:pPr>
      <w:r>
        <w:rPr>
          <w:rFonts w:ascii="Calibri" w:hAnsi="Calibri" w:eastAsia="微軟正黑體"/>
          <w:b w:val="0"/>
          <w:i/>
          <w:sz w:val="17"/>
        </w:rPr>
        <w:t>註:取自 notebook §3.4。縱軸單位為標準差;「高投入待認可群」的使用率明顯高於平均,但認可度與領導角色皆在平均之下。</w:t>
      </w:r>
    </w:p>
    <w:p>
      <w:pPr>
        <w:pStyle w:val="Heading1"/>
      </w:pPr>
      <w:r>
        <w:rPr>
          <w:rFonts w:ascii="Calibri" w:hAnsi="Calibri" w:eastAsia="微軟正黑體"/>
          <w:b/>
          <w:i w:val="0"/>
          <w:color w:val="000000"/>
          <w:sz w:val="28"/>
        </w:rPr>
        <w:t>四、績效最優群組的識別</w:t>
      </w:r>
    </w:p>
    <w:p>
      <w:pPr>
        <w:spacing w:after="120"/>
      </w:pPr>
      <w:r>
        <w:rPr>
          <w:rFonts w:ascii="Calibri" w:hAnsi="Calibri" w:eastAsia="微軟正黑體"/>
          <w:b w:val="0"/>
          <w:i w:val="0"/>
          <w:sz w:val="22"/>
        </w:rPr>
        <w:t>群 1「帶隊核心群」為績效最優群,共 4 人(員工編號 78、86、98、104)。</w:t>
      </w:r>
    </w:p>
    <w:p>
      <w:pPr>
        <w:spacing w:after="120"/>
      </w:pPr>
      <w:r>
        <w:rPr>
          <w:rFonts w:ascii="Calibri" w:hAnsi="Calibri" w:eastAsia="微軟正黑體"/>
          <w:b w:val="0"/>
          <w:i w:val="0"/>
          <w:sz w:val="22"/>
        </w:rPr>
        <w:t>依據為質心表的逐欄比較(表五):該群三項指標同時排名第一,使用率與認可度分別為全體平均的2.6 與 7.4 倍。領導角色不採倍數表述——其全體平均僅 0.056、96% 的顧問為 0,以近零數值為分母會誇大差異;改以絕對佔比陳述:這 4 人持有全公司全部 6 個帶隊職位。三項指標指向同一群,不存在 KPI 衝突,無須權重假設;另以等權、重領導、重投入三種方案檢查,群 1 皆為四群最高。</w:t>
      </w:r>
    </w:p>
    <w:p>
      <w:pPr>
        <w:spacing w:after="120"/>
      </w:pPr>
      <w:r>
        <w:rPr>
          <w:rFonts w:ascii="Calibri" w:hAnsi="Calibri" w:eastAsia="微軟正黑體"/>
          <w:b w:val="0"/>
          <w:i w:val="0"/>
          <w:sz w:val="22"/>
        </w:rPr>
        <w:t>此群成員在 20 組隨機種子下完全未變動,判定不受初始值影響。惟其僅佔 3.7%,建議最高級距維持 4 人以確立標竿,獎金池主體配置於前三級。群 2 僅在領導角色上落後;若政策不將帶隊視為必要條件,兩群可併為最高級距,涵蓋人數增至 12 人。</w:t>
      </w:r>
    </w:p>
    <w:p>
      <w:pPr>
        <w:keepNext/>
        <w:spacing w:after="60"/>
      </w:pPr>
      <w:r>
        <w:rPr>
          <w:rFonts w:ascii="Calibri" w:hAnsi="Calibri" w:eastAsia="微軟正黑體"/>
          <w:b/>
          <w:i w:val="0"/>
          <w:sz w:val="20"/>
        </w:rPr>
        <w:t>表五　質心逐欄比較與權重敏感度檢查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rPr>
          <w:tblHeader w:val="true"/>
          <w:cantSplit/>
        </w:trPr>
        <w:tc>
          <w:tcPr>
            <w:tcW w:type="dxa" w:w="1337"/>
          </w:tcPr>
          <w:p>
            <w:r>
              <w:rPr>
                <w:rFonts w:ascii="Calibri" w:hAnsi="Calibri" w:eastAsia="微軟正黑體"/>
                <w:b/>
                <w:i w:val="0"/>
                <w:sz w:val="18"/>
              </w:rPr>
              <w:t>群組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/>
                <w:i w:val="0"/>
                <w:sz w:val="18"/>
              </w:rPr>
              <w:t>使用率(排名)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/>
                <w:i w:val="0"/>
                <w:sz w:val="18"/>
              </w:rPr>
              <w:t>認可度(排名)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/>
                <w:i w:val="0"/>
                <w:sz w:val="18"/>
              </w:rPr>
              <w:t>領導角色(排名)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/>
                <w:i w:val="0"/>
                <w:sz w:val="18"/>
              </w:rPr>
              <w:t>等權分數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/>
                <w:i w:val="0"/>
                <w:sz w:val="18"/>
              </w:rPr>
              <w:t>重領導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/>
                <w:i w:val="0"/>
                <w:sz w:val="18"/>
              </w:rPr>
              <w:t>重投入</w:t>
            </w:r>
          </w:p>
        </w:tc>
      </w:tr>
      <w:tr>
        <w:trPr>
          <w:cantSplit/>
        </w:trPr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帶隊核心群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0.810(1)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2.75(1)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1.50(1)　全公司 6 個帶隊職位全數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0.752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0.745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0.765</w:t>
            </w:r>
          </w:p>
        </w:tc>
      </w:tr>
      <w:tr>
        <w:trPr>
          <w:cantSplit/>
        </w:trPr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受認可的專業骨幹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0.751(2)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2.50(2)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0.00(3)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0.461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0.339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0.567</w:t>
            </w:r>
          </w:p>
        </w:tc>
      </w:tr>
      <w:tr>
        <w:trPr>
          <w:cantSplit/>
        </w:trPr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高投入待認可群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0.674(3)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0.36(3)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0.00(3)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0.257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0.163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0.367</w:t>
            </w:r>
          </w:p>
        </w:tc>
      </w:tr>
      <w:tr>
        <w:trPr>
          <w:cantSplit/>
        </w:trPr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低度參與群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0.102(4)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0.00(4)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0.00(3)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0.034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0.021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0.052</w:t>
            </w:r>
          </w:p>
        </w:tc>
      </w:tr>
    </w:tbl>
    <w:p>
      <w:pPr>
        <w:spacing w:after="200"/>
      </w:pPr>
      <w:r>
        <w:rPr>
          <w:rFonts w:ascii="Calibri" w:hAnsi="Calibri" w:eastAsia="微軟正黑體"/>
          <w:b w:val="0"/>
          <w:i/>
          <w:sz w:val="17"/>
        </w:rPr>
        <w:t>註:取自 notebook §4.1、§4.3。排名 1 為該指標最高。三種權重方案的分數係將質心以 min-max 轉為 0–1 後加權求和;三方案結論一致,均指向帶隊核心群。領導角色不列倍數:其全體平均僅 0.056(96% 為 0),以近零數值為分母會誇大差異,故改列絕對佔比。</w:t>
      </w:r>
    </w:p>
    <w:p>
      <w:pPr>
        <w:keepNext/>
        <w:spacing w:after="60"/>
      </w:pPr>
      <w:r>
        <w:rPr>
          <w:rFonts w:ascii="Calibri" w:hAnsi="Calibri" w:eastAsia="微軟正黑體"/>
          <w:b/>
          <w:i w:val="0"/>
          <w:sz w:val="20"/>
        </w:rPr>
        <w:t>圖四　各群個體輪廓值分布(k = 4)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349240" cy="268405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silhouett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49240" cy="26840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</w:pPr>
      <w:r>
        <w:rPr>
          <w:rFonts w:ascii="Calibri" w:hAnsi="Calibri" w:eastAsia="微軟正黑體"/>
          <w:b w:val="0"/>
          <w:i/>
          <w:sz w:val="17"/>
        </w:rPr>
        <w:t>註:取自 notebook §5.4。無任何個體輪廓值為負,表示沒有明顯被錯置的個案;紅色虛線為整體平均 0.668。</w:t>
      </w:r>
    </w:p>
    <w:p>
      <w:pPr>
        <w:pStyle w:val="Heading1"/>
      </w:pPr>
      <w:r>
        <w:rPr>
          <w:rFonts w:ascii="Calibri" w:hAnsi="Calibri" w:eastAsia="微軟正黑體"/>
          <w:b/>
          <w:i w:val="0"/>
          <w:color w:val="000000"/>
          <w:sz w:val="28"/>
        </w:rPr>
        <w:t>五、方法限制</w:t>
      </w:r>
    </w:p>
    <w:p>
      <w:pPr>
        <w:spacing w:after="120"/>
      </w:pPr>
      <w:r>
        <w:rPr>
          <w:rFonts w:ascii="Calibri" w:hAnsi="Calibri" w:eastAsia="微軟正黑體"/>
          <w:b w:val="0"/>
          <w:i w:val="0"/>
          <w:sz w:val="22"/>
        </w:rPr>
        <w:t>其一,序位變數被視為等距;以秩轉換重跑,調整後蘭德指數為 0.38,群組邊界會隨處理方式移動,惟核心發現在兩種處理下皆成立。其二,聚類為描述性技術,不能推論因果。其三,資料為單一時點,不含時間維度。</w:t>
      </w:r>
    </w:p>
    <w:p>
      <w:pPr>
        <w:pStyle w:val="Heading1"/>
      </w:pPr>
      <w:r>
        <w:rPr>
          <w:rFonts w:ascii="Calibri" w:hAnsi="Calibri" w:eastAsia="微軟正黑體"/>
          <w:b/>
          <w:i w:val="0"/>
          <w:color w:val="000000"/>
          <w:sz w:val="28"/>
        </w:rPr>
        <w:t>結論</w:t>
      </w:r>
    </w:p>
    <w:p>
      <w:pPr>
        <w:spacing w:after="120"/>
      </w:pPr>
      <w:r>
        <w:rPr>
          <w:rFonts w:ascii="Calibri" w:hAnsi="Calibri" w:eastAsia="微軟正黑體"/>
          <w:b w:val="0"/>
          <w:i w:val="0"/>
          <w:sz w:val="22"/>
        </w:rPr>
        <w:t>採用方案為:排除員工識別碼、施以標準化、以 k = 4 分群。標準化的必要性由認可度獨佔 79.6% 距離權重、分群退化為單變數複製、10 位高投入顧問遭錯置三項證據支持;k = 4 則由事前訂定的四項判準共同裁決。</w:t>
      </w:r>
    </w:p>
    <w:p>
      <w:pPr>
        <w:spacing w:after="120"/>
      </w:pPr>
      <w:r>
        <w:rPr>
          <w:rFonts w:ascii="Calibri" w:hAnsi="Calibri" w:eastAsia="微軟正黑體"/>
          <w:b w:val="0"/>
          <w:i w:val="0"/>
          <w:sz w:val="22"/>
        </w:rPr>
        <w:t>建議下一步:確認四級獎金級距與配置比例並決定是否併合群 1 與群 2、檢視指派流程是否已反映實際投入、將專業骨幹納入接班規劃。</w:t>
      </w:r>
    </w:p>
    <w:p>
      <w:pPr>
        <w:pStyle w:val="Heading1"/>
      </w:pPr>
      <w:r>
        <w:rPr>
          <w:rFonts w:ascii="Calibri" w:hAnsi="Calibri" w:eastAsia="微軟正黑體"/>
          <w:b/>
          <w:i w:val="0"/>
          <w:color w:val="000000"/>
          <w:sz w:val="28"/>
        </w:rPr>
        <w:t>參考文獻</w:t>
      </w:r>
    </w:p>
    <w:p>
      <w:pPr>
        <w:spacing w:after="160"/>
        <w:ind w:left="720" w:hanging="720"/>
      </w:pPr>
      <w:r>
        <w:rPr>
          <w:rFonts w:ascii="Calibri" w:hAnsi="Calibri" w:eastAsia="微軟正黑體"/>
          <w:b w:val="0"/>
          <w:i w:val="0"/>
          <w:sz w:val="21"/>
        </w:rPr>
        <w:t>Hubert, L., &amp; Arabie, P. (1985). Comparing partitions. Journal of Classification, 2(1), 193–218. https://doi.org/10.1007/BF01908075</w:t>
      </w:r>
    </w:p>
    <w:p>
      <w:pPr>
        <w:spacing w:after="160"/>
        <w:ind w:left="720" w:hanging="720"/>
      </w:pPr>
      <w:r>
        <w:rPr>
          <w:rFonts w:ascii="Calibri" w:hAnsi="Calibri" w:eastAsia="微軟正黑體"/>
          <w:b w:val="0"/>
          <w:i w:val="0"/>
          <w:sz w:val="21"/>
        </w:rPr>
        <w:t>Milligan, G. W., &amp; Cooper, M. C. (1988). A study of standardization of variables in cluster analysis. Journal of Classification, 5(2), 181–204. https://doi.org/10.1007/BF01897163</w:t>
      </w:r>
    </w:p>
    <w:p>
      <w:pPr>
        <w:spacing w:after="160"/>
        <w:ind w:left="720" w:hanging="720"/>
      </w:pPr>
      <w:r>
        <w:rPr>
          <w:rFonts w:ascii="Calibri" w:hAnsi="Calibri" w:eastAsia="微軟正黑體"/>
          <w:b w:val="0"/>
          <w:i w:val="0"/>
          <w:sz w:val="21"/>
        </w:rPr>
        <w:t>Rousseeuw, P. J. (1987). Silhouettes: A graphical aid to the interpretation and validation of cluster analysis. Journal of Computational and Applied Mathematics, 20, 53–65. https://doi.org/10.1016/0377-0427(87)90125-7</w:t>
      </w:r>
    </w:p>
    <w:sectPr w:rsidR="00FC693F" w:rsidRPr="0006063C" w:rsidSect="00034616">
      <w:foot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微軟正黑體"/>
        <w:b w:val="0"/>
        <w:i w:val="0"/>
        <w:sz w:val="1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微軟正黑體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