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</w:r>
    </w:p>
    <w:p>
      <w:pPr>
        <w:spacing w:after="80"/>
        <w:jc w:val="center"/>
      </w:pPr>
      <w:r>
        <w:rPr>
          <w:rFonts w:ascii="Calibri" w:hAnsi="Calibri" w:eastAsia="微軟正黑體"/>
          <w:b/>
          <w:i w:val="0"/>
          <w:sz w:val="40"/>
        </w:rPr>
        <w:t>以 K-means 非監督式學習分析顧問績效</w:t>
      </w:r>
    </w:p>
    <w:p>
      <w:pPr>
        <w:spacing w:after="600"/>
        <w:jc w:val="center"/>
      </w:pPr>
      <w:r>
        <w:rPr>
          <w:rFonts w:ascii="Calibri" w:hAnsi="Calibri" w:eastAsia="微軟正黑體"/>
          <w:b w:val="0"/>
          <w:i w:val="0"/>
          <w:sz w:val="28"/>
        </w:rPr>
        <w:t>—— IBM 獎金級距設計建議</w:t>
      </w:r>
    </w:p>
    <w:p>
      <w:pPr>
        <w:spacing w:after="120"/>
        <w:jc w:val="center"/>
      </w:pPr>
      <w:r>
        <w:rPr>
          <w:rFonts w:ascii="Calibri" w:hAnsi="Calibri" w:eastAsia="微軟正黑體"/>
          <w:b w:val="0"/>
          <w:i w:val="0"/>
          <w:sz w:val="24"/>
        </w:rPr>
        <w:t>評估任務 2b</w:t>
      </w:r>
    </w:p>
    <w:p>
      <w:pPr>
        <w:spacing w:after="120"/>
        <w:jc w:val="center"/>
      </w:pPr>
      <w:r>
        <w:rPr>
          <w:rFonts w:ascii="Calibri" w:hAnsi="Calibri" w:eastAsia="微軟正黑體"/>
          <w:b w:val="0"/>
          <w:i w:val="0"/>
          <w:sz w:val="24"/>
        </w:rPr>
        <w:t>課程:421104 企業人工智慧</w:t>
      </w:r>
    </w:p>
    <w:p>
      <w:pPr>
        <w:spacing w:after="120"/>
        <w:jc w:val="center"/>
      </w:pPr>
      <w:r>
        <w:rPr>
          <w:rFonts w:ascii="Calibri" w:hAnsi="Calibri" w:eastAsia="微軟正黑體"/>
          <w:b w:val="0"/>
          <w:i w:val="0"/>
          <w:sz w:val="24"/>
        </w:rPr>
        <w:t>姓名:Po-Kai Huang    學號:26254793</w:t>
      </w:r>
    </w:p>
    <w:p>
      <w:pPr>
        <w:spacing w:after="120"/>
        <w:jc w:val="center"/>
      </w:pPr>
      <w:r>
        <w:rPr>
          <w:rFonts w:ascii="Calibri" w:hAnsi="Calibri" w:eastAsia="微軟正黑體"/>
          <w:b w:val="0"/>
          <w:i w:val="0"/>
          <w:sz w:val="24"/>
        </w:rPr>
        <w:t>繳交日期:2026 年 8 月 2 日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</w:r>
    </w:p>
    <w:p>
      <w:pPr>
        <w:spacing w:after="120"/>
        <w:jc w:val="center"/>
      </w:pPr>
      <w:r>
        <w:rPr>
          <w:rFonts w:ascii="Calibri" w:hAnsi="Calibri" w:eastAsia="微軟正黑體"/>
          <w:b w:val="0"/>
          <w:i w:val="0"/>
          <w:sz w:val="21"/>
        </w:rPr>
        <w:t>附件:Huang_26254793_421104_Assessment 2b.ipynb</w:t>
      </w:r>
    </w:p>
    <w:p>
      <w:r>
        <w:br w:type="page"/>
      </w:r>
    </w:p>
    <w:p>
      <w:pPr>
        <w:spacing w:after="160"/>
      </w:pPr>
      <w:r>
        <w:rPr>
          <w:rFonts w:ascii="Calibri" w:hAnsi="Calibri" w:eastAsia="微軟正黑體"/>
          <w:b/>
          <w:i w:val="0"/>
          <w:sz w:val="28"/>
        </w:rPr>
        <w:t>目錄</w:t>
      </w:r>
    </w:p>
    <w:p>
      <w:r>
        <w:fldChar w:fldCharType="begin" w:dirty="true"/>
        <w:instrText xml:space="preserve">TOC \o "1-1" \h \z \u</w:instrText>
        <w:fldChar w:fldCharType="separate"/>
        <w:t xml:space="preserve">管理摘要　|　一、主要數據特徵:納入與排除的決策　|　二、最優聚類數的決定　|　三、四個群組的語言解釋　|　四、績效最優群組的識別　|　五、方法限制　|　結論　|　參考文獻</w:t>
        <w:fldChar w:fldCharType="end"/>
      </w:r>
    </w:p>
    <w:p>
      <w:r>
        <w:br w:type="page"/>
      </w:r>
    </w:p>
    <w:p>
      <w:pPr>
        <w:pStyle w:val="Heading1"/>
      </w:pPr>
      <w:r>
        <w:rPr>
          <w:rFonts w:ascii="Calibri" w:hAnsi="Calibri" w:eastAsia="微軟正黑體"/>
          <w:b/>
          <w:i w:val="0"/>
          <w:color w:val="000000"/>
          <w:sz w:val="28"/>
        </w:rPr>
        <w:t>管理摘要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本報告以 K-means 將 107 位 IBM 顧問依三項績效指標分為四群,作為獎金級距依據(圖五)。「帶隊核心群」(4 人)為績效最優群,惟僅佔 3.7%;「高投入待認可群」(25 人)投入度達平均 2.2 倍卻幾乎未獲指派,未標準化時無法辨識。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提請決定:級距配置比例(圖七)、是否併合最高兩級、是否檢視指派流程。</w:t>
      </w:r>
    </w:p>
    <w:p>
      <w:pPr>
        <w:keepNext/>
        <w:spacing w:after="60"/>
      </w:pPr>
      <w:r>
        <w:rPr>
          <w:rFonts w:ascii="Calibri" w:hAnsi="Calibri" w:eastAsia="微軟正黑體"/>
          <w:b/>
          <w:i w:val="0"/>
          <w:sz w:val="20"/>
        </w:rPr>
        <w:t>圖五　分析流程與各階段的關鍵判斷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49240" cy="15854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work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15854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rFonts w:ascii="Calibri" w:hAnsi="Calibri" w:eastAsia="微軟正黑體"/>
          <w:b w:val="0"/>
          <w:i/>
          <w:sz w:val="17"/>
        </w:rPr>
        <w:t>註:取自 notebook §3.6a。各節點標示的數值均為本次分析的實際結果,非流程示意。全程固定 random_state = 42、n_init = 10。</w:t>
      </w:r>
    </w:p>
    <w:p>
      <w:pPr>
        <w:pStyle w:val="Heading1"/>
      </w:pPr>
      <w:r>
        <w:rPr>
          <w:rFonts w:ascii="Calibri" w:hAnsi="Calibri" w:eastAsia="微軟正黑體"/>
          <w:b/>
          <w:i w:val="0"/>
          <w:color w:val="000000"/>
          <w:sz w:val="28"/>
        </w:rPr>
        <w:t>一、主要數據特徵:納入與排除的決策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四欄的業務意義、統計特性與納入決策逐欄列於表一。保留的三項指標分別涵蓋投入程度、獲得指派的機會與承擔的責任層級,共同構成績效全貌;EmployeeID 則予排除——它是標稱型識別碼,數值不承載順序意義,且標準差為其餘三欄的 36 至 103 倍,納入後獨佔距離平方 99% 以上,實跑反證顯示分群會退化為按編號切段。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第二層決策是尺度。常見誤解是「不標準化較中立」,事實相反:未縮放時權重由各欄離散程度而非業務判斷決定——認可度一欄即佔距離平方的 79.6%,使分群退化為單變數複製,與「直接按認可度分組」的調整後蘭德指數(Hubert &amp; Arabie, 1985)達 0.99。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其影響可具體量化(圖三、表二):10 位使用率 0.61 至 0.92 但認可度為 0 的顧問,未縮放時被併入一個使用率跨幅 0.00 至 0.92 的 86 人群。縮放方式本身則不影響結論:z 分數、MinMax、以及對數轉換後標準化(因認可度與領導角色右偏)三者皆得相同的四群結構與績效最優群(notebook §5.1b)。標準化並非「不加權」,而是把權重改為可依政策調整的假設(Milligan &amp; Cooper, 1988)。</w:t>
      </w:r>
    </w:p>
    <w:p>
      <w:pPr>
        <w:keepNext/>
        <w:spacing w:after="60"/>
      </w:pPr>
      <w:r>
        <w:rPr>
          <w:rFonts w:ascii="Calibri" w:hAnsi="Calibri" w:eastAsia="微軟正黑體"/>
          <w:b/>
          <w:i w:val="0"/>
          <w:sz w:val="20"/>
        </w:rPr>
        <w:t>表一　變數審核與納入決策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rPr>
          <w:tblHeader w:val="true"/>
          <w:cantSplit/>
        </w:trPr>
        <w:tc>
          <w:tcPr>
            <w:tcW w:type="dxa" w:w="1170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變數</w:t>
            </w:r>
          </w:p>
        </w:tc>
        <w:tc>
          <w:tcPr>
            <w:tcW w:type="dxa" w:w="1170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業務意義</w:t>
            </w:r>
          </w:p>
        </w:tc>
        <w:tc>
          <w:tcPr>
            <w:tcW w:type="dxa" w:w="1170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型別</w:t>
            </w:r>
          </w:p>
        </w:tc>
        <w:tc>
          <w:tcPr>
            <w:tcW w:type="dxa" w:w="1170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範圍</w:t>
            </w:r>
          </w:p>
        </w:tc>
        <w:tc>
          <w:tcPr>
            <w:tcW w:type="dxa" w:w="1170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標準差</w:t>
            </w:r>
          </w:p>
        </w:tc>
        <w:tc>
          <w:tcPr>
            <w:tcW w:type="dxa" w:w="1170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零值佔比</w:t>
            </w:r>
          </w:p>
        </w:tc>
        <w:tc>
          <w:tcPr>
            <w:tcW w:type="dxa" w:w="1170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佔距離平方權重(未縮放)</w:t>
            </w:r>
          </w:p>
        </w:tc>
        <w:tc>
          <w:tcPr>
            <w:tcW w:type="dxa" w:w="1170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決策與理由</w:t>
            </w:r>
          </w:p>
        </w:tc>
      </w:tr>
      <w:tr>
        <w:trPr>
          <w:cantSplit/>
        </w:trPr>
        <w:tc>
          <w:tcPr>
            <w:tcW w:type="dxa" w:w="117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EmployeeID</w:t>
            </w:r>
          </w:p>
        </w:tc>
        <w:tc>
          <w:tcPr>
            <w:tcW w:type="dxa" w:w="117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員工識別碼(流水號)</w:t>
            </w:r>
          </w:p>
        </w:tc>
        <w:tc>
          <w:tcPr>
            <w:tcW w:type="dxa" w:w="117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整數</w:t>
            </w:r>
          </w:p>
        </w:tc>
        <w:tc>
          <w:tcPr>
            <w:tcW w:type="dxa" w:w="117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1–107</w:t>
            </w:r>
          </w:p>
        </w:tc>
        <w:tc>
          <w:tcPr>
            <w:tcW w:type="dxa" w:w="117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30.89</w:t>
            </w:r>
          </w:p>
        </w:tc>
        <w:tc>
          <w:tcPr>
            <w:tcW w:type="dxa" w:w="117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0%</w:t>
            </w:r>
          </w:p>
        </w:tc>
        <w:tc>
          <w:tcPr>
            <w:tcW w:type="dxa" w:w="117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99%+</w:t>
            </w:r>
          </w:p>
        </w:tc>
        <w:tc>
          <w:tcPr>
            <w:tcW w:type="dxa" w:w="117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排除:標稱型識別碼,數值無序位意義,且獨佔距離</w:t>
            </w:r>
          </w:p>
        </w:tc>
      </w:tr>
      <w:tr>
        <w:trPr>
          <w:cantSplit/>
        </w:trPr>
        <w:tc>
          <w:tcPr>
            <w:tcW w:type="dxa" w:w="117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UsageRate</w:t>
            </w:r>
          </w:p>
        </w:tc>
        <w:tc>
          <w:tcPr>
            <w:tcW w:type="dxa" w:w="117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在高優先級專案實際投入的時間佔比</w:t>
            </w:r>
          </w:p>
        </w:tc>
        <w:tc>
          <w:tcPr>
            <w:tcW w:type="dxa" w:w="117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小數</w:t>
            </w:r>
          </w:p>
        </w:tc>
        <w:tc>
          <w:tcPr>
            <w:tcW w:type="dxa" w:w="117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0.00–0.99</w:t>
            </w:r>
          </w:p>
        </w:tc>
        <w:tc>
          <w:tcPr>
            <w:tcW w:type="dxa" w:w="117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0.3145</w:t>
            </w:r>
          </w:p>
        </w:tc>
        <w:tc>
          <w:tcPr>
            <w:tcW w:type="dxa" w:w="117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10%</w:t>
            </w:r>
          </w:p>
        </w:tc>
        <w:tc>
          <w:tcPr>
            <w:tcW w:type="dxa" w:w="117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10.7%</w:t>
            </w:r>
          </w:p>
        </w:tc>
        <w:tc>
          <w:tcPr>
            <w:tcW w:type="dxa" w:w="117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納入:反映個人投入程度</w:t>
            </w:r>
          </w:p>
        </w:tc>
      </w:tr>
      <w:tr>
        <w:trPr>
          <w:cantSplit/>
        </w:trPr>
        <w:tc>
          <w:tcPr>
            <w:tcW w:type="dxa" w:w="117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Recognition</w:t>
            </w:r>
          </w:p>
        </w:tc>
        <w:tc>
          <w:tcPr>
            <w:tcW w:type="dxa" w:w="117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被特別指派參與的專案數量</w:t>
            </w:r>
          </w:p>
        </w:tc>
        <w:tc>
          <w:tcPr>
            <w:tcW w:type="dxa" w:w="117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整數</w:t>
            </w:r>
          </w:p>
        </w:tc>
        <w:tc>
          <w:tcPr>
            <w:tcW w:type="dxa" w:w="117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0–4</w:t>
            </w:r>
          </w:p>
        </w:tc>
        <w:tc>
          <w:tcPr>
            <w:tcW w:type="dxa" w:w="117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0.8595</w:t>
            </w:r>
          </w:p>
        </w:tc>
        <w:tc>
          <w:tcPr>
            <w:tcW w:type="dxa" w:w="117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80%</w:t>
            </w:r>
          </w:p>
        </w:tc>
        <w:tc>
          <w:tcPr>
            <w:tcW w:type="dxa" w:w="117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79.6%</w:t>
            </w:r>
          </w:p>
        </w:tc>
        <w:tc>
          <w:tcPr>
            <w:tcW w:type="dxa" w:w="117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納入:反映獲得指派的機會</w:t>
            </w:r>
          </w:p>
        </w:tc>
      </w:tr>
      <w:tr>
        <w:trPr>
          <w:cantSplit/>
        </w:trPr>
        <w:tc>
          <w:tcPr>
            <w:tcW w:type="dxa" w:w="117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Leader</w:t>
            </w:r>
          </w:p>
        </w:tc>
        <w:tc>
          <w:tcPr>
            <w:tcW w:type="dxa" w:w="117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擔任專案負責人的專案數量</w:t>
            </w:r>
          </w:p>
        </w:tc>
        <w:tc>
          <w:tcPr>
            <w:tcW w:type="dxa" w:w="117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整數</w:t>
            </w:r>
          </w:p>
        </w:tc>
        <w:tc>
          <w:tcPr>
            <w:tcW w:type="dxa" w:w="117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0–2</w:t>
            </w:r>
          </w:p>
        </w:tc>
        <w:tc>
          <w:tcPr>
            <w:tcW w:type="dxa" w:w="117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0.3005</w:t>
            </w:r>
          </w:p>
        </w:tc>
        <w:tc>
          <w:tcPr>
            <w:tcW w:type="dxa" w:w="117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96%</w:t>
            </w:r>
          </w:p>
        </w:tc>
        <w:tc>
          <w:tcPr>
            <w:tcW w:type="dxa" w:w="117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9.7%</w:t>
            </w:r>
          </w:p>
        </w:tc>
        <w:tc>
          <w:tcPr>
            <w:tcW w:type="dxa" w:w="117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納入:反映承擔的責任層級</w:t>
            </w:r>
          </w:p>
        </w:tc>
      </w:tr>
    </w:tbl>
    <w:p>
      <w:pPr>
        <w:spacing w:after="200"/>
      </w:pPr>
      <w:r>
        <w:rPr>
          <w:rFonts w:ascii="Calibri" w:hAnsi="Calibri" w:eastAsia="微軟正黑體"/>
          <w:b w:val="0"/>
          <w:i/>
          <w:sz w:val="17"/>
        </w:rPr>
        <w:t>註:數值取自 notebook §1.2 逐欄審核表與 §1.5 權重計算;業務意義依作業說明所定義。「佔距離平方權重」指該欄變異數佔歐氏距離平方總變異的比例。保留的三項指標分別涵蓋投入、機會與責任三個構面,共同構成績效的完整面貌。</w:t>
      </w:r>
    </w:p>
    <w:p>
      <w:pPr>
        <w:keepNext/>
        <w:spacing w:after="60"/>
      </w:pPr>
      <w:r>
        <w:rPr>
          <w:rFonts w:ascii="Calibri" w:hAnsi="Calibri" w:eastAsia="微軟正黑體"/>
          <w:b/>
          <w:i w:val="0"/>
          <w:sz w:val="20"/>
        </w:rPr>
        <w:t>表二　縮放決策對 10 位高投入顧問的實質影響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  <w:cantSplit/>
        </w:trPr>
        <w:tc>
          <w:tcPr>
            <w:tcW w:type="dxa" w:w="2340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尺度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該 10 人所屬群人數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該群使用率跨幅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業務可解釋性</w:t>
            </w:r>
          </w:p>
        </w:tc>
      </w:tr>
      <w:tr>
        <w:trPr>
          <w:cantSplit/>
        </w:trPr>
        <w:tc>
          <w:tcPr>
            <w:tcW w:type="dxa" w:w="23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未縮放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86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0.00–0.92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否:投入 92% 與 0% 同級距</w:t>
            </w:r>
          </w:p>
        </w:tc>
      </w:tr>
      <w:tr>
        <w:trPr>
          <w:cantSplit/>
        </w:trPr>
        <w:tc>
          <w:tcPr>
            <w:tcW w:type="dxa" w:w="23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標準化 z 分數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25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0.41–0.94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是:自成「高投入待認可群」</w:t>
            </w:r>
          </w:p>
        </w:tc>
      </w:tr>
      <w:tr>
        <w:trPr>
          <w:cantSplit/>
        </w:trPr>
        <w:tc>
          <w:tcPr>
            <w:tcW w:type="dxa" w:w="23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MinMax 0–1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25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0.41–0.94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是:與 z 分數結果完全相同</w:t>
            </w:r>
          </w:p>
        </w:tc>
      </w:tr>
    </w:tbl>
    <w:p>
      <w:pPr>
        <w:spacing w:after="200"/>
      </w:pPr>
      <w:r>
        <w:rPr>
          <w:rFonts w:ascii="Calibri" w:hAnsi="Calibri" w:eastAsia="微軟正黑體"/>
          <w:b w:val="0"/>
          <w:i/>
          <w:sz w:val="17"/>
        </w:rPr>
        <w:t>註:取自 notebook §1.7。該 10 人定義為使用率 ≥ 0.60 且認可度 = 0(員工編號 2、44、47、60、77、81、88、91、96、97)。k 固定為 4。</w:t>
      </w:r>
    </w:p>
    <w:p>
      <w:pPr>
        <w:keepNext/>
        <w:spacing w:after="60"/>
      </w:pPr>
      <w:r>
        <w:rPr>
          <w:rFonts w:ascii="Calibri" w:hAnsi="Calibri" w:eastAsia="微軟正黑體"/>
          <w:b/>
          <w:i w:val="0"/>
          <w:sz w:val="20"/>
        </w:rPr>
        <w:t>圖三　是否縮放,決定了 10 位高投入顧問被歸入哪一群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49240" cy="213921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scaling_effec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2139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rFonts w:ascii="Calibri" w:hAnsi="Calibri" w:eastAsia="微軟正黑體"/>
          <w:b w:val="0"/>
          <w:i/>
          <w:sz w:val="17"/>
        </w:rPr>
        <w:t>註:取自 notebook §3.5。左圖未縮放,10 位高投入者(紅色區域)被併入低投入群;右圖標準化後自成一群。認可度為整數,已加隨機抖動以避免點重疊。</w:t>
      </w:r>
    </w:p>
    <w:p>
      <w:pPr>
        <w:pStyle w:val="Heading1"/>
      </w:pPr>
      <w:r>
        <w:rPr>
          <w:rFonts w:ascii="Calibri" w:hAnsi="Calibri" w:eastAsia="微軟正黑體"/>
          <w:b/>
          <w:i w:val="0"/>
          <w:color w:val="000000"/>
          <w:sz w:val="28"/>
        </w:rPr>
        <w:t>二、最優聚類數的決定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四項判準於掃描前即已訂定,以免先看結果再找理由;門檻與逐 k 裁決見表三:統計面為輪廓係數(Rousseeuw, 1987)與肘部法,業務面為每群最小人數與群內單一 KPI 全距。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統計面兩項衝突:輪廓係數最高在 k = 5(0.6823),但 k = 3、4、5 全距僅 0.0146、視為平手;肘部法指向 k = 4(圖一)。業務面則排除相鄰候選:k = 5 產生兩個各 2 人的群;k = 3 的中間群 27 人,群內認可度全距等於全體全距的 100%,該指標在此級距內無區分力,k = 4 拆開後降至 50% 以下。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判準門檻亦經檢驗:取 3 或 4 人結論同為 k = 4,惟該門檻無外部依據(§2.5c)。k = 4 的種子平均 ARI 為 0.961,僅 10 人曾變動且全在邊界,個體輪廓值僅 1 人為負(圖四)。</w:t>
      </w:r>
    </w:p>
    <w:p>
      <w:pPr>
        <w:keepNext/>
        <w:spacing w:after="60"/>
      </w:pPr>
      <w:r>
        <w:rPr>
          <w:rFonts w:ascii="Calibri" w:hAnsi="Calibri" w:eastAsia="微軟正黑體"/>
          <w:b/>
          <w:i w:val="0"/>
          <w:sz w:val="20"/>
        </w:rPr>
        <w:t>表三　四項判準的掃描結果與裁決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rPr>
          <w:tblHeader w:val="true"/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k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判準1 輪廓係數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判準2 平方和降幅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判準3 最小群人數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判準4 群內認可度全距 ÷ 全體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種子平均 ARI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裁決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0.6435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24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100%  ✗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0.801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否(判準4)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3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0.6703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55.7%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4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100%  ✗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1.000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否(判準4)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4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0.6677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44.0%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4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50%  ✓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0.961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採用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5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0.6823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29.3%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  ✗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50%  ✓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0.980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否(判準3)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6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0.6708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30.2%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  ✗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50%  ✓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0.988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否(判準3)</w:t>
            </w:r>
          </w:p>
        </w:tc>
      </w:tr>
    </w:tbl>
    <w:p>
      <w:pPr>
        <w:spacing w:after="200"/>
      </w:pPr>
      <w:r>
        <w:rPr>
          <w:rFonts w:ascii="Calibri" w:hAnsi="Calibri" w:eastAsia="微軟正黑體"/>
          <w:b w:val="0"/>
          <w:i/>
          <w:sz w:val="17"/>
        </w:rPr>
        <w:t>註:取自 notebook §2.1、§2.2、§2.4、§2.5。四項判準於執行掃描前訂定,未因結果調整門檻。判準4 為群內單一 KPI 全距佔全體全距的比例,達 100% 者表示該指標在群內無區分力。ARI 以 20 組隨機種子(100–119)與 random_state = 42 的結果比對。k = 7 至 9 同樣含 2 人群,已略。判準3 的人數門檻無外部依據,已於 notebook §2.5c 做敏感度檢驗:取 3 或 4 人結論同為 k = 4。</w:t>
      </w:r>
    </w:p>
    <w:p>
      <w:pPr>
        <w:keepNext/>
        <w:spacing w:after="60"/>
      </w:pPr>
      <w:r>
        <w:rPr>
          <w:rFonts w:ascii="Calibri" w:hAnsi="Calibri" w:eastAsia="微軟正黑體"/>
          <w:b/>
          <w:i w:val="0"/>
          <w:sz w:val="20"/>
        </w:rPr>
        <w:t>圖一　輪廓係數與肘部法對 k 的建議不一致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49240" cy="269119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k_selec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2691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rFonts w:ascii="Calibri" w:hAnsi="Calibri" w:eastAsia="微軟正黑體"/>
          <w:b w:val="0"/>
          <w:i/>
          <w:sz w:val="17"/>
        </w:rPr>
        <w:t>註:取自 notebook §2.3。輪廓係數(藍,左軸)最高點在 k = 5,群內平方和(紅,右軸)的轉折在 k = 4;兩法不一致時以業務可操作性裁決。</w:t>
      </w:r>
    </w:p>
    <w:p>
      <w:pPr>
        <w:pStyle w:val="Heading1"/>
      </w:pPr>
      <w:r>
        <w:rPr>
          <w:rFonts w:ascii="Calibri" w:hAnsi="Calibri" w:eastAsia="微軟正黑體"/>
          <w:b/>
          <w:i w:val="0"/>
          <w:color w:val="000000"/>
          <w:sz w:val="28"/>
        </w:rPr>
        <w:t>三、四個群組的語言解釋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分群於標準化空間進行,呈現時還原為原始單位(表四、圖二、圖六)。聚類為描述性技術,不主張因果。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四群的整體特徵如下。低度參與群共 70 人、佔全體近三分之二,三項指標均為最低,使用率僅 0.102,是組織的多數常態。高投入待認可群共 25 人,使用率 0.674 達平均 2.2 倍,但認可度僅 0.36 且無人帶隊,是三項指標落差最大的一群。受認可的專業骨幹共 8 人,使用率與認可度均居次高,惟尚未擔任負責人。帶隊核心群共 4 人,三項指標同時最高,是唯一實際帶隊的群組。四群區隔並非由單一指標造成:低度參與群與其餘三群的差異在使用率,後三群的差異則依序落在認可度與領導角色。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分受眾而言,三者處理的問題不同。人力資源部門面對級距與公平性:四群可對應四級獎金級距(圖七),辯護基礎在於級距由 KPI 實際分布劃分。部門主管面對人力配置:專業骨幹是負責人職位的候補來源,高投入待認可群則幾乎未獲指派。高階主管面對結構性風險:96% 從未帶隊。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最後須反思。認可度與領導角色記錄的是組織給予的機會,非顧問單方面的產出;高投入待認可群認可度偏低,可能反映指派制度而非能力,連命名都有管理後果。本次分析亦修正了我對聚類方法的認識:原以為難處在演算法,實際上演算法僅數行,真正決定結果的是前處理與 k 的裁決——同一份資料在縮放與否之間,即得出兩種互不相容的分群。</w:t>
      </w:r>
    </w:p>
    <w:p>
      <w:pPr>
        <w:keepNext/>
        <w:spacing w:after="60"/>
      </w:pPr>
      <w:r>
        <w:rPr>
          <w:rFonts w:ascii="Calibri" w:hAnsi="Calibri" w:eastAsia="微軟正黑體"/>
          <w:b/>
          <w:i w:val="0"/>
          <w:sz w:val="20"/>
        </w:rPr>
        <w:t>表四　質心表(原始單位)與群組畫像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rPr>
          <w:tblHeader w:val="true"/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群組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人數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佔比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使用率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認可度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領導角色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特徵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低度參與群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70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65.4%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0.102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0.00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投入度為全體平均三分之一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高投入待認可群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25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23.4%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0.674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0.36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投入高但幾乎未獲指派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受認可的專業骨幹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8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7.5%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0.751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2.50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投入與認可皆高,尚未帶隊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帶隊核心群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4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3.7%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0.810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2.75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1.5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三項全數領先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(全體平均)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107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100%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0.311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0.374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0.056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—</w:t>
            </w:r>
          </w:p>
        </w:tc>
      </w:tr>
    </w:tbl>
    <w:p>
      <w:pPr>
        <w:spacing w:after="200"/>
      </w:pPr>
      <w:r>
        <w:rPr>
          <w:rFonts w:ascii="Calibri" w:hAnsi="Calibri" w:eastAsia="微軟正黑體"/>
          <w:b w:val="0"/>
          <w:i/>
          <w:sz w:val="17"/>
        </w:rPr>
        <w:t>註:取自 notebook §3.1、§3.3。分群於標準化空間進行,本表將各群還原為原始欄位的平均值以便解讀;標準化空間的質心 z 分數見 notebook §3.1 對照表。</w:t>
      </w:r>
    </w:p>
    <w:p>
      <w:pPr>
        <w:keepNext/>
        <w:spacing w:after="60"/>
      </w:pPr>
      <w:r>
        <w:rPr>
          <w:rFonts w:ascii="Calibri" w:hAnsi="Calibri" w:eastAsia="微軟正黑體"/>
          <w:b/>
          <w:i w:val="0"/>
          <w:sz w:val="20"/>
        </w:rPr>
        <w:t>圖二　四個群組的績效輪廓(0 = 全體平均)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49240" cy="25838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cluster_profil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2583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rFonts w:ascii="Calibri" w:hAnsi="Calibri" w:eastAsia="微軟正黑體"/>
          <w:b w:val="0"/>
          <w:i/>
          <w:sz w:val="17"/>
        </w:rPr>
        <w:t>註:取自 notebook §3.4。縱軸單位為標準差;「高投入待認可群」的使用率明顯高於平均,但認可度與領導角色皆在平均之下。</w:t>
      </w:r>
    </w:p>
    <w:p>
      <w:pPr>
        <w:keepNext/>
        <w:spacing w:after="60"/>
      </w:pPr>
      <w:r>
        <w:rPr>
          <w:rFonts w:ascii="Calibri" w:hAnsi="Calibri" w:eastAsia="微軟正黑體"/>
          <w:b/>
          <w:i w:val="0"/>
          <w:sz w:val="20"/>
        </w:rPr>
        <w:t>圖六　四個群組的畫像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49240" cy="182318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cluster_card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1823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rFonts w:ascii="Calibri" w:hAnsi="Calibri" w:eastAsia="微軟正黑體"/>
          <w:b w:val="0"/>
          <w:i/>
          <w:sz w:val="17"/>
        </w:rPr>
        <w:t>註:取自 notebook §3.6b。四張卡共用 0–100% 同一刻度,條長為該群質心佔該指標全體最大值的百分比,黑色短線為全體平均,條末數字為原始單位的質心值。此處不採「相對全體平均的倍數」——領導角色全體平均僅 0.056,倍數會達 26.8 而使四張卡刻度不一致、無法比較。</w:t>
      </w:r>
    </w:p>
    <w:p>
      <w:pPr>
        <w:pStyle w:val="Heading1"/>
      </w:pPr>
      <w:r>
        <w:rPr>
          <w:rFonts w:ascii="Calibri" w:hAnsi="Calibri" w:eastAsia="微軟正黑體"/>
          <w:b/>
          <w:i w:val="0"/>
          <w:color w:val="000000"/>
          <w:sz w:val="28"/>
        </w:rPr>
        <w:t>四、績效最優群組的識別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群 1「帶隊核心群」為績效最優群,共 4 人(員工編號 78、86、98、104)。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依據為質心表的逐欄比較(表五):三項指標同時排名第一,使用率與認可度為全體平均的2.6 與 7.4 倍。領導角色不採倍數——其平均僅 0.056、96% 為 0,近零分母會誇大差異;改以絕對數:樣本 107 人中僅 4 人有帶隊紀錄,恰為此群,職位合計 6 個。惟領導角色本身即為分群變數,此屬描述性特徵,不構成獨立驗證。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第三節指出該二指標帶有「機會」成分,故須確認判定不倚賴它們:僅以使用率排序,群 1 仍為最高 0.810(notebook §4.2b),三種權重方案亦皆最高,成員在 20 組種子下未變動。群 2 若政策不將帶隊列為必要條件,可與群 1 併級(圖七)。</w:t>
      </w:r>
    </w:p>
    <w:p>
      <w:pPr>
        <w:keepNext/>
        <w:spacing w:after="60"/>
      </w:pPr>
      <w:r>
        <w:rPr>
          <w:rFonts w:ascii="Calibri" w:hAnsi="Calibri" w:eastAsia="微軟正黑體"/>
          <w:b/>
          <w:i w:val="0"/>
          <w:sz w:val="20"/>
        </w:rPr>
        <w:t>表五　質心逐欄比較與權重敏感度檢查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rPr>
          <w:tblHeader w:val="true"/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群組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使用率(排名)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認可度(排名)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領導角色(排名)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等權分數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重領導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重投入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帶隊核心群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0.810(1)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2.75(1)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1.50(1)　樣本內 6 個帶隊職位全數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0.752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0.745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0.765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受認可的專業骨幹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0.751(2)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2.50(2)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0.00(3)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0.461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0.339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0.567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高投入待認可群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0.674(3)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0.36(3)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0.00(3)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0.257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0.163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0.367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低度參與群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0.102(4)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0.00(4)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0.00(3)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0.034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0.021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0.052</w:t>
            </w:r>
          </w:p>
        </w:tc>
      </w:tr>
    </w:tbl>
    <w:p>
      <w:pPr>
        <w:spacing w:after="200"/>
      </w:pPr>
      <w:r>
        <w:rPr>
          <w:rFonts w:ascii="Calibri" w:hAnsi="Calibri" w:eastAsia="微軟正黑體"/>
          <w:b w:val="0"/>
          <w:i/>
          <w:sz w:val="17"/>
        </w:rPr>
        <w:t>註:取自 notebook §4.1、§4.3。排名 1 為該指標最高。三種權重方案的分數係將質心以 min-max 轉為 0–1 後加權求和;三方案結論一致,均指向帶隊核心群。領導角色不列倍數:其全體平均僅 0.056(96% 為 0),以近零數值為分母會誇大差異,故改列絕對數。另註:領導角色本身即為分群變數,該群集中持有帶隊職位屬描述性特徵,不構成獨立驗證。</w:t>
      </w:r>
    </w:p>
    <w:p>
      <w:pPr>
        <w:keepNext/>
        <w:spacing w:after="60"/>
      </w:pPr>
      <w:r>
        <w:rPr>
          <w:rFonts w:ascii="Calibri" w:hAnsi="Calibri" w:eastAsia="微軟正黑體"/>
          <w:b/>
          <w:i w:val="0"/>
          <w:sz w:val="20"/>
        </w:rPr>
        <w:t>圖七　四級獎金級距、配置建議與對應行動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49240" cy="231759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bonus_tier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2317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rFonts w:ascii="Calibri" w:hAnsi="Calibri" w:eastAsia="微軟正黑體"/>
          <w:b w:val="0"/>
          <w:i/>
          <w:sz w:val="17"/>
        </w:rPr>
        <w:t>註:取自 notebook §3.6c。人數為 k = 4 分群實算結果;配置佔比與行動為依分析結論提出的建議值,非模型輸出,須由人力資源部門依獎金政策核定。配置刻意不與人數成正比——最高級距僅 4 人,按人頭配置將使涵蓋面過窄。</w:t>
      </w:r>
    </w:p>
    <w:p>
      <w:pPr>
        <w:keepNext/>
        <w:spacing w:after="60"/>
      </w:pPr>
      <w:r>
        <w:rPr>
          <w:rFonts w:ascii="Calibri" w:hAnsi="Calibri" w:eastAsia="微軟正黑體"/>
          <w:b/>
          <w:i w:val="0"/>
          <w:sz w:val="20"/>
        </w:rPr>
        <w:t>圖四　各群個體輪廓值分布(k = 4)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49240" cy="268405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silhouett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2684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rFonts w:ascii="Calibri" w:hAnsi="Calibri" w:eastAsia="微軟正黑體"/>
          <w:b w:val="0"/>
          <w:i/>
          <w:sz w:val="17"/>
        </w:rPr>
        <w:t>註:取自 notebook §5.4。107 人中僅員工 71 的輪廓值為負(−0.103),落在「低度參與群」與「高投入待認可群」的邊界,與 §2 的種子穩定性分析一致;紅色虛線為整體平均 0.668。</w:t>
      </w:r>
    </w:p>
    <w:p>
      <w:pPr>
        <w:pStyle w:val="Heading1"/>
      </w:pPr>
      <w:r>
        <w:rPr>
          <w:rFonts w:ascii="Calibri" w:hAnsi="Calibri" w:eastAsia="微軟正黑體"/>
          <w:b/>
          <w:i w:val="0"/>
          <w:color w:val="000000"/>
          <w:sz w:val="28"/>
        </w:rPr>
        <w:t>五、方法限制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序位變數被視為等距是固有限制:以秩轉換重跑 ARI 僅 0.38,群組邊界會移動,惟核心發現不變。資料亦僅單一時點。</w:t>
      </w:r>
    </w:p>
    <w:p>
      <w:pPr>
        <w:pStyle w:val="Heading1"/>
      </w:pPr>
      <w:r>
        <w:rPr>
          <w:rFonts w:ascii="Calibri" w:hAnsi="Calibri" w:eastAsia="微軟正黑體"/>
          <w:b/>
          <w:i w:val="0"/>
          <w:color w:val="000000"/>
          <w:sz w:val="28"/>
        </w:rPr>
        <w:t>結論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採用方案為:排除員工識別碼、施以標準化、以 k = 4 分群。標準化由三項證據支持:認可度獨佔 79.6% 距離權重、分群退化為單變數複製、10 位顧問遭錯置;k = 4 經事前判準與敏感度檢驗。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建議下一步:確認級距配置比例(圖七)、檢視指派流程、將專業骨幹納入接班規劃。</w:t>
      </w:r>
    </w:p>
    <w:p>
      <w:pPr>
        <w:pStyle w:val="Heading1"/>
      </w:pPr>
      <w:r>
        <w:rPr>
          <w:rFonts w:ascii="Calibri" w:hAnsi="Calibri" w:eastAsia="微軟正黑體"/>
          <w:b/>
          <w:i w:val="0"/>
          <w:color w:val="000000"/>
          <w:sz w:val="28"/>
        </w:rPr>
        <w:t>參考文獻</w:t>
      </w:r>
    </w:p>
    <w:p>
      <w:pPr>
        <w:spacing w:after="160"/>
        <w:ind w:left="720" w:hanging="720"/>
      </w:pPr>
      <w:r>
        <w:rPr>
          <w:rFonts w:ascii="Calibri" w:hAnsi="Calibri" w:eastAsia="微軟正黑體"/>
          <w:b w:val="0"/>
          <w:i w:val="0"/>
          <w:sz w:val="21"/>
        </w:rPr>
        <w:t>Hubert, L., &amp; Arabie, P. (1985). Comparing partitions. Journal of Classification, 2(1), 193–218. https://doi.org/10.1007/BF01908075</w:t>
      </w:r>
    </w:p>
    <w:p>
      <w:pPr>
        <w:spacing w:after="160"/>
        <w:ind w:left="720" w:hanging="720"/>
      </w:pPr>
      <w:r>
        <w:rPr>
          <w:rFonts w:ascii="Calibri" w:hAnsi="Calibri" w:eastAsia="微軟正黑體"/>
          <w:b w:val="0"/>
          <w:i w:val="0"/>
          <w:sz w:val="21"/>
        </w:rPr>
        <w:t>Milligan, G. W., &amp; Cooper, M. C. (1988). A study of standardization of variables in cluster analysis. Journal of Classification, 5(2), 181–204. https://doi.org/10.1007/BF01897163</w:t>
      </w:r>
    </w:p>
    <w:p>
      <w:pPr>
        <w:spacing w:after="160"/>
        <w:ind w:left="720" w:hanging="720"/>
      </w:pPr>
      <w:r>
        <w:rPr>
          <w:rFonts w:ascii="Calibri" w:hAnsi="Calibri" w:eastAsia="微軟正黑體"/>
          <w:b w:val="0"/>
          <w:i w:val="0"/>
          <w:sz w:val="21"/>
        </w:rPr>
        <w:t>Rousseeuw, P. J. (1987). Silhouettes: A graphical aid to the interpretation and validation of cluster analysis. Journal of Computational and Applied Mathematics, 20, 53–65. https://doi.org/10.1016/0377-0427(87)90125-7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微軟正黑體"/>
        <w:b w:val="0"/>
        <w:i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軟正黑體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