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9459" w14:textId="77777777" w:rsidR="00232CE2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t>活動七:私人醫院保險覆蓋率趨勢分析</w:t>
      </w:r>
    </w:p>
    <w:p w14:paraId="1F66F11A" w14:textId="77777777" w:rsidR="00232CE2" w:rsidRDefault="00000000">
      <w:pPr>
        <w:jc w:val="center"/>
      </w:pPr>
      <w:r>
        <w:rPr>
          <w:color w:val="555555"/>
          <w:sz w:val="22"/>
        </w:rPr>
        <w:t>單元三:經濟趨勢與關係分析　|　231708 Foundation Studio — Session 3 2026</w:t>
      </w:r>
    </w:p>
    <w:p w14:paraId="5F7BC9E7" w14:textId="77777777" w:rsidR="00232CE2" w:rsidRDefault="00000000">
      <w:pPr>
        <w:jc w:val="center"/>
      </w:pPr>
      <w:r>
        <w:rPr>
          <w:color w:val="555555"/>
          <w:sz w:val="20"/>
        </w:rPr>
        <w:t>資料來源:APRA《Quarterly Private Health Insurance Membership Trends, March 2026》;範圍 2010 Q1–2026 Q1,醫院險(HT),全國</w:t>
      </w:r>
    </w:p>
    <w:p w14:paraId="2AFD8826" w14:textId="77777777" w:rsidR="00232CE2" w:rsidRDefault="00232CE2"/>
    <w:p w14:paraId="5B5CDC7D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t>本報告依 APRA 季度統計,分析澳洲私人醫院保險(hospital treatment cover)的會員趨勢。下文先呈現三項覆蓋率趨勢圖,接著討論其對行業可持續性的意涵,最後檢視會員成長率的季節性,並以線性趨勢線評估其配適度。所有數據與計算過程見隨附 Excel 檔。</w:t>
      </w:r>
    </w:p>
    <w:p w14:paraId="14839A94" w14:textId="77777777" w:rsidR="00232CE2" w:rsidRDefault="00000000">
      <w:pPr>
        <w:spacing w:before="200" w:after="80"/>
        <w:rPr>
          <w:lang w:eastAsia="zh-TW"/>
        </w:rPr>
      </w:pPr>
      <w:r>
        <w:rPr>
          <w:b/>
          <w:color w:val="1F4E79"/>
          <w:sz w:val="30"/>
          <w:lang w:eastAsia="zh-TW"/>
        </w:rPr>
        <w:t>一、三項覆蓋趨勢</w:t>
      </w:r>
    </w:p>
    <w:p w14:paraId="17CDDA36" w14:textId="77777777" w:rsidR="00232CE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B33CA8F" wp14:editId="2CEE8B98">
            <wp:extent cx="5580000" cy="2907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tot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172B" w14:textId="77777777" w:rsidR="00232CE2" w:rsidRDefault="00000000">
      <w:pPr>
        <w:spacing w:after="160"/>
        <w:jc w:val="center"/>
        <w:rPr>
          <w:lang w:eastAsia="zh-TW"/>
        </w:rPr>
      </w:pPr>
      <w:r>
        <w:rPr>
          <w:color w:val="555555"/>
          <w:sz w:val="21"/>
          <w:lang w:eastAsia="zh-TW"/>
        </w:rPr>
        <w:t>圖 1　全國醫院險會員總數(2010 Q1–2026 Q1)</w:t>
      </w:r>
    </w:p>
    <w:p w14:paraId="5C3AA662" w14:textId="77777777" w:rsidR="00232CE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66E102C" wp14:editId="576F4C89">
            <wp:extent cx="5580000" cy="3112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252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EEAB" w14:textId="77777777" w:rsidR="00232CE2" w:rsidRDefault="00000000">
      <w:pPr>
        <w:spacing w:after="160"/>
        <w:jc w:val="center"/>
        <w:rPr>
          <w:lang w:eastAsia="zh-TW"/>
        </w:rPr>
      </w:pPr>
      <w:r>
        <w:rPr>
          <w:color w:val="555555"/>
          <w:sz w:val="21"/>
          <w:lang w:eastAsia="zh-TW"/>
        </w:rPr>
        <w:t>圖 2　25–29 歲會員人數(2010 Q1–2026 Q1)</w:t>
      </w:r>
    </w:p>
    <w:p w14:paraId="1E89F3A2" w14:textId="77777777" w:rsidR="00232CE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3D81AD4" wp14:editId="748A28E7">
            <wp:extent cx="5580000" cy="3060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under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5BB4" w14:textId="77777777" w:rsidR="00232CE2" w:rsidRDefault="00000000">
      <w:pPr>
        <w:spacing w:after="160"/>
        <w:jc w:val="center"/>
        <w:rPr>
          <w:lang w:eastAsia="zh-TW"/>
        </w:rPr>
      </w:pPr>
      <w:r>
        <w:rPr>
          <w:color w:val="555555"/>
          <w:sz w:val="21"/>
          <w:lang w:eastAsia="zh-TW"/>
        </w:rPr>
        <w:t>圖 3　40 歲以下投保人占總投保人比例(2010 Q1–2026 Q1)</w:t>
      </w:r>
    </w:p>
    <w:p w14:paraId="184ED7AB" w14:textId="77777777" w:rsidR="00232CE2" w:rsidRDefault="00000000">
      <w:pPr>
        <w:spacing w:before="200" w:after="80"/>
        <w:rPr>
          <w:lang w:eastAsia="zh-TW"/>
        </w:rPr>
      </w:pPr>
      <w:r>
        <w:rPr>
          <w:b/>
          <w:color w:val="1F4E79"/>
          <w:sz w:val="30"/>
          <w:lang w:eastAsia="zh-TW"/>
        </w:rPr>
        <w:t>二、趨勢評論與行業可持續性</w:t>
      </w:r>
    </w:p>
    <w:p w14:paraId="23B47558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t>會員總數從 2010 年初的約 991 萬人,增至 2026 年 3 月的約 1,279 萬人,累計成長約 29%(圖 1)。但這個「總量成長」具有誤導性:它主要靠人口自然增長與年長族群投保支</w:t>
      </w:r>
      <w:r>
        <w:rPr>
          <w:lang w:eastAsia="zh-TW"/>
        </w:rPr>
        <w:lastRenderedPageBreak/>
        <w:t>撐,而非年輕世代的加入。圖 2 顯示,25–29 歲會員自 2014 年起持續下滑,在 2020 年第二季(COVID-19)跌至約 42.5 萬人的谷底,雖近年回升至約 56 萬人,整段期間僅淨增約 13%,遠落後於總量。更關鍵的是圖 3:40 歲以下投保人占比由 2010 年的約 48.4% 一路降至 2026 年的約 45.1%,下降約 3.3 個百分點。</w:t>
      </w:r>
    </w:p>
    <w:p w14:paraId="5D06699D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t>這對行業的長期可持續性是一個警訊。私人健康保險的財務模式依賴「年輕健康者補貼年長高用量者」——當投保結構持續老化、年輕人占比下降,理賠支出的成長將快於保費基礎,推升保費,進而可能促使更多年輕人退保,形成「死亡螺旋(death spiral)」的隱憂。總會員數的成長因此不能單獨解讀為行業健康的訊號。</w:t>
      </w:r>
    </w:p>
    <w:p w14:paraId="5A0E9229" w14:textId="77777777" w:rsidR="00232CE2" w:rsidRDefault="00000000">
      <w:pPr>
        <w:spacing w:before="200" w:after="80"/>
        <w:rPr>
          <w:lang w:eastAsia="zh-TW"/>
        </w:rPr>
      </w:pPr>
      <w:r>
        <w:rPr>
          <w:b/>
          <w:color w:val="1F4E79"/>
          <w:sz w:val="30"/>
          <w:lang w:eastAsia="zh-TW"/>
        </w:rPr>
        <w:t>三、會員成長率與季節性</w:t>
      </w:r>
    </w:p>
    <w:p w14:paraId="7C0A1ED6" w14:textId="77777777" w:rsidR="00232CE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35029B7" wp14:editId="655D3ECD">
            <wp:extent cx="5580000" cy="2946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grow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DFD2" w14:textId="77777777" w:rsidR="00232CE2" w:rsidRDefault="00000000">
      <w:pPr>
        <w:spacing w:after="160"/>
        <w:jc w:val="center"/>
        <w:rPr>
          <w:lang w:eastAsia="zh-TW"/>
        </w:rPr>
      </w:pPr>
      <w:r>
        <w:rPr>
          <w:color w:val="555555"/>
          <w:sz w:val="21"/>
          <w:lang w:eastAsia="zh-TW"/>
        </w:rPr>
        <w:t>圖 4　醫院險會員季增率(QoQ)與線性趨勢線</w:t>
      </w:r>
    </w:p>
    <w:p w14:paraId="65903A4D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t>圖 4 為各季的環比成長率(QoQ),平均約 0.40%、標準差約 0.36%。資料可見一段明顯的弱勢期(約 2016–2020),並在 2020 年第二季出現全期最大跌幅(約 −0.5%),其後快速反彈。就季節性而言,初步觀察各季平均成長略有差異(Q3 最高、Q4 最低),但差距不大。</w:t>
      </w:r>
    </w:p>
    <w:p w14:paraId="691992F5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lastRenderedPageBreak/>
        <w:t>為形式化檢驗,筆者以成長率對季別虛擬變數作回歸(以 Q1 為基準組):Q2、Q3、Q4 的係數 p 值分別為 0.69、0.24、0.23,皆不顯著,整體 R² 僅 0.088、聯合 F 檢定亦不顯著。換言之,雖然帳面上各季均值不同,但在 5% 顯著水準下,沒有足夠證據顯示成長率存在系統性的季節型態;這個型態在整個樣本期間並不穩定。一個合理的解釋是:會員變動主要受政策(如終身健保稅率調整、保費年度調漲)與總體經濟衝擊(COVID-19)驅動,這些事件並不固定落在特定季度,因而掩蓋了任何固有的季節規律。</w:t>
      </w:r>
    </w:p>
    <w:p w14:paraId="1527ABEE" w14:textId="77777777" w:rsidR="00232CE2" w:rsidRDefault="00000000">
      <w:pPr>
        <w:spacing w:before="200" w:after="80"/>
        <w:rPr>
          <w:lang w:eastAsia="zh-TW"/>
        </w:rPr>
      </w:pPr>
      <w:r>
        <w:rPr>
          <w:b/>
          <w:color w:val="1F4E79"/>
          <w:sz w:val="30"/>
          <w:lang w:eastAsia="zh-TW"/>
        </w:rPr>
        <w:t>四、線性趨勢線與配適度</w:t>
      </w:r>
    </w:p>
    <w:p w14:paraId="2DFB84A8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t>在成長率序列上加入線性趨勢線後,其斜率約為每季 −0.001 個百分點、R² 僅 0.002。R² 趨近於零代表這條直線幾乎無法解釋成長率的變異——成長率並非沿單一方向遞增或遞減,而是受雜訊與一次性的 COVID 衝擊主導。因此線性趨勢線對本序列配適度極差;若要預測,單純外推一條直線並不可靠,應改用納入政策與季節控制變數的模型,或對水準(總會員數)而非成長率建模。</w:t>
      </w:r>
    </w:p>
    <w:p w14:paraId="251CE78A" w14:textId="77777777" w:rsidR="00232CE2" w:rsidRDefault="00000000">
      <w:pPr>
        <w:spacing w:before="200" w:after="80"/>
        <w:rPr>
          <w:lang w:eastAsia="zh-TW"/>
        </w:rPr>
      </w:pPr>
      <w:r>
        <w:rPr>
          <w:b/>
          <w:color w:val="1F4E79"/>
          <w:sz w:val="30"/>
          <w:lang w:eastAsia="zh-TW"/>
        </w:rPr>
        <w:t>結論</w:t>
      </w:r>
    </w:p>
    <w:p w14:paraId="60EB700C" w14:textId="77777777" w:rsidR="00232CE2" w:rsidRDefault="00000000">
      <w:pPr>
        <w:spacing w:after="120"/>
        <w:rPr>
          <w:lang w:eastAsia="zh-TW"/>
        </w:rPr>
      </w:pPr>
      <w:r>
        <w:rPr>
          <w:lang w:eastAsia="zh-TW"/>
        </w:rPr>
        <w:t>綜合而言,私人醫院保險的總會員數雖穩定成長,但年輕族群(25–29 歲與 40 歲以下)的占比持續下滑,投保結構老化是行業可持續性的核心風險。會員成長率在統計上未呈現穩健的季節性,線性趨勢線配適度極低(R²≈0.00),顯示其變動主要由政策與總體事件驅動,而非規律性的時間模式。</w:t>
      </w:r>
    </w:p>
    <w:p w14:paraId="4336712C" w14:textId="77777777" w:rsidR="00232CE2" w:rsidRDefault="00000000">
      <w:pPr>
        <w:spacing w:before="200" w:after="80"/>
      </w:pPr>
      <w:r>
        <w:rPr>
          <w:b/>
          <w:color w:val="1F4E79"/>
          <w:sz w:val="30"/>
        </w:rPr>
        <w:t>參考文獻</w:t>
      </w:r>
    </w:p>
    <w:p w14:paraId="1AA085A5" w14:textId="412973D4" w:rsidR="00232CE2" w:rsidRDefault="00000000">
      <w:r>
        <w:rPr>
          <w:sz w:val="22"/>
        </w:rPr>
        <w:lastRenderedPageBreak/>
        <w:t xml:space="preserve">Australian Prudential Regulation Authority. (2026). Quarterly private health insurance statistics: Membership trends, March 2026 [Data set]. </w:t>
      </w:r>
      <w:hyperlink r:id="rId10" w:history="1">
        <w:r w:rsidR="006B1F47" w:rsidRPr="00FA4F7A">
          <w:rPr>
            <w:rStyle w:val="affa"/>
            <w:sz w:val="22"/>
          </w:rPr>
          <w:t>https://www.apra.gov.au/quarterly-private-health-insurance-statistics</w:t>
        </w:r>
      </w:hyperlink>
      <w:r w:rsidR="006B1F47">
        <w:rPr>
          <w:rFonts w:hint="eastAsia"/>
          <w:sz w:val="22"/>
          <w:lang w:eastAsia="zh-TW"/>
        </w:rPr>
        <w:t xml:space="preserve"> </w:t>
      </w:r>
    </w:p>
    <w:sectPr w:rsidR="00232CE2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650444">
    <w:abstractNumId w:val="8"/>
  </w:num>
  <w:num w:numId="2" w16cid:durableId="153842030">
    <w:abstractNumId w:val="6"/>
  </w:num>
  <w:num w:numId="3" w16cid:durableId="1008754602">
    <w:abstractNumId w:val="5"/>
  </w:num>
  <w:num w:numId="4" w16cid:durableId="1648241579">
    <w:abstractNumId w:val="4"/>
  </w:num>
  <w:num w:numId="5" w16cid:durableId="397287439">
    <w:abstractNumId w:val="7"/>
  </w:num>
  <w:num w:numId="6" w16cid:durableId="722098384">
    <w:abstractNumId w:val="3"/>
  </w:num>
  <w:num w:numId="7" w16cid:durableId="839543758">
    <w:abstractNumId w:val="2"/>
  </w:num>
  <w:num w:numId="8" w16cid:durableId="256642830">
    <w:abstractNumId w:val="1"/>
  </w:num>
  <w:num w:numId="9" w16cid:durableId="162164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CE2"/>
    <w:rsid w:val="0029639D"/>
    <w:rsid w:val="00326F90"/>
    <w:rsid w:val="006B1F47"/>
    <w:rsid w:val="00AA1D8D"/>
    <w:rsid w:val="00B47730"/>
    <w:rsid w:val="00CB0664"/>
    <w:rsid w:val="00CC4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9B6C8"/>
  <w14:defaultImageDpi w14:val="300"/>
  <w15:docId w15:val="{8BCE299A-8492-4F61-BBDC-F7C3D9E3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6B1F4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6B1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apra.gov.au/quarterly-private-health-insurance-statisti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PoKai Huang</cp:lastModifiedBy>
  <cp:revision>2</cp:revision>
  <dcterms:created xsi:type="dcterms:W3CDTF">2013-12-23T23:15:00Z</dcterms:created>
  <dcterms:modified xsi:type="dcterms:W3CDTF">2026-06-04T12:29:00Z</dcterms:modified>
  <cp:category/>
</cp:coreProperties>
</file>