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80"/>
        <w:jc w:val="center"/>
      </w:pPr>
      <w:r>
        <w:rPr>
          <w:rFonts w:ascii="Calibri" w:hAnsi="Calibri" w:eastAsia="微軟正黑體"/>
          <w:b/>
          <w:i w:val="0"/>
          <w:sz w:val="40"/>
        </w:rPr>
        <w:t>以 K-means 非監督式學習分析顧問績效</w:t>
      </w:r>
    </w:p>
    <w:p>
      <w:pPr>
        <w:spacing w:after="600"/>
        <w:jc w:val="center"/>
      </w:pPr>
      <w:r>
        <w:rPr>
          <w:rFonts w:ascii="Calibri" w:hAnsi="Calibri" w:eastAsia="微軟正黑體"/>
          <w:b w:val="0"/>
          <w:i w:val="0"/>
          <w:sz w:val="28"/>
        </w:rPr>
        <w:t>—— IBM 獎金級距設計建議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評估任務 2b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課程:421104 企業人工智慧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姓名:Po-Kai Huang    學號:26254793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繳交日期:2026 年 8 月 5 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1"/>
        </w:rPr>
        <w:t>附件:Huang_26254793_421104_Assessment 2b.ipynb</w:t>
      </w:r>
    </w:p>
    <w:p>
      <w:r>
        <w:br w:type="page"/>
      </w:r>
    </w:p>
    <w:p>
      <w:pPr>
        <w:spacing w:after="160"/>
      </w:pPr>
      <w:r>
        <w:rPr>
          <w:rFonts w:ascii="Calibri" w:hAnsi="Calibri" w:eastAsia="微軟正黑體"/>
          <w:b/>
          <w:i w:val="0"/>
          <w:sz w:val="28"/>
        </w:rPr>
        <w:t>目錄</w:t>
      </w:r>
    </w:p>
    <w:p>
      <w:r>
        <w:fldChar w:fldCharType="begin" w:dirty="true"/>
        <w:instrText xml:space="preserve">TOC \o "1-1" \h \z \u</w:instrText>
        <w:fldChar w:fldCharType="separate"/>
        <w:t xml:space="preserve">管理摘要　|　一、主要數據特徵:納入與排除的決策　|　二、最優聚類數的決定　|　三、四個群組的語言解釋　|　四、績效最優群組的識別　|　五、方法限制　|　結論　|　參考文獻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管理摘要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本報告以 K-means 將 107 位 IBM 顧問依三項績效指標分為四群,作為獎金級距依據(圖五)。「帶隊核心群」(4 人)為績效最優群,惟僅佔 3.7%;「高投入待認可群」(25 人)投入度達平均 2.2 倍卻幾乎未獲指派,未標準化時無法辨識。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提請決定:級距配置比例(圖七)、是否併合最高兩級、是否檢視指派流程。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圖五　分析流程與各階段的關鍵判斷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15854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58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§3.6a。各節點標示的數值均為本次分析的實際結果,非流程示意。全程固定 random_state = 42、n_init = 10。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一、主要數據特徵:納入與排除的決策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四欄的業務意義、統計特性與納入決策逐欄列於表一。保留的三項指標分別涵蓋投入程度、獲得指派的機會與承擔的責任層級,共同構成績效全貌;EmployeeID 則予排除——它是標稱型識別碼,數值不承載順序意義,且標準差為其餘三欄的 36 至 103 倍,納入後獨佔距離平方 99% 以上,實跑反證顯示分群會退化為按編號切段。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第二層決策是尺度。常見誤解是「不標準化較中立」,事實相反:未縮放時權重由各欄離散程度而非業務判斷決定——認可度一欄即佔距離平方的 79.6%,使分群退化為單變數複製,與「直接按認可度分組」的調整後蘭德指數(Hubert &amp; Arabie, 1985)達 0.99。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其影響可具體量化(圖三、表二):10 位使用率 0.61 至 0.92 但認可度為 0 的顧問,未縮放時被併入一個使用率跨幅 0.00 至 0.92 的 86 人群。縮放方式本身則不影響結論:z 分數、MinMax、以及對數轉換後標準化(因認可度與領導角色右偏)三者皆得相同的四群結構與績效最優群(notebook §5.1b)。標準化並非「不加權」,而是把權重改為可依政策調整的假設(Milligan &amp; Cooper, 1988)。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表一　變數審核與納入決策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true"/>
          <w:cantSplit/>
        </w:trPr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變數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業務意義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型別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範圍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標準差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零值佔比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佔距離平方權重(未縮放)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決策與理由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EmployeeID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員工識別碼(流水號)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1–107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30.89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99%+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排除:標稱型識別碼,數值無序位意義,且獨佔距離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UsageRate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在高優先級專案實際投入的時間佔比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小數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0.00–0.99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0.3145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10.7%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納入:反映個人投入程度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Recognition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被特別指派參與的專案數量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0–4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0.8595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80%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79.6%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納入:反映獲得指派的機會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Leader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擔任專案負責人的專案數量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0–2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0.3005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96%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9.7%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納入:反映承擔的責任層級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註:數值取自 notebook §1.2 逐欄審核表與 §1.5 權重計算;業務意義依作業說明所定義。「佔距離平方權重」指該欄變異數佔歐氏距離平方總變異的比例。保留的三項指標分別涵蓋投入、機會與責任三個構面,共同構成績效的完整面貌。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表二　縮放決策對 10 位高投入顧問的實質影響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尺度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 10 人所屬群人數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該群使用率跨幅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業務可解釋性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未縮放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86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0.00–0.92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否:投入 92% 與 0% 同級距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標準化 z 分數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是:自成「高投入待認可群」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MinMax 0–1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是:與 z 分數結果完全相同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§1.7。該 10 人定義為使用率 ≥ 0.60 且認可度 = 0(員工編號 2、44、47、60、77、81、88、91、96、97)。k 固定為 4。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圖三　是否縮放,決定了 10 位高投入顧問被歸入哪一群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1392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caling_eff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13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§3.5。左圖未縮放,10 位高投入者(紅色區域)被併入低投入群;右圖標準化後自成一群。認可度為整數,已加隨機抖動以避免點重疊。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二、最優聚類數的決定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四項判準於掃描前即已訂定,以免先看結果再找理由;門檻與逐 k 裁決見表三:統計面為輪廓係數(Rousseeuw, 1987)與肘部法,業務面為每群最小人數與群內單一 KPI 全距。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統計面兩項衝突:輪廓係數最高在 k = 5(0.6823),但 k = 3、4、5 全距僅 0.0146、視為平手;肘部法指向 k = 4(圖一)。業務面則排除相鄰候選:k = 5 產生兩個各 2 人的群;k = 3 的中間群 27 人,群內認可度全距等於全體全距的 100%,該指標在此級距內無區分力,k = 4 拆開後降至 50% 以下。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判準門檻亦經檢驗:取 3 或 4 人結論同為 k = 4,惟該門檻無外部依據(§2.5c)。k = 4 的種子平均 ARI 為 0.961,僅 10 人曾變動且全在邊界,個體輪廓值僅 1 人為負(圖四)。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表三　四項判準的掃描結果與裁決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k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判準1 輪廓係數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判準2 平方和降幅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判準3 最小群人數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判準4 群內認可度全距 ÷ 全體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種子平均 ARI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裁決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0.6435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0.801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55.7%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0.6677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44.0%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採用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0.6823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29.3%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30.2%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§2.1、§2.2、§2.4、§2.5。四項判準於執行掃描前訂定,未因結果調整門檻。判準4 為群內單一 KPI 全距佔全體全距的比例,達 100% 者表示該指標在群內無區分力。ARI 以 20 組隨機種子(100–119)與 random_state = 42 的結果比對。k = 7 至 9 同樣含 2 人群,已略。判準3 的人數門檻無外部依據,已於 notebook §2.5c 做敏感度檢驗:取 3 或 4 人結論同為 k = 4。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圖一　輪廓係數與肘部法對 k 的建議不一致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911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_sel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91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§2.3。輪廓係數(藍,左軸)最高點在 k = 5,群內平方和(紅,右軸)的轉折在 k = 4;兩法不一致時以業務可操作性裁決。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三、四個群組的語言解釋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分群於標準化空間進行,呈現時還原為原始單位(表四、圖二、圖六)。聚類為描述性技術,不主張因果。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四群的整體特徵如下。低度參與群共 70 人、佔全體近三分之二,三項指標均為最低,使用率僅 0.102,是組織的多數常態。高投入待認可群共 25 人,使用率 0.674 達平均 2.2 倍,但認可度僅 0.36 且無人帶隊,是三項指標落差最大的一群。受認可的專業骨幹共 8 人,使用率與認可度均居次高,惟尚未擔任負責人。帶隊核心群共 4 人,三項指標同時最高,是唯一實際帶隊的群組。四群區隔並非由單一指標造成:低度參與群與其餘三群的差異在使用率,後三群的差異則依序落在認可度與領導角色。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分受眾而言,三者處理的問題不同。人力資源部門面對級距與公平性:四群可對應四級獎金級距(圖七),辯護基礎在於級距由 KPI 實際分布劃分。部門主管面對人力配置:專業骨幹是負責人職位的候補來源,高投入待認可群則幾乎未獲指派。高階主管面對結構性風險:96% 從未帶隊。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最後須反思。認可度與領導角色記錄的是組織給予的機會,非顧問單方面的產出;高投入待認可群認可度偏低,可能反映指派制度而非能力,連命名都有管理後果。本次分析亦修正了我對聚類方法的認識:原以為難處在演算法,實際上演算法僅數行,真正決定結果的是前處理與 k 的裁決——同一份資料在縮放與否之間,即得出兩種互不相容的分群。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表四　質心表(原始單位)與群組畫像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人數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特徵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65.4%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投入度為全體平均三分之一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23.4%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投入高但幾乎未獲指派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7.5%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投入與認可皆高,尚未帶隊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三項全數領先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(全體平均)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§3.1、§3.3。分群於標準化空間進行,本表將各群還原為原始欄位的平均值以便解讀;標準化空間的質心 z 分數見 notebook §3.1 對照表。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圖二　四個群組的績效輪廓(0 = 全體平均)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838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luster_prof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8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§3.4。縱軸單位為標準差;「高投入待認可群」的使用率明顯高於平均,但認可度與領導角色皆在平均之下。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圖六　四個群組的畫像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18231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luster_ca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82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§3.6b。四張卡共用 0–100% 同一刻度,條長為該群質心佔該指標全體最大值的百分比,黑色短線為全體平均,條末數字為原始單位的質心值。此處不採「相對全體平均的倍數」——領導角色全體平均僅 0.056,倍數會達 26.8 而使四張卡刻度不一致、無法比較。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四、績效最優群組的識別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群 1「帶隊核心群」為績效最優群,共 4 人(員工編號 78、86、98、104)。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依據為質心表的逐欄比較(表五):三項指標同時排名第一,使用率與認可度為全體平均的2.6 與 7.4 倍。領導角色不採倍數——其平均僅 0.056、96% 為 0,近零分母會誇大差異;改以絕對數:樣本 107 人中僅 4 人有帶隊紀錄,恰為此群,職位合計 6 個。惟領導角色本身即為分群變數,此屬描述性特徵,不構成獨立驗證。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第三節指出該二指標帶有「機會」成分,故須確認判定不倚賴它們:僅以使用率排序,群 1 仍為最高 0.810(notebook §4.2b),三種權重方案亦皆最高,成員在 20 組種子下未變動。群 2 若政策不將帶隊列為必要條件,可與群 1 併級(圖七)。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表五　質心逐欄比較與權重敏感度檢查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等權分數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重領導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重投入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1.50(1)　樣本內 6 個帶隊職位全數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0.765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0.339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0.567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0.257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0.163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0.034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0.021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0.052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§4.1、§4.3。排名 1 為該指標最高。三種權重方案的分數係將質心以 min-max 轉為 0–1 後加權求和;三方案結論一致,均指向帶隊核心群。領導角色不列倍數:其全體平均僅 0.056(96% 為 0),以近零數值為分母會誇大差異,故改列絕對數。另註:領導角色本身即為分群變數,該群集中持有帶隊職位屬描述性特徵,不構成獨立驗證。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圖七　四級獎金級距、配置建議與對應行動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317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bonus_ti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31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§3.6c。人數為 k = 4 分群實算結果;配置佔比與行動為依分析結論提出的建議值,非模型輸出,須由人力資源部門依獎金政策核定。配置刻意不與人數成正比——最高級距僅 4 人,按人頭配置將使涵蓋面過窄。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圖四　各群個體輪廓值分布(k = 4)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840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ilhouet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84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§5.4。107 人中僅員工 71 的輪廓值為負(−0.103),落在「低度參與群」與「高投入待認可群」的邊界,與 §2 的種子穩定性分析一致;紅色虛線為整體平均 0.668。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五、方法限制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序位變數被視為等距是固有限制:以秩轉換重跑 ARI 僅 0.38,群組邊界會移動,惟核心發現不變。資料亦僅單一時點。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結論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採用方案為:排除員工識別碼、施以標準化、以 k = 4 分群。標準化由三項證據支持:認可度獨佔 79.6% 距離權重、分群退化為單變數複製、10 位顧問遭錯置;k = 4 經事前判準與敏感度檢驗。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建議下一步:確認級距配置比例(圖七)、檢視指派流程、將專業骨幹納入接班規劃。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參考文獻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Hubert, L., &amp; Arabie, P. (1985). Comparing partitions. Journal of Classification, 2(1), 193–218. https://doi.org/10.1007/BF01908075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Milligan, G. W., &amp; Cooper, M. C. (1988). A study of standardization of variables in cluster analysis. Journal of Classification, 5(2), 181–204. https://doi.org/10.1007/BF01897163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Rousseeuw, P. J. (1987). Silhouettes: A graphical aid to the interpretation and validation of cluster analysis. Journal of Computational and Applied Mathematics, 20, 53–65. https://doi.org/10.1016/0377-0427(87)90125-7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軟正黑體"/>
        <w:b w:val="0"/>
        <w:i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