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教育｜入門分析報告（≤500 字）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學生：PoKai (Kenny) Huang     日期：__________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一、背景與目標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教育希望在資源有限下，優先聯絡最可能轉化的潛在客。本報告以 leads.csv 與 new_leads.csv 為基礎，完成數據探索、建模評估與商業影響分析，並提出建議。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二、數據探索（變數：Total Time Spent on Website）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典型行為：停留時間的中位數約為【MEDIAN_TIME】秒（IQR ≈【IQR_TIME】），分布右偏；多數訪客停留較短時間。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與轉化的關係：停留時間越長，轉化率越高（Tableau 圖 1：Time vs Converted）。Lead Source 的轉化率存在差異（圖 2）。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三、建模與表現（分類）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模型：PyCaret/Sklearn（以最佳模型為準）。Accuracy ≈【ACC】；FPR ≈【FPR】；FNR ≈【FNR】；AUC ≈【AUC】（如適用）。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關鍵特徵：Total Time、Page Views、Lead Source/Origin 等（方向正向）。混淆矩陣顯示對正類覆蓋良好，但需留意假陰性。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四、商業影響（收益 $120、聯絡成本 $11；敏感度 $20）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使用模型於新／保留資料之利潤 ≈【PROFIT_MODEL】；若「全聯絡」≈【PROFIT_ALL】；差異【DELTA】。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成本升至 $20 時利潤 ≈【PROFIT_COST20】。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五、建議與風險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建議以模型分數排序聯絡順序，A/B 測試最佳門檻並定期重訓。風險含：資料缺失、來源變動、合規（尊重不聯絡意願）。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（附件：Tableau 圖 1/2 截圖；混淆矩陣與特徵重要性圖片）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