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Education | Intro Analysis Report (≤500 words)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PoKai (Kenny) Huang     Date: 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Context &amp; Goal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limited sales capacity, prioritize leads most likely to convert. Using leads.csv and new_leads.csv, I conduct exploration, modeling, and profit analysis, then provide recommendations.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Exploration (Variable: Total Time Spent on Website)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 ≈ [MEDIAN_TIME] sec (IQR ≈ [IQR_TIME]); right‑skewed. Longer time correlates with higher conversion (Fig.1). Conversion varies by Lead Source (Fig.2).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Modeling &amp; Performance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PyCaret/Sklearn best. Accuracy ≈ [ACC]; FPR ≈ [FPR]; FNR ≈ [FNR]; AUC ≈ [AUC] (if available).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features: Total Time, Page Views, Lead Source/Origin (positive direction). Confusion matrix shows solid positives; monitor false negatives.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Business Impact (Revenue $120, Contact cost $11; sensitivity $20)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profit ≈ [PROFIT_MODEL]; contact‑all ≈ [PROFIT_ALL]; delta [DELTA]. Profit at $20 cost ≈ [PROFIT_COST20].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Recommendations &amp; Risks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leads by model score, tune threshold via A/B tests, retrain regularly. Risks: missing data, channel shifts, compliance (opt‑outs).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(Attach: Tableau Figs; confusion matrix &amp; feature importance images)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