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DB82" w14:textId="77777777" w:rsidR="00AC2E2C" w:rsidRDefault="00AC2E2C">
      <w:pPr>
        <w:pBdr>
          <w:bottom w:val="single" w:sz="18" w:space="1" w:color="1F3864"/>
        </w:pBdr>
      </w:pPr>
    </w:p>
    <w:p w14:paraId="002CF0E2" w14:textId="77777777" w:rsidR="00AC2E2C" w:rsidRDefault="00AC2E2C">
      <w:pPr>
        <w:spacing w:after="120"/>
        <w:jc w:val="right"/>
      </w:pPr>
    </w:p>
    <w:p w14:paraId="5721BBBB" w14:textId="77777777" w:rsidR="00AC2E2C" w:rsidRDefault="00AC2E2C">
      <w:pPr>
        <w:spacing w:before="2400"/>
      </w:pPr>
    </w:p>
    <w:p w14:paraId="442BE687" w14:textId="77777777" w:rsidR="00AC2E2C" w:rsidRDefault="00000000">
      <w:pPr>
        <w:jc w:val="center"/>
      </w:pPr>
      <w:r>
        <w:rPr>
          <w:b/>
          <w:bCs/>
          <w:sz w:val="40"/>
          <w:szCs w:val="40"/>
        </w:rPr>
        <w:t>評估任務二：</w:t>
      </w:r>
      <w:proofErr w:type="gramStart"/>
      <w:r>
        <w:rPr>
          <w:b/>
          <w:bCs/>
          <w:sz w:val="40"/>
          <w:szCs w:val="40"/>
        </w:rPr>
        <w:t>可視化分析</w:t>
      </w:r>
      <w:proofErr w:type="gramEnd"/>
    </w:p>
    <w:p w14:paraId="633798FD" w14:textId="6C6CDF18" w:rsidR="00AC2E2C" w:rsidRDefault="00000000">
      <w:pPr>
        <w:spacing w:after="600"/>
        <w:jc w:val="center"/>
      </w:pPr>
      <w:r>
        <w:rPr>
          <w:i/>
          <w:iCs/>
          <w:color w:val="606060"/>
          <w:sz w:val="28"/>
          <w:szCs w:val="28"/>
        </w:rPr>
        <w:t xml:space="preserve">Assessment Task 2: </w:t>
      </w:r>
      <w:r w:rsidR="00AA66C1">
        <w:rPr>
          <w:i/>
          <w:iCs/>
          <w:color w:val="606060"/>
          <w:sz w:val="28"/>
          <w:szCs w:val="28"/>
        </w:rPr>
        <w:t>Visualization</w:t>
      </w:r>
      <w:r>
        <w:rPr>
          <w:i/>
          <w:iCs/>
          <w:color w:val="606060"/>
          <w:sz w:val="28"/>
          <w:szCs w:val="28"/>
        </w:rPr>
        <w:t xml:space="preserve"> Analysis</w:t>
      </w:r>
    </w:p>
    <w:p w14:paraId="66F51AD8" w14:textId="77777777" w:rsidR="00AC2E2C" w:rsidRDefault="00000000">
      <w:pPr>
        <w:spacing w:before="400" w:after="200"/>
        <w:jc w:val="center"/>
      </w:pPr>
      <w:r>
        <w:rPr>
          <w:b/>
          <w:bCs/>
          <w:sz w:val="36"/>
          <w:szCs w:val="36"/>
        </w:rPr>
        <w:t>澳洲礦物燃料貿易宏微觀分析</w:t>
      </w:r>
    </w:p>
    <w:p w14:paraId="6413B0C0" w14:textId="77777777" w:rsidR="00AC2E2C" w:rsidRDefault="00000000">
      <w:pPr>
        <w:spacing w:after="200"/>
        <w:jc w:val="center"/>
      </w:pPr>
      <w:r>
        <w:rPr>
          <w:color w:val="606060"/>
          <w:sz w:val="28"/>
          <w:szCs w:val="28"/>
        </w:rPr>
        <w:t>(1988–2023)</w:t>
      </w:r>
    </w:p>
    <w:p w14:paraId="62709F3F" w14:textId="77777777" w:rsidR="00AC2E2C" w:rsidRDefault="00AC2E2C">
      <w:pPr>
        <w:pBdr>
          <w:bottom w:val="single" w:sz="6" w:space="1" w:color="BFBFBF"/>
        </w:pBdr>
        <w:spacing w:after="600"/>
        <w:ind w:left="2160" w:right="2160"/>
      </w:pPr>
    </w:p>
    <w:p w14:paraId="159A2A80" w14:textId="77777777" w:rsidR="00AC2E2C" w:rsidRDefault="00AC2E2C">
      <w:pPr>
        <w:pBdr>
          <w:bottom w:val="single" w:sz="6" w:space="1" w:color="BFBFBF"/>
        </w:pBdr>
        <w:spacing w:after="600"/>
        <w:ind w:left="2160" w:right="2160"/>
      </w:pPr>
    </w:p>
    <w:p w14:paraId="565D3894" w14:textId="77777777" w:rsidR="00AC2E2C" w:rsidRDefault="00AC2E2C">
      <w:pPr>
        <w:pBdr>
          <w:bottom w:val="single" w:sz="6" w:space="1" w:color="BFBFBF"/>
        </w:pBdr>
        <w:spacing w:after="600"/>
        <w:ind w:left="2160" w:right="2160"/>
      </w:pPr>
    </w:p>
    <w:p w14:paraId="51507BED" w14:textId="77777777" w:rsidR="00AC2E2C" w:rsidRDefault="00000000">
      <w:pPr>
        <w:spacing w:after="80"/>
        <w:jc w:val="center"/>
      </w:pPr>
      <w:r>
        <w:t>學生姓名：黃柏凱（</w:t>
      </w:r>
      <w:r>
        <w:t>PoKai Huang</w:t>
      </w:r>
      <w:r>
        <w:t>）</w:t>
      </w:r>
    </w:p>
    <w:p w14:paraId="17AF1E19" w14:textId="77777777" w:rsidR="00AC2E2C" w:rsidRDefault="00000000">
      <w:pPr>
        <w:spacing w:after="80"/>
        <w:jc w:val="center"/>
      </w:pPr>
      <w:r>
        <w:t>學號：</w:t>
      </w:r>
      <w:r>
        <w:t>26254793</w:t>
      </w:r>
    </w:p>
    <w:p w14:paraId="3422673F" w14:textId="4A07FCEE" w:rsidR="00AC2E2C" w:rsidRDefault="00000000">
      <w:pPr>
        <w:spacing w:after="80"/>
        <w:jc w:val="center"/>
      </w:pPr>
      <w:r>
        <w:t>課程：</w:t>
      </w:r>
      <w:r>
        <w:t xml:space="preserve">321146 Data </w:t>
      </w:r>
      <w:r w:rsidR="00AA66C1">
        <w:t>Visualization</w:t>
      </w:r>
      <w:r>
        <w:t xml:space="preserve"> and Visual Analytics</w:t>
      </w:r>
    </w:p>
    <w:p w14:paraId="26DF9E46" w14:textId="77777777" w:rsidR="00AC2E2C" w:rsidRDefault="00000000">
      <w:pPr>
        <w:spacing w:after="80"/>
        <w:jc w:val="center"/>
      </w:pPr>
      <w:r>
        <w:t>提交日期：</w:t>
      </w:r>
      <w:r>
        <w:t xml:space="preserve">2026 </w:t>
      </w:r>
      <w:r>
        <w:t>年</w:t>
      </w:r>
      <w:r>
        <w:t xml:space="preserve"> 5 </w:t>
      </w:r>
      <w:r>
        <w:t>月</w:t>
      </w:r>
      <w:r>
        <w:t xml:space="preserve"> 3 </w:t>
      </w:r>
      <w:r>
        <w:t>日</w:t>
      </w:r>
    </w:p>
    <w:p w14:paraId="6BC7BAB8" w14:textId="77777777" w:rsidR="00AC2E2C" w:rsidRDefault="00000000">
      <w:r>
        <w:br w:type="page"/>
      </w:r>
    </w:p>
    <w:p w14:paraId="68531622" w14:textId="77777777" w:rsidR="00AC2E2C" w:rsidRDefault="00000000">
      <w:pPr>
        <w:pStyle w:val="1"/>
      </w:pPr>
      <w:r>
        <w:lastRenderedPageBreak/>
        <w:t>一、摘要（Executive Summary）</w:t>
      </w:r>
    </w:p>
    <w:p w14:paraId="568508C4" w14:textId="77777777" w:rsidR="00AC2E2C" w:rsidRDefault="00000000">
      <w:pPr>
        <w:spacing w:after="120" w:line="360" w:lineRule="auto"/>
        <w:jc w:val="both"/>
      </w:pPr>
      <w:r>
        <w:t>本研究以澳洲統計局</w:t>
      </w:r>
      <w:r>
        <w:t xml:space="preserve"> 1988-2023 </w:t>
      </w:r>
      <w:r>
        <w:t>年國際貿易資料為基礎，使用</w:t>
      </w:r>
      <w:r>
        <w:t xml:space="preserve"> Excel </w:t>
      </w:r>
      <w:r>
        <w:t>建立統計與分析兩套資料模式，並於</w:t>
      </w:r>
      <w:r>
        <w:t xml:space="preserve"> Tableau </w:t>
      </w:r>
      <w:r>
        <w:t>中建構三層次</w:t>
      </w:r>
      <w:proofErr w:type="gramStart"/>
      <w:r>
        <w:t>可視化與</w:t>
      </w:r>
      <w:proofErr w:type="gramEnd"/>
      <w:r>
        <w:t>互動式儀表板。觀察結果顯示：礦物燃料出口從</w:t>
      </w:r>
      <w:r>
        <w:t xml:space="preserve"> 1988 </w:t>
      </w:r>
      <w:r>
        <w:t>年的</w:t>
      </w:r>
      <w:r>
        <w:t xml:space="preserve"> A$ 25B </w:t>
      </w:r>
      <w:r>
        <w:t>一路成長至</w:t>
      </w:r>
      <w:r>
        <w:t xml:space="preserve"> 2022 </w:t>
      </w:r>
      <w:r>
        <w:t>年的</w:t>
      </w:r>
      <w:r>
        <w:t xml:space="preserve"> A$ 251B </w:t>
      </w:r>
      <w:r>
        <w:t>高峰，占總出口比重也由</w:t>
      </w:r>
      <w:r>
        <w:t xml:space="preserve"> 15% </w:t>
      </w:r>
      <w:r>
        <w:t>上升至</w:t>
      </w:r>
      <w:r>
        <w:t xml:space="preserve"> 42%</w:t>
      </w:r>
      <w:r>
        <w:t>，內部結構則呈現由煤炭主導逐步轉向</w:t>
      </w:r>
      <w:r>
        <w:t xml:space="preserve"> LNG </w:t>
      </w:r>
      <w:r>
        <w:t>並進的能源轉型趨勢。分析模式進一步辨識出</w:t>
      </w:r>
      <w:r>
        <w:t xml:space="preserve"> 2008-09 </w:t>
      </w:r>
      <w:r>
        <w:t>金融海嘯、</w:t>
      </w:r>
      <w:r>
        <w:t xml:space="preserve">2015-16 </w:t>
      </w:r>
      <w:r>
        <w:t>大宗商品崩盤、</w:t>
      </w:r>
      <w:r>
        <w:t xml:space="preserve">2020 COVID </w:t>
      </w:r>
      <w:r>
        <w:t>三個明顯衰退年，以及</w:t>
      </w:r>
      <w:r>
        <w:t xml:space="preserve"> 2022 </w:t>
      </w:r>
      <w:r>
        <w:t>年俄烏戰爭推升</w:t>
      </w:r>
      <w:r>
        <w:t xml:space="preserve"> LNG </w:t>
      </w:r>
      <w:r>
        <w:t>出口指數翻</w:t>
      </w:r>
      <w:proofErr w:type="gramStart"/>
      <w:r>
        <w:t>倍</w:t>
      </w:r>
      <w:proofErr w:type="gramEnd"/>
      <w:r>
        <w:t>的關鍵突破點。儀表板的雙向視角同時呈現「出口能源原料、進口精煉燃料（石油</w:t>
      </w:r>
      <w:r>
        <w:t xml:space="preserve"> 99% </w:t>
      </w:r>
      <w:r>
        <w:t>靠進口）」的結構性矛盾。基於以上發現，本報告提出三項策略建議：貿易市場多元化、把握</w:t>
      </w:r>
      <w:r>
        <w:t xml:space="preserve"> LNG </w:t>
      </w:r>
      <w:r>
        <w:t>高峰期投資能源轉型、以及建立大宗商品價格避險機制，供政府與產業決策參考。</w:t>
      </w:r>
    </w:p>
    <w:p w14:paraId="48AE2F0E" w14:textId="77777777" w:rsidR="00AC2E2C" w:rsidRDefault="00000000">
      <w:pPr>
        <w:pStyle w:val="1"/>
      </w:pPr>
      <w:r>
        <w:t>二、引言（Introduction）</w:t>
      </w:r>
    </w:p>
    <w:p w14:paraId="5D4FFC7C" w14:textId="77777777" w:rsidR="00AC2E2C" w:rsidRDefault="00000000">
      <w:pPr>
        <w:pStyle w:val="2"/>
      </w:pPr>
      <w:r>
        <w:t>2.1 研究背景</w:t>
      </w:r>
    </w:p>
    <w:p w14:paraId="6095F710" w14:textId="77777777" w:rsidR="00AC2E2C" w:rsidRDefault="00000000">
      <w:pPr>
        <w:spacing w:after="120" w:line="360" w:lineRule="auto"/>
        <w:jc w:val="both"/>
      </w:pPr>
      <w:r>
        <w:t>澳洲長期以大宗商品出口為主要經濟來源，其中礦物燃料（煤炭、石油、天然氣）在十大出口類別中持續占核心地位，與國家經濟、就業及外匯收入緊密相關。根據澳洲統計局（</w:t>
      </w:r>
      <w:r>
        <w:t>ABS, 2024</w:t>
      </w:r>
      <w:r>
        <w:t>），礦物燃料出口在</w:t>
      </w:r>
      <w:r>
        <w:t xml:space="preserve"> 2022 </w:t>
      </w:r>
      <w:r>
        <w:t>年達到歷史高峰，單一類別貢獻超過</w:t>
      </w:r>
      <w:r>
        <w:t xml:space="preserve"> A$ 250B</w:t>
      </w:r>
      <w:r>
        <w:t>。但近年能源轉型、地緣政治與氣候政策等變數同時作用，使澳洲在「資源依賴」與「永續發展」之間的取捨愈來愈受關注，這也是本研究選擇深入此類別的主要動機。</w:t>
      </w:r>
    </w:p>
    <w:p w14:paraId="74340EBB" w14:textId="77777777" w:rsidR="00AC2E2C" w:rsidRDefault="00000000">
      <w:pPr>
        <w:pStyle w:val="2"/>
      </w:pPr>
      <w:r>
        <w:t>2.2 研究目的與問題</w:t>
      </w:r>
    </w:p>
    <w:p w14:paraId="0C2607AF" w14:textId="77777777" w:rsidR="00AC2E2C" w:rsidRDefault="00000000">
      <w:pPr>
        <w:spacing w:after="120" w:line="360" w:lineRule="auto"/>
        <w:jc w:val="both"/>
      </w:pPr>
      <w:r>
        <w:t>本報告旨在透過數據</w:t>
      </w:r>
      <w:proofErr w:type="gramStart"/>
      <w:r>
        <w:t>可視化</w:t>
      </w:r>
      <w:proofErr w:type="gramEnd"/>
      <w:r>
        <w:t>（</w:t>
      </w:r>
      <w:r>
        <w:t>data visualization</w:t>
      </w:r>
      <w:r>
        <w:t>）與可視分析（</w:t>
      </w:r>
      <w:r>
        <w:t>visual analytics</w:t>
      </w:r>
      <w:r>
        <w:t>）技術，回答下列研究問題：</w:t>
      </w:r>
    </w:p>
    <w:p w14:paraId="2A017FD8" w14:textId="77777777" w:rsidR="00AC2E2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eastAsia="微軟正黑體"/>
          <w:color w:val="000000"/>
        </w:rPr>
        <w:t>澳洲十大主類別的進出口表現在 1988</w:t>
      </w:r>
      <w:r>
        <w:t>-</w:t>
      </w:r>
      <w:r>
        <w:rPr>
          <w:rFonts w:eastAsia="微軟正黑體"/>
          <w:color w:val="000000"/>
        </w:rPr>
        <w:t>2023 年間呈現何種長期趨勢？</w:t>
      </w:r>
    </w:p>
    <w:p w14:paraId="16924EF3" w14:textId="77777777" w:rsidR="00AC2E2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eastAsia="微軟正黑體"/>
          <w:color w:val="000000"/>
        </w:rPr>
        <w:lastRenderedPageBreak/>
        <w:t>礦物燃料（SITC 3）及其子類別出現了哪些重要的「突破點（breakthrough points）」？背後的統計與政策成因為何？</w:t>
      </w:r>
    </w:p>
    <w:p w14:paraId="05EB6CB7" w14:textId="77777777" w:rsidR="00AC2E2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eastAsia="微軟正黑體"/>
          <w:color w:val="000000"/>
        </w:rPr>
        <w:t>基於上述發現，可為澳洲本地產業提出哪些可操作的策略建議？</w:t>
      </w:r>
    </w:p>
    <w:p w14:paraId="33B650F1" w14:textId="77777777" w:rsidR="00AC2E2C" w:rsidRDefault="00000000">
      <w:pPr>
        <w:pStyle w:val="1"/>
      </w:pPr>
      <w:r>
        <w:t>三、資料集與方法（Dataset &amp; Methodology）</w:t>
      </w:r>
    </w:p>
    <w:p w14:paraId="744C0AAF" w14:textId="77777777" w:rsidR="00AC2E2C" w:rsidRDefault="00000000">
      <w:pPr>
        <w:pStyle w:val="2"/>
      </w:pPr>
      <w:r>
        <w:t>3.1 資料集說明</w:t>
      </w:r>
    </w:p>
    <w:p w14:paraId="2442D350" w14:textId="77777777" w:rsidR="00AC2E2C" w:rsidRDefault="00000000">
      <w:pPr>
        <w:spacing w:after="120" w:line="360" w:lineRule="auto"/>
        <w:jc w:val="both"/>
      </w:pPr>
      <w:r>
        <w:t>本研究使用課程提供的澳洲統計局（</w:t>
      </w:r>
      <w:r>
        <w:t>Australian Bureau of Statistics, ABS</w:t>
      </w:r>
      <w:r>
        <w:t>）國際貿易資料集</w:t>
      </w:r>
      <w:r>
        <w:t xml:space="preserve"> 320146-A2-dataset.xlsx</w:t>
      </w:r>
      <w:r>
        <w:t>，涵蓋</w:t>
      </w:r>
      <w:r>
        <w:t xml:space="preserve"> 1988 </w:t>
      </w:r>
      <w:r>
        <w:t>年至</w:t>
      </w:r>
      <w:r>
        <w:t xml:space="preserve"> 2023 </w:t>
      </w:r>
      <w:r>
        <w:t>年共</w:t>
      </w:r>
      <w:r>
        <w:t xml:space="preserve"> 36 </w:t>
      </w:r>
      <w:r>
        <w:t>年的縱向（</w:t>
      </w:r>
      <w:r>
        <w:t>longitudinal</w:t>
      </w:r>
      <w:r>
        <w:t>）貿易紀錄，包含十個主類別（</w:t>
      </w:r>
      <w:r>
        <w:t>main categories</w:t>
      </w:r>
      <w:r>
        <w:t>）與六十七個子類別（</w:t>
      </w:r>
      <w:r>
        <w:t>sub-categories</w:t>
      </w:r>
      <w:r>
        <w:t>）。資料記錄單位為百萬澳幣（</w:t>
      </w:r>
      <w:r>
        <w:t>$Millions</w:t>
      </w:r>
      <w:r>
        <w:t>），並區分進口（</w:t>
      </w:r>
      <w:r>
        <w:t>Import</w:t>
      </w:r>
      <w:r>
        <w:t>）與出口（</w:t>
      </w:r>
      <w:r>
        <w:t>Export</w:t>
      </w:r>
      <w:r>
        <w:t>）兩個方向。</w:t>
      </w:r>
    </w:p>
    <w:p w14:paraId="32B161BB" w14:textId="77777777" w:rsidR="00AC2E2C" w:rsidRDefault="00000000">
      <w:pPr>
        <w:pStyle w:val="2"/>
      </w:pPr>
      <w:r>
        <w:t>3.2 資料處理：統計模式與分析模式</w:t>
      </w:r>
    </w:p>
    <w:p w14:paraId="59FF0937" w14:textId="77777777" w:rsidR="00AC2E2C" w:rsidRDefault="00000000">
      <w:pPr>
        <w:spacing w:after="120" w:line="360" w:lineRule="auto"/>
        <w:jc w:val="both"/>
      </w:pPr>
      <w:r>
        <w:t>依</w:t>
      </w:r>
      <w:proofErr w:type="gramStart"/>
      <w:r>
        <w:t>課程線上講義</w:t>
      </w:r>
      <w:proofErr w:type="gramEnd"/>
      <w:r>
        <w:t xml:space="preserve"> 3.4.1 </w:t>
      </w:r>
      <w:r>
        <w:t>之步驟，本研究在</w:t>
      </w:r>
      <w:r>
        <w:t xml:space="preserve"> Excel </w:t>
      </w:r>
      <w:r>
        <w:t>中建立兩種「資料模式（</w:t>
      </w:r>
      <w:r>
        <w:t>data patterns</w:t>
      </w:r>
      <w:r>
        <w:t>）」：</w:t>
      </w:r>
    </w:p>
    <w:p w14:paraId="28116B5B" w14:textId="2F7F0BBB" w:rsidR="00AC2E2C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eastAsia="微軟正黑體"/>
          <w:b/>
          <w:bCs/>
          <w:color w:val="000000"/>
        </w:rPr>
        <w:t>統計模式（Statistical pattern）：</w:t>
      </w:r>
      <w:r>
        <w:rPr>
          <w:rFonts w:eastAsia="微軟正黑體"/>
          <w:color w:val="000000"/>
        </w:rPr>
        <w:t>計算各類別在當年總貿易額中的百分比</w:t>
      </w:r>
      <w:proofErr w:type="gramStart"/>
      <w:r>
        <w:rPr>
          <w:rFonts w:eastAsia="微軟正黑體"/>
          <w:color w:val="000000"/>
        </w:rPr>
        <w:t>佔</w:t>
      </w:r>
      <w:proofErr w:type="gramEnd"/>
      <w:r>
        <w:rPr>
          <w:rFonts w:eastAsia="微軟正黑體"/>
          <w:color w:val="000000"/>
        </w:rPr>
        <w:t>比，反映「貿易結構（trade composition）」。公式為 B43 = B4 / $CA4  即類別</w:t>
      </w:r>
      <w:proofErr w:type="gramStart"/>
      <w:r>
        <w:rPr>
          <w:rFonts w:eastAsia="微軟正黑體"/>
          <w:color w:val="000000"/>
        </w:rPr>
        <w:t>出口額除以</w:t>
      </w:r>
      <w:proofErr w:type="gramEnd"/>
      <w:r>
        <w:rPr>
          <w:rFonts w:eastAsia="微軟正黑體"/>
          <w:color w:val="000000"/>
        </w:rPr>
        <w:t>該年度總出口額。經驗證，所有 36 年的十大類加總皆為 100%。</w:t>
      </w:r>
    </w:p>
    <w:p w14:paraId="3F505CDF" w14:textId="77777777" w:rsidR="00AC2E2C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eastAsia="微軟正黑體"/>
          <w:b/>
          <w:bCs/>
          <w:color w:val="000000"/>
        </w:rPr>
        <w:t>分析模式（Analytical pattern）：</w:t>
      </w:r>
      <w:r>
        <w:rPr>
          <w:rFonts w:eastAsia="微軟正黑體"/>
          <w:color w:val="000000"/>
        </w:rPr>
        <w:t xml:space="preserve">計算每年相對於前一年的變動率（year-over-year change），反映「成長動能（growth dynamics）」。公式為 B5 = Sheet!B5 / </w:t>
      </w:r>
      <w:proofErr w:type="gramStart"/>
      <w:r>
        <w:rPr>
          <w:rFonts w:eastAsia="微軟正黑體"/>
          <w:color w:val="000000"/>
        </w:rPr>
        <w:t>Sheet!B</w:t>
      </w:r>
      <w:proofErr w:type="gramEnd"/>
      <w:r>
        <w:rPr>
          <w:rFonts w:eastAsia="微軟正黑體"/>
          <w:color w:val="000000"/>
        </w:rPr>
        <w:t>4，並依規範刪除無前期資料的 1988 年。</w:t>
      </w:r>
    </w:p>
    <w:p w14:paraId="0907B68D" w14:textId="77777777" w:rsidR="00AC2E2C" w:rsidRDefault="00000000">
      <w:pPr>
        <w:spacing w:after="120" w:line="360" w:lineRule="auto"/>
        <w:jc w:val="both"/>
      </w:pPr>
      <w:r>
        <w:lastRenderedPageBreak/>
        <w:t>最後將進口、出口資料以「</w:t>
      </w:r>
      <w:r>
        <w:t>Trade</w:t>
      </w:r>
      <w:r>
        <w:t>」欄位串接，合併為三份可供</w:t>
      </w:r>
      <w:r>
        <w:t xml:space="preserve"> Tableau </w:t>
      </w:r>
      <w:r>
        <w:t>部署的資料集：</w:t>
      </w:r>
      <w:r>
        <w:t>Dollar-Combined</w:t>
      </w:r>
      <w:r>
        <w:t>、</w:t>
      </w:r>
      <w:r>
        <w:t>Statistical-Combined</w:t>
      </w:r>
      <w:r>
        <w:t>、</w:t>
      </w:r>
      <w:r>
        <w:t>Analytical-Combined</w:t>
      </w:r>
      <w:r>
        <w:t>。</w:t>
      </w:r>
    </w:p>
    <w:p w14:paraId="07F2E30B" w14:textId="77777777" w:rsidR="00AC2E2C" w:rsidRDefault="00000000">
      <w:pPr>
        <w:pStyle w:val="2"/>
      </w:pPr>
      <w:r>
        <w:t>3.3 視覺化工具與設計原則</w:t>
      </w:r>
    </w:p>
    <w:p w14:paraId="0BFCC9BB" w14:textId="77777777" w:rsidR="00AC2E2C" w:rsidRDefault="00000000">
      <w:pPr>
        <w:spacing w:after="120" w:line="360" w:lineRule="auto"/>
        <w:jc w:val="both"/>
      </w:pPr>
      <w:r>
        <w:t>使用</w:t>
      </w:r>
      <w:r>
        <w:t xml:space="preserve"> Tableau Desktop </w:t>
      </w:r>
      <w:r>
        <w:t>進行</w:t>
      </w:r>
      <w:proofErr w:type="gramStart"/>
      <w:r>
        <w:t>可視化建</w:t>
      </w:r>
      <w:proofErr w:type="gramEnd"/>
      <w:r>
        <w:t>模，以「時間</w:t>
      </w:r>
      <w:r>
        <w:t xml:space="preserve"> + Trade</w:t>
      </w:r>
      <w:r>
        <w:t>」為關聯欄位將三份資料集以「關係（</w:t>
      </w:r>
      <w:r>
        <w:t>Relationship</w:t>
      </w:r>
      <w:r>
        <w:t>）」方式串接。設計原則參考第二</w:t>
      </w:r>
      <w:proofErr w:type="gramStart"/>
      <w:r>
        <w:t>單元高維資料可視化教學</w:t>
      </w:r>
      <w:proofErr w:type="gramEnd"/>
      <w:r>
        <w:t>內容，並採用以人為本（</w:t>
      </w:r>
      <w:r>
        <w:t>human-</w:t>
      </w:r>
      <w:proofErr w:type="spellStart"/>
      <w:r>
        <w:t>centred</w:t>
      </w:r>
      <w:proofErr w:type="spellEnd"/>
      <w:r>
        <w:t>）的設計方法，確保儀表板與</w:t>
      </w:r>
      <w:proofErr w:type="gramStart"/>
      <w:r>
        <w:t>故事板能引導</w:t>
      </w:r>
      <w:proofErr w:type="gramEnd"/>
      <w:r>
        <w:t>讀者由總體至細節逐層深入。</w:t>
      </w:r>
    </w:p>
    <w:p w14:paraId="7BD3CF44" w14:textId="77777777" w:rsidR="00AC2E2C" w:rsidRDefault="00000000">
      <w:pPr>
        <w:pStyle w:val="1"/>
      </w:pPr>
      <w:r>
        <w:t>四、宏觀分析：十大主類別比較（Macro Analysis）</w:t>
      </w:r>
    </w:p>
    <w:p w14:paraId="07C356B9" w14:textId="77777777" w:rsidR="00AC2E2C" w:rsidRDefault="00000000">
      <w:pPr>
        <w:pStyle w:val="2"/>
      </w:pPr>
      <w:r>
        <w:t>4.1 三維時間序列比較</w:t>
      </w:r>
    </w:p>
    <w:p w14:paraId="6BE2A3C9" w14:textId="77777777" w:rsidR="00AC2E2C" w:rsidRDefault="00000000">
      <w:pPr>
        <w:spacing w:after="120" w:line="360" w:lineRule="auto"/>
        <w:jc w:val="both"/>
      </w:pPr>
      <w:r>
        <w:t>為比較十大主類別的進出口表現，本節分別從原始金額（</w:t>
      </w:r>
      <w:r>
        <w:t>raw dollar</w:t>
      </w:r>
      <w:r>
        <w:t>）、統計趨勢（</w:t>
      </w:r>
      <w:r>
        <w:t>statistical %</w:t>
      </w:r>
      <w:r>
        <w:t>）、分析趨勢（</w:t>
      </w:r>
      <w:r>
        <w:t>analytical YoY%</w:t>
      </w:r>
      <w:r>
        <w:t>）三個維度繪製時間序列圖。</w:t>
      </w:r>
    </w:p>
    <w:p w14:paraId="70B25924" w14:textId="77777777" w:rsidR="00AC2E2C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1FEFEC9A" wp14:editId="409E9DA3">
            <wp:extent cx="2759075" cy="2188028"/>
            <wp:effectExtent l="0" t="0" r="3175" b="317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444" cy="220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91458" wp14:editId="796D0FFE">
            <wp:extent cx="2895600" cy="2187575"/>
            <wp:effectExtent l="0" t="0" r="0" b="317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3427" cy="2208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2B57D" w14:textId="77777777" w:rsidR="00AC2E2C" w:rsidRDefault="00000000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  <w:r>
        <w:rPr>
          <w:i/>
          <w:iCs/>
          <w:color w:val="606060"/>
          <w:sz w:val="20"/>
          <w:szCs w:val="20"/>
        </w:rPr>
        <w:t>圖</w:t>
      </w:r>
      <w:r>
        <w:rPr>
          <w:i/>
          <w:iCs/>
          <w:color w:val="606060"/>
          <w:sz w:val="20"/>
          <w:szCs w:val="20"/>
        </w:rPr>
        <w:t xml:space="preserve"> 4.1 </w:t>
      </w:r>
      <w:r>
        <w:rPr>
          <w:i/>
          <w:iCs/>
          <w:color w:val="606060"/>
          <w:sz w:val="20"/>
          <w:szCs w:val="20"/>
        </w:rPr>
        <w:t>來源：使用</w:t>
      </w:r>
      <w:r>
        <w:rPr>
          <w:i/>
          <w:iCs/>
          <w:color w:val="606060"/>
          <w:sz w:val="20"/>
          <w:szCs w:val="20"/>
        </w:rPr>
        <w:t xml:space="preserve"> Dollar-Combined </w:t>
      </w:r>
      <w:r>
        <w:rPr>
          <w:i/>
          <w:iCs/>
          <w:color w:val="606060"/>
          <w:sz w:val="20"/>
          <w:szCs w:val="20"/>
        </w:rPr>
        <w:t>資料表於</w:t>
      </w:r>
      <w:r>
        <w:rPr>
          <w:i/>
          <w:iCs/>
          <w:color w:val="606060"/>
          <w:sz w:val="20"/>
          <w:szCs w:val="20"/>
        </w:rPr>
        <w:t xml:space="preserve"> Tableau </w:t>
      </w:r>
      <w:r>
        <w:rPr>
          <w:i/>
          <w:iCs/>
          <w:color w:val="606060"/>
          <w:sz w:val="20"/>
          <w:szCs w:val="20"/>
        </w:rPr>
        <w:t>製作。</w:t>
      </w:r>
    </w:p>
    <w:p w14:paraId="39C9362E" w14:textId="77777777" w:rsidR="00AC2E2C" w:rsidRDefault="00000000">
      <w:pPr>
        <w:spacing w:before="60" w:after="200"/>
        <w:jc w:val="center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hidden="0" allowOverlap="1" wp14:anchorId="657E5478" wp14:editId="25764D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83428" cy="2108820"/>
            <wp:effectExtent l="0" t="0" r="3175" b="6350"/>
            <wp:wrapSquare wrapText="bothSides" distT="0" distB="0" distL="0" distR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3436" cy="2116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2B61AF22" wp14:editId="46948340">
            <wp:simplePos x="0" y="0"/>
            <wp:positionH relativeFrom="column">
              <wp:posOffset>2944586</wp:posOffset>
            </wp:positionH>
            <wp:positionV relativeFrom="paragraph">
              <wp:posOffset>634</wp:posOffset>
            </wp:positionV>
            <wp:extent cx="2683328" cy="2111829"/>
            <wp:effectExtent l="0" t="0" r="3175" b="3175"/>
            <wp:wrapSquare wrapText="bothSides" distT="0" distB="0" distL="0" distR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3427" cy="2119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05E45" w14:textId="77777777" w:rsidR="00AC2E2C" w:rsidRDefault="00AC2E2C">
      <w:pPr>
        <w:spacing w:before="60" w:after="200"/>
        <w:jc w:val="center"/>
      </w:pPr>
    </w:p>
    <w:p w14:paraId="159D7BEC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55A7D424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228246E4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7AE65C2F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726B8297" w14:textId="77777777" w:rsidR="00AC2E2C" w:rsidRDefault="00000000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  <w:r>
        <w:rPr>
          <w:i/>
          <w:iCs/>
          <w:color w:val="606060"/>
          <w:sz w:val="20"/>
          <w:szCs w:val="20"/>
        </w:rPr>
        <w:t>圖</w:t>
      </w:r>
      <w:r>
        <w:rPr>
          <w:i/>
          <w:iCs/>
          <w:color w:val="606060"/>
          <w:sz w:val="20"/>
          <w:szCs w:val="20"/>
        </w:rPr>
        <w:t xml:space="preserve"> 4.2 </w:t>
      </w:r>
      <w:r>
        <w:rPr>
          <w:i/>
          <w:iCs/>
          <w:color w:val="606060"/>
          <w:sz w:val="20"/>
          <w:szCs w:val="20"/>
        </w:rPr>
        <w:t>來源：使用</w:t>
      </w:r>
      <w:r>
        <w:rPr>
          <w:i/>
          <w:iCs/>
          <w:color w:val="606060"/>
          <w:sz w:val="20"/>
          <w:szCs w:val="20"/>
        </w:rPr>
        <w:t xml:space="preserve"> Statistical-Combined </w:t>
      </w:r>
      <w:r>
        <w:rPr>
          <w:i/>
          <w:iCs/>
          <w:color w:val="606060"/>
          <w:sz w:val="20"/>
          <w:szCs w:val="20"/>
        </w:rPr>
        <w:t>資料表製作。</w:t>
      </w:r>
    </w:p>
    <w:p w14:paraId="217DBD17" w14:textId="77777777" w:rsidR="00AC2E2C" w:rsidRDefault="00000000">
      <w:pPr>
        <w:spacing w:before="60" w:after="200"/>
        <w:jc w:val="center"/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905B52" wp14:editId="242B906C">
            <wp:simplePos x="0" y="0"/>
            <wp:positionH relativeFrom="column">
              <wp:posOffset>2808513</wp:posOffset>
            </wp:positionH>
            <wp:positionV relativeFrom="paragraph">
              <wp:posOffset>43543</wp:posOffset>
            </wp:positionV>
            <wp:extent cx="2623457" cy="1986643"/>
            <wp:effectExtent l="0" t="0" r="5715" b="0"/>
            <wp:wrapSquare wrapText="bothSides" distT="0" distB="0" distL="0" distR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0569" cy="1992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hidden="0" allowOverlap="1" wp14:anchorId="1F918A0F" wp14:editId="36503EA1">
            <wp:simplePos x="0" y="0"/>
            <wp:positionH relativeFrom="column">
              <wp:posOffset>103413</wp:posOffset>
            </wp:positionH>
            <wp:positionV relativeFrom="paragraph">
              <wp:posOffset>43543</wp:posOffset>
            </wp:positionV>
            <wp:extent cx="2623603" cy="1995806"/>
            <wp:effectExtent l="0" t="0" r="5715" b="4445"/>
            <wp:wrapSquare wrapText="bothSides" distT="0" distB="0" distL="0" distR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051" cy="2002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BD3EC" w14:textId="77777777" w:rsidR="00AC2E2C" w:rsidRDefault="00AC2E2C">
      <w:pPr>
        <w:spacing w:before="60" w:after="200"/>
        <w:jc w:val="center"/>
      </w:pPr>
    </w:p>
    <w:p w14:paraId="798E0A41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592C53D3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1498BB5E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4258C656" w14:textId="77777777" w:rsidR="00AC2E2C" w:rsidRDefault="00AC2E2C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</w:p>
    <w:p w14:paraId="62BDAC21" w14:textId="77777777" w:rsidR="00AC2E2C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</w:t>
      </w:r>
      <w:r>
        <w:rPr>
          <w:i/>
          <w:iCs/>
          <w:color w:val="606060"/>
          <w:sz w:val="20"/>
          <w:szCs w:val="20"/>
        </w:rPr>
        <w:t xml:space="preserve"> 4.3 </w:t>
      </w:r>
      <w:r>
        <w:rPr>
          <w:i/>
          <w:iCs/>
          <w:color w:val="606060"/>
          <w:sz w:val="20"/>
          <w:szCs w:val="20"/>
        </w:rPr>
        <w:t>來源：使用</w:t>
      </w:r>
      <w:r>
        <w:rPr>
          <w:i/>
          <w:iCs/>
          <w:color w:val="606060"/>
          <w:sz w:val="20"/>
          <w:szCs w:val="20"/>
        </w:rPr>
        <w:t xml:space="preserve"> Analytical-Combined </w:t>
      </w:r>
      <w:r>
        <w:rPr>
          <w:i/>
          <w:iCs/>
          <w:color w:val="606060"/>
          <w:sz w:val="20"/>
          <w:szCs w:val="20"/>
        </w:rPr>
        <w:t>資料表製作。</w:t>
      </w:r>
    </w:p>
    <w:p w14:paraId="2181547E" w14:textId="77777777" w:rsidR="00AC2E2C" w:rsidRDefault="00000000">
      <w:pPr>
        <w:pStyle w:val="2"/>
      </w:pPr>
      <w:r>
        <w:t>4.2 主要發現</w:t>
      </w:r>
    </w:p>
    <w:p w14:paraId="79932BD4" w14:textId="4F25834C" w:rsidR="00AC2E2C" w:rsidRDefault="00000000">
      <w:pPr>
        <w:spacing w:after="120" w:line="360" w:lineRule="auto"/>
        <w:jc w:val="both"/>
      </w:pPr>
      <w:r>
        <w:t>從三張圖可以看出，礦物燃料在出口端的長期成長最為突出：</w:t>
      </w:r>
      <w:r>
        <w:t xml:space="preserve">1988 </w:t>
      </w:r>
      <w:r>
        <w:t>年它只是十大類別中的中段位置，到</w:t>
      </w:r>
      <w:r>
        <w:t xml:space="preserve"> 2022 </w:t>
      </w:r>
      <w:proofErr w:type="gramStart"/>
      <w:r>
        <w:t>年已單年</w:t>
      </w:r>
      <w:proofErr w:type="gramEnd"/>
      <w:r>
        <w:t>突破</w:t>
      </w:r>
      <w:r>
        <w:t xml:space="preserve"> A$ 250B </w:t>
      </w:r>
      <w:r>
        <w:t>成為出口冠軍。進口端的故事則不同</w:t>
      </w:r>
      <w:r w:rsidR="00AA66C1">
        <w:rPr>
          <w:rFonts w:hint="eastAsia"/>
        </w:rPr>
        <w:t xml:space="preserve"> </w:t>
      </w:r>
      <w:r>
        <w:t>機械及運輸設備（類別</w:t>
      </w:r>
      <w:r>
        <w:t xml:space="preserve"> 7</w:t>
      </w:r>
      <w:r>
        <w:t>）長期維持</w:t>
      </w:r>
      <w:r>
        <w:t xml:space="preserve"> 37-47% </w:t>
      </w:r>
      <w:r>
        <w:t>的高占比，反映澳洲製造業外移後對進口設備的依賴；食品（類別</w:t>
      </w:r>
      <w:r>
        <w:t xml:space="preserve"> 0</w:t>
      </w:r>
      <w:r>
        <w:t>）出口比重雖由</w:t>
      </w:r>
      <w:r>
        <w:t xml:space="preserve"> 19% </w:t>
      </w:r>
      <w:r>
        <w:t>緩降到</w:t>
      </w:r>
      <w:r>
        <w:t xml:space="preserve"> 10%</w:t>
      </w:r>
      <w:r>
        <w:t>，但絕對金額仍持續成長，顯示其相對地位下降而非產業萎縮。整體來看，澳洲出口結構在過去三十年明顯由多元化走向資源高度集中。</w:t>
      </w:r>
    </w:p>
    <w:p w14:paraId="1ED774F1" w14:textId="77777777" w:rsidR="00AA66C1" w:rsidRDefault="00AA66C1">
      <w:pPr>
        <w:spacing w:after="120" w:line="360" w:lineRule="auto"/>
        <w:jc w:val="both"/>
        <w:rPr>
          <w:rFonts w:hint="eastAsia"/>
        </w:rPr>
      </w:pPr>
    </w:p>
    <w:p w14:paraId="4EEE3528" w14:textId="77777777" w:rsidR="00AC2E2C" w:rsidRDefault="00000000">
      <w:pPr>
        <w:pStyle w:val="1"/>
      </w:pPr>
      <w:r>
        <w:t>五、微觀分析：礦物燃料（SITC 3）Dashboard</w:t>
      </w:r>
    </w:p>
    <w:p w14:paraId="237A2BE1" w14:textId="77777777" w:rsidR="00AC2E2C" w:rsidRDefault="00000000">
      <w:pPr>
        <w:pStyle w:val="2"/>
      </w:pPr>
      <w:r>
        <w:lastRenderedPageBreak/>
        <w:t>5.1 為何選擇礦物燃料</w:t>
      </w:r>
    </w:p>
    <w:p w14:paraId="20F2233E" w14:textId="77777777" w:rsidR="00AC2E2C" w:rsidRDefault="00000000">
      <w:pPr>
        <w:spacing w:after="120" w:line="360" w:lineRule="auto"/>
        <w:jc w:val="both"/>
      </w:pPr>
      <w:r>
        <w:t>礦物燃料是澳洲過去三十年最具戰略意義的出口類別之一，涵蓋四個子類別：</w:t>
      </w:r>
      <w:r>
        <w:t xml:space="preserve">32 </w:t>
      </w:r>
      <w:r>
        <w:t>煤（</w:t>
      </w:r>
      <w:r>
        <w:t>Coal</w:t>
      </w:r>
      <w:r>
        <w:t>）、</w:t>
      </w:r>
      <w:r>
        <w:t xml:space="preserve">33 </w:t>
      </w:r>
      <w:r>
        <w:t>石油及成品（</w:t>
      </w:r>
      <w:r>
        <w:t>Petroleum</w:t>
      </w:r>
      <w:r>
        <w:t>）、</w:t>
      </w:r>
      <w:r>
        <w:t xml:space="preserve">34 </w:t>
      </w:r>
      <w:r>
        <w:t>天然氣（</w:t>
      </w:r>
      <w:r>
        <w:t>Gas</w:t>
      </w:r>
      <w:r>
        <w:t>）、</w:t>
      </w:r>
      <w:r>
        <w:t xml:space="preserve">35 </w:t>
      </w:r>
      <w:r>
        <w:t>電力（</w:t>
      </w:r>
      <w:r>
        <w:t>Electric current</w:t>
      </w:r>
      <w:r>
        <w:t>）。其貿易曲線與全球能源市場、地緣政治、氣候政策密切相關，提供了豐富的「資料故事（</w:t>
      </w:r>
      <w:r>
        <w:t>data story</w:t>
      </w:r>
      <w:r>
        <w:t>）」素材。</w:t>
      </w:r>
    </w:p>
    <w:p w14:paraId="043EC676" w14:textId="04336D5F" w:rsidR="00AC2E2C" w:rsidRDefault="00AA66C1">
      <w:pPr>
        <w:pStyle w:val="2"/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596C9CDF" wp14:editId="3D323399">
            <wp:simplePos x="0" y="0"/>
            <wp:positionH relativeFrom="margin">
              <wp:align>center</wp:align>
            </wp:positionH>
            <wp:positionV relativeFrom="paragraph">
              <wp:posOffset>576852</wp:posOffset>
            </wp:positionV>
            <wp:extent cx="4979670" cy="3515995"/>
            <wp:effectExtent l="0" t="0" r="0" b="8255"/>
            <wp:wrapTopAndBottom distT="0" dist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3515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5.2 互動式儀表板</w:t>
      </w:r>
    </w:p>
    <w:p w14:paraId="77505489" w14:textId="77777777" w:rsidR="00AC2E2C" w:rsidRDefault="00AC2E2C">
      <w:pPr>
        <w:rPr>
          <w:i/>
          <w:iCs/>
          <w:color w:val="606060"/>
          <w:sz w:val="20"/>
          <w:szCs w:val="20"/>
        </w:rPr>
      </w:pPr>
    </w:p>
    <w:p w14:paraId="5FC80A66" w14:textId="13BCA43F" w:rsidR="00AC2E2C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</w:t>
      </w:r>
      <w:r>
        <w:rPr>
          <w:i/>
          <w:iCs/>
          <w:color w:val="606060"/>
          <w:sz w:val="20"/>
          <w:szCs w:val="20"/>
        </w:rPr>
        <w:t xml:space="preserve"> 5.1 </w:t>
      </w:r>
      <w:r>
        <w:rPr>
          <w:i/>
          <w:iCs/>
          <w:color w:val="606060"/>
          <w:sz w:val="20"/>
          <w:szCs w:val="20"/>
        </w:rPr>
        <w:t>來源：於</w:t>
      </w:r>
      <w:r>
        <w:rPr>
          <w:i/>
          <w:iCs/>
          <w:color w:val="606060"/>
          <w:sz w:val="20"/>
          <w:szCs w:val="20"/>
        </w:rPr>
        <w:t xml:space="preserve"> Tableau Desktop </w:t>
      </w:r>
      <w:r>
        <w:rPr>
          <w:i/>
          <w:iCs/>
          <w:color w:val="606060"/>
          <w:sz w:val="20"/>
          <w:szCs w:val="20"/>
        </w:rPr>
        <w:t>設計之互動式儀表板，完整</w:t>
      </w:r>
      <w:r>
        <w:rPr>
          <w:i/>
          <w:iCs/>
          <w:color w:val="606060"/>
          <w:sz w:val="20"/>
          <w:szCs w:val="20"/>
        </w:rPr>
        <w:t xml:space="preserve"> .</w:t>
      </w:r>
      <w:proofErr w:type="spellStart"/>
      <w:r>
        <w:rPr>
          <w:i/>
          <w:iCs/>
          <w:color w:val="606060"/>
          <w:sz w:val="20"/>
          <w:szCs w:val="20"/>
        </w:rPr>
        <w:t>twbx</w:t>
      </w:r>
      <w:proofErr w:type="spellEnd"/>
      <w:r>
        <w:rPr>
          <w:i/>
          <w:iCs/>
          <w:color w:val="606060"/>
          <w:sz w:val="20"/>
          <w:szCs w:val="20"/>
        </w:rPr>
        <w:t xml:space="preserve"> </w:t>
      </w:r>
      <w:r>
        <w:rPr>
          <w:i/>
          <w:iCs/>
          <w:color w:val="606060"/>
          <w:sz w:val="20"/>
          <w:szCs w:val="20"/>
        </w:rPr>
        <w:t>檔案隨報告附件提交。</w:t>
      </w:r>
    </w:p>
    <w:p w14:paraId="1843C3FF" w14:textId="77777777" w:rsidR="00AC2E2C" w:rsidRDefault="00000000">
      <w:pPr>
        <w:spacing w:after="120" w:line="360" w:lineRule="auto"/>
        <w:jc w:val="both"/>
      </w:pPr>
      <w:r>
        <w:t>此儀表板採用「總</w:t>
      </w:r>
      <w:proofErr w:type="gramStart"/>
      <w:r>
        <w:t>覽</w:t>
      </w:r>
      <w:r>
        <w:t>—</w:t>
      </w:r>
      <w:r>
        <w:t>下鑽</w:t>
      </w:r>
      <w:proofErr w:type="gramEnd"/>
      <w:r>
        <w:t>（</w:t>
      </w:r>
      <w:r>
        <w:t>overview-then-drill-down</w:t>
      </w:r>
      <w:r>
        <w:t>）」結構：讀者可先觀察類別總體趨勢，再點選子類別堆疊面積圖中的色塊（例如</w:t>
      </w:r>
      <w:r>
        <w:t xml:space="preserve"> 32 </w:t>
      </w:r>
      <w:r>
        <w:t>煤），所有圖表會自動篩選至該子類別，呈現細部成長動能與占比變化。</w:t>
      </w:r>
    </w:p>
    <w:p w14:paraId="7AC2D869" w14:textId="77777777" w:rsidR="00AC2E2C" w:rsidRDefault="00000000">
      <w:pPr>
        <w:spacing w:after="120" w:line="360" w:lineRule="auto"/>
        <w:jc w:val="both"/>
      </w:pPr>
      <w:r>
        <w:t>切換到</w:t>
      </w:r>
      <w:r>
        <w:t xml:space="preserve"> Import </w:t>
      </w:r>
      <w:r>
        <w:t>視角後可以看到完全不同的結構：</w:t>
      </w:r>
      <w:r>
        <w:t xml:space="preserve">2022 </w:t>
      </w:r>
      <w:r>
        <w:t>年礦物燃料進口總額約</w:t>
      </w:r>
      <w:r>
        <w:t xml:space="preserve"> A$ 65B</w:t>
      </w:r>
      <w:r>
        <w:t>，其中石油（</w:t>
      </w:r>
      <w:r>
        <w:t>Petroleum</w:t>
      </w:r>
      <w:r>
        <w:t>）就占了</w:t>
      </w:r>
      <w:r>
        <w:t xml:space="preserve"> 99%</w:t>
      </w:r>
      <w:r>
        <w:t>（</w:t>
      </w:r>
      <w:r>
        <w:t>A$ 65,082M</w:t>
      </w:r>
      <w:r>
        <w:t>），煤炭與</w:t>
      </w:r>
      <w:r>
        <w:t xml:space="preserve"> LNG </w:t>
      </w:r>
      <w:r>
        <w:t>進口幾乎為零。</w:t>
      </w:r>
      <w:r>
        <w:lastRenderedPageBreak/>
        <w:t>這個對比直接呈現澳洲「出口能源原料、進口精煉燃料」的結構性矛盾，也是後續突破點分析與行業建議的重要參考。</w:t>
      </w:r>
    </w:p>
    <w:p w14:paraId="1FF53EFD" w14:textId="77777777" w:rsidR="00AC2E2C" w:rsidRDefault="00000000">
      <w:pPr>
        <w:pStyle w:val="1"/>
      </w:pPr>
      <w:r>
        <w:t>六、關鍵突破點分析（Breakthrough Points）</w:t>
      </w:r>
    </w:p>
    <w:p w14:paraId="1E7E39B8" w14:textId="77777777" w:rsidR="00AC2E2C" w:rsidRDefault="00000000">
      <w:pPr>
        <w:spacing w:after="120" w:line="360" w:lineRule="auto"/>
        <w:jc w:val="both"/>
      </w:pPr>
      <w:r>
        <w:t>經由分析模式（</w:t>
      </w:r>
      <w:r>
        <w:t>YoY%</w:t>
      </w:r>
      <w:r>
        <w:t>）與統計模式（</w:t>
      </w:r>
      <w:r>
        <w:t>%</w:t>
      </w:r>
      <w:proofErr w:type="gramStart"/>
      <w:r>
        <w:t>佔</w:t>
      </w:r>
      <w:proofErr w:type="gramEnd"/>
      <w:r>
        <w:t>比）的交叉檢視，本研究在礦物燃料類別辨識出五個關鍵突破點：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900"/>
        <w:gridCol w:w="2700"/>
        <w:gridCol w:w="3226"/>
      </w:tblGrid>
      <w:tr w:rsidR="00AC2E2C" w14:paraId="1FB9B7AB" w14:textId="77777777">
        <w:trPr>
          <w:tblHeader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8F818" w14:textId="77777777" w:rsidR="00AC2E2C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年份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B006" w14:textId="77777777" w:rsidR="00AC2E2C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事件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7A109" w14:textId="77777777" w:rsidR="00AC2E2C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統計觀察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99B5A" w14:textId="77777777" w:rsidR="00AC2E2C" w:rsidRDefault="00000000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推論成因</w:t>
            </w:r>
          </w:p>
        </w:tc>
      </w:tr>
      <w:tr w:rsidR="00AC2E2C" w14:paraId="4E941045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7EB25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2003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4C3FB" w14:textId="77777777" w:rsidR="00AC2E2C" w:rsidRDefault="00000000">
            <w:r>
              <w:rPr>
                <w:sz w:val="22"/>
                <w:szCs w:val="22"/>
              </w:rPr>
              <w:t>中國</w:t>
            </w:r>
            <w:r>
              <w:rPr>
                <w:sz w:val="22"/>
                <w:szCs w:val="22"/>
              </w:rPr>
              <w:t xml:space="preserve"> WTO </w:t>
            </w:r>
            <w:r>
              <w:rPr>
                <w:sz w:val="22"/>
                <w:szCs w:val="22"/>
              </w:rPr>
              <w:t>入世效應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F5058" w14:textId="77777777" w:rsidR="00AC2E2C" w:rsidRDefault="00000000">
            <w:r>
              <w:rPr>
                <w:sz w:val="22"/>
                <w:szCs w:val="22"/>
              </w:rPr>
              <w:t>煤炭出口</w:t>
            </w:r>
            <w:r>
              <w:rPr>
                <w:sz w:val="22"/>
                <w:szCs w:val="22"/>
              </w:rPr>
              <w:t xml:space="preserve"> YoY </w:t>
            </w:r>
            <w:r>
              <w:rPr>
                <w:sz w:val="22"/>
                <w:szCs w:val="22"/>
              </w:rPr>
              <w:t>由</w:t>
            </w:r>
            <w:proofErr w:type="gramStart"/>
            <w:r>
              <w:rPr>
                <w:sz w:val="22"/>
                <w:szCs w:val="22"/>
              </w:rPr>
              <w:t>個位數跳至</w:t>
            </w:r>
            <w:proofErr w:type="gramEnd"/>
            <w:r>
              <w:rPr>
                <w:sz w:val="22"/>
                <w:szCs w:val="22"/>
              </w:rPr>
              <w:t xml:space="preserve"> 20%+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29D8" w14:textId="77777777" w:rsidR="00AC2E2C" w:rsidRDefault="00000000">
            <w:r>
              <w:rPr>
                <w:sz w:val="22"/>
                <w:szCs w:val="22"/>
              </w:rPr>
              <w:t>中國工業化拉動原物料需求</w:t>
            </w:r>
          </w:p>
        </w:tc>
      </w:tr>
      <w:tr w:rsidR="00AC2E2C" w14:paraId="2731A16C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107E0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2008–09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E9ED" w14:textId="77777777" w:rsidR="00AC2E2C" w:rsidRDefault="00000000">
            <w:r>
              <w:rPr>
                <w:sz w:val="22"/>
                <w:szCs w:val="22"/>
              </w:rPr>
              <w:t>全球金融海嘯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02DD" w14:textId="77777777" w:rsidR="00AC2E2C" w:rsidRDefault="00000000">
            <w:r>
              <w:rPr>
                <w:sz w:val="22"/>
                <w:szCs w:val="22"/>
              </w:rPr>
              <w:t>出口額單年下挫，</w:t>
            </w:r>
            <w:r>
              <w:rPr>
                <w:sz w:val="22"/>
                <w:szCs w:val="22"/>
              </w:rPr>
              <w:t xml:space="preserve">YoY </w:t>
            </w:r>
            <w:r>
              <w:rPr>
                <w:sz w:val="22"/>
                <w:szCs w:val="22"/>
              </w:rPr>
              <w:t>出現負值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8A2FE" w14:textId="77777777" w:rsidR="00AC2E2C" w:rsidRDefault="00000000">
            <w:r>
              <w:rPr>
                <w:sz w:val="22"/>
                <w:szCs w:val="22"/>
              </w:rPr>
              <w:t>需求驟減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商品價格修正</w:t>
            </w:r>
          </w:p>
        </w:tc>
      </w:tr>
      <w:tr w:rsidR="00AC2E2C" w14:paraId="6A36CE2B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A7A16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2011–12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6D44" w14:textId="77777777" w:rsidR="00AC2E2C" w:rsidRDefault="00000000">
            <w:r>
              <w:rPr>
                <w:sz w:val="22"/>
                <w:szCs w:val="22"/>
              </w:rPr>
              <w:t>礦業熱潮頂峰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AA4A" w14:textId="77777777" w:rsidR="00AC2E2C" w:rsidRDefault="00000000">
            <w:r>
              <w:rPr>
                <w:sz w:val="22"/>
                <w:szCs w:val="22"/>
              </w:rPr>
              <w:t>出口</w:t>
            </w:r>
            <w:r>
              <w:rPr>
                <w:sz w:val="22"/>
                <w:szCs w:val="22"/>
              </w:rPr>
              <w:t xml:space="preserve"> $ </w:t>
            </w:r>
            <w:r>
              <w:rPr>
                <w:sz w:val="22"/>
                <w:szCs w:val="22"/>
              </w:rPr>
              <w:t>達歷史峰值，占比達高點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79187" w14:textId="77777777" w:rsidR="00AC2E2C" w:rsidRDefault="00000000">
            <w:r>
              <w:rPr>
                <w:sz w:val="22"/>
                <w:szCs w:val="22"/>
              </w:rPr>
              <w:t>煤價歷史高點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中國刺激方案</w:t>
            </w:r>
          </w:p>
        </w:tc>
      </w:tr>
      <w:tr w:rsidR="00AC2E2C" w14:paraId="7A2F1F41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037A3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2015–16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5742" w14:textId="77777777" w:rsidR="00AC2E2C" w:rsidRDefault="00000000">
            <w:r>
              <w:rPr>
                <w:sz w:val="22"/>
                <w:szCs w:val="22"/>
              </w:rPr>
              <w:t>大宗商品崩盤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76029" w14:textId="77777777" w:rsidR="00AC2E2C" w:rsidRDefault="00000000">
            <w:r>
              <w:rPr>
                <w:sz w:val="22"/>
                <w:szCs w:val="22"/>
              </w:rPr>
              <w:t>出口</w:t>
            </w:r>
            <w:r>
              <w:rPr>
                <w:sz w:val="22"/>
                <w:szCs w:val="22"/>
              </w:rPr>
              <w:t xml:space="preserve"> $ </w:t>
            </w:r>
            <w:r>
              <w:rPr>
                <w:sz w:val="22"/>
                <w:szCs w:val="22"/>
              </w:rPr>
              <w:t>大幅下跌但量穩定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0CEEC" w14:textId="77777777" w:rsidR="00AC2E2C" w:rsidRDefault="00000000">
            <w:r>
              <w:rPr>
                <w:sz w:val="22"/>
                <w:szCs w:val="22"/>
              </w:rPr>
              <w:t>煤價腰斬、供給過剩</w:t>
            </w:r>
          </w:p>
        </w:tc>
      </w:tr>
      <w:tr w:rsidR="00AC2E2C" w14:paraId="4C46B97A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F3A0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2018–20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53A70" w14:textId="77777777" w:rsidR="00AC2E2C" w:rsidRDefault="00000000">
            <w:r>
              <w:rPr>
                <w:sz w:val="22"/>
                <w:szCs w:val="22"/>
              </w:rPr>
              <w:t xml:space="preserve">LNG </w:t>
            </w:r>
            <w:r>
              <w:rPr>
                <w:sz w:val="22"/>
                <w:szCs w:val="22"/>
              </w:rPr>
              <w:t>翻轉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F912A" w14:textId="77777777" w:rsidR="00AC2E2C" w:rsidRDefault="00000000">
            <w:r>
              <w:rPr>
                <w:sz w:val="22"/>
                <w:szCs w:val="22"/>
              </w:rPr>
              <w:t>子類別</w:t>
            </w:r>
            <w:r>
              <w:rPr>
                <w:sz w:val="22"/>
                <w:szCs w:val="22"/>
              </w:rPr>
              <w:t xml:space="preserve"> 34 </w:t>
            </w:r>
            <w:proofErr w:type="gramStart"/>
            <w:r>
              <w:rPr>
                <w:sz w:val="22"/>
                <w:szCs w:val="22"/>
              </w:rPr>
              <w:t>占比急升</w:t>
            </w:r>
            <w:proofErr w:type="gramEnd"/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0ADC2" w14:textId="77777777" w:rsidR="00AC2E2C" w:rsidRDefault="00000000">
            <w:r>
              <w:rPr>
                <w:sz w:val="22"/>
                <w:szCs w:val="22"/>
              </w:rPr>
              <w:t>新</w:t>
            </w:r>
            <w:r>
              <w:rPr>
                <w:sz w:val="22"/>
                <w:szCs w:val="22"/>
              </w:rPr>
              <w:t xml:space="preserve"> LNG </w:t>
            </w:r>
            <w:r>
              <w:rPr>
                <w:sz w:val="22"/>
                <w:szCs w:val="22"/>
              </w:rPr>
              <w:t>計畫上線、超越卡達</w:t>
            </w:r>
          </w:p>
        </w:tc>
      </w:tr>
      <w:tr w:rsidR="00AC2E2C" w14:paraId="72B8D1C6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5A88" w14:textId="77777777" w:rsidR="00AC2E2C" w:rsidRDefault="00000000">
            <w:pPr>
              <w:jc w:val="center"/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EBBF" w14:textId="77777777" w:rsidR="00AC2E2C" w:rsidRDefault="00000000">
            <w:r>
              <w:rPr>
                <w:sz w:val="22"/>
                <w:szCs w:val="22"/>
              </w:rPr>
              <w:t>俄烏戰爭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DE26" w14:textId="77777777" w:rsidR="00AC2E2C" w:rsidRDefault="00000000">
            <w:r>
              <w:rPr>
                <w:sz w:val="22"/>
                <w:szCs w:val="22"/>
              </w:rPr>
              <w:t>出口</w:t>
            </w:r>
            <w:r>
              <w:rPr>
                <w:sz w:val="22"/>
                <w:szCs w:val="22"/>
              </w:rPr>
              <w:t xml:space="preserve"> $ </w:t>
            </w:r>
            <w:r>
              <w:rPr>
                <w:sz w:val="22"/>
                <w:szCs w:val="22"/>
              </w:rPr>
              <w:t>創歷史新高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A1087" w14:textId="77777777" w:rsidR="00AC2E2C" w:rsidRDefault="00000000">
            <w:r>
              <w:rPr>
                <w:sz w:val="22"/>
                <w:szCs w:val="22"/>
              </w:rPr>
              <w:t>歐洲能源短缺、煤氣價</w:t>
            </w:r>
            <w:proofErr w:type="gramStart"/>
            <w:r>
              <w:rPr>
                <w:sz w:val="22"/>
                <w:szCs w:val="22"/>
              </w:rPr>
              <w:t>飆</w:t>
            </w:r>
            <w:proofErr w:type="gramEnd"/>
            <w:r>
              <w:rPr>
                <w:sz w:val="22"/>
                <w:szCs w:val="22"/>
              </w:rPr>
              <w:t>升</w:t>
            </w:r>
          </w:p>
        </w:tc>
      </w:tr>
    </w:tbl>
    <w:p w14:paraId="37549BC1" w14:textId="77777777" w:rsidR="00AC2E2C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表</w:t>
      </w:r>
      <w:r>
        <w:rPr>
          <w:i/>
          <w:iCs/>
          <w:color w:val="606060"/>
          <w:sz w:val="20"/>
          <w:szCs w:val="20"/>
        </w:rPr>
        <w:t xml:space="preserve"> 6.1</w:t>
      </w:r>
      <w:r>
        <w:rPr>
          <w:i/>
          <w:iCs/>
          <w:color w:val="606060"/>
          <w:sz w:val="20"/>
          <w:szCs w:val="20"/>
        </w:rPr>
        <w:t>：礦物燃料類別五大突破點</w:t>
      </w:r>
    </w:p>
    <w:p w14:paraId="43E81AA6" w14:textId="77777777" w:rsidR="00AC2E2C" w:rsidRDefault="00000000">
      <w:pPr>
        <w:spacing w:after="120" w:line="360" w:lineRule="auto"/>
        <w:jc w:val="both"/>
      </w:pPr>
      <w:r>
        <w:t>從表</w:t>
      </w:r>
      <w:r>
        <w:t xml:space="preserve"> 6.1 </w:t>
      </w:r>
      <w:r>
        <w:t>中挑選三個最具代表性的事件做進一步說明。</w:t>
      </w:r>
      <w:r>
        <w:t xml:space="preserve">2011-12 </w:t>
      </w:r>
      <w:r>
        <w:t>礦業熱潮頂峰</w:t>
      </w:r>
      <w:proofErr w:type="gramStart"/>
      <w:r>
        <w:t>期間，</w:t>
      </w:r>
      <w:proofErr w:type="gramEnd"/>
      <w:r>
        <w:t>煤炭出口因中國「四萬億」經濟刺激方案需求而達歷史高點，但也埋下後續產能過剩的伏筆（</w:t>
      </w:r>
      <w:r>
        <w:t>IEA, 2023</w:t>
      </w:r>
      <w:r>
        <w:t>）。</w:t>
      </w:r>
      <w:r>
        <w:t xml:space="preserve">2018-20 LNG </w:t>
      </w:r>
      <w:r>
        <w:t>翻轉是另一個關鍵：</w:t>
      </w:r>
      <w:r>
        <w:t>Gorgon</w:t>
      </w:r>
      <w:r>
        <w:t>、</w:t>
      </w:r>
      <w:r>
        <w:t>Wheatstone</w:t>
      </w:r>
      <w:r>
        <w:t>、</w:t>
      </w:r>
      <w:r>
        <w:t xml:space="preserve">Ichthys </w:t>
      </w:r>
      <w:r>
        <w:t>等大型液化天然氣計畫陸續上線，澳洲</w:t>
      </w:r>
      <w:r>
        <w:t xml:space="preserve"> LNG </w:t>
      </w:r>
      <w:r>
        <w:t>出口在</w:t>
      </w:r>
      <w:r>
        <w:t xml:space="preserve"> 2019 </w:t>
      </w:r>
      <w:r>
        <w:t>年超越卡達成為世界第一（</w:t>
      </w:r>
      <w:r>
        <w:t>Department of Industry, Science and Resources, 2024</w:t>
      </w:r>
      <w:r>
        <w:t>）。最近的高峰則是</w:t>
      </w:r>
      <w:r>
        <w:t xml:space="preserve"> 2022 </w:t>
      </w:r>
      <w:r>
        <w:t>年俄烏戰爭爆發後，歐洲能源短缺造成煤、氣價格同步</w:t>
      </w:r>
      <w:proofErr w:type="gramStart"/>
      <w:r>
        <w:t>飆</w:t>
      </w:r>
      <w:proofErr w:type="gramEnd"/>
      <w:r>
        <w:t>升，礦物燃料指數來到</w:t>
      </w:r>
      <w:r>
        <w:t xml:space="preserve"> 200%</w:t>
      </w:r>
      <w:r>
        <w:t>（出口翻</w:t>
      </w:r>
      <w:proofErr w:type="gramStart"/>
      <w:r>
        <w:t>倍</w:t>
      </w:r>
      <w:proofErr w:type="gramEnd"/>
      <w:r>
        <w:t>），單年出口額創歷史新高</w:t>
      </w:r>
      <w:r>
        <w:t xml:space="preserve"> A$ 251B</w:t>
      </w:r>
      <w:r>
        <w:t>（</w:t>
      </w:r>
      <w:r>
        <w:t>ABS, 2024</w:t>
      </w:r>
      <w:r>
        <w:t>）。這三件事分別反映了需求拉動、供給轉型與地緣衝擊等不同驅動因素，對政策制定有不同的啟示。</w:t>
      </w:r>
    </w:p>
    <w:p w14:paraId="3A531C7C" w14:textId="77777777" w:rsidR="00AC2E2C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hidden="0" allowOverlap="1" wp14:anchorId="25C8475D" wp14:editId="20373669">
            <wp:simplePos x="0" y="0"/>
            <wp:positionH relativeFrom="margin">
              <wp:align>center</wp:align>
            </wp:positionH>
            <wp:positionV relativeFrom="paragraph">
              <wp:posOffset>119199</wp:posOffset>
            </wp:positionV>
            <wp:extent cx="5300980" cy="3395980"/>
            <wp:effectExtent l="0" t="0" r="0" b="0"/>
            <wp:wrapTopAndBottom distT="0" dist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339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89425" w14:textId="77777777" w:rsidR="00AC2E2C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</w:t>
      </w:r>
      <w:r>
        <w:rPr>
          <w:i/>
          <w:iCs/>
          <w:color w:val="606060"/>
          <w:sz w:val="20"/>
          <w:szCs w:val="20"/>
        </w:rPr>
        <w:t xml:space="preserve"> 6.1 </w:t>
      </w:r>
      <w:r>
        <w:rPr>
          <w:i/>
          <w:iCs/>
          <w:color w:val="606060"/>
          <w:sz w:val="20"/>
          <w:szCs w:val="20"/>
        </w:rPr>
        <w:t>來源：作者使用</w:t>
      </w:r>
      <w:r>
        <w:rPr>
          <w:i/>
          <w:iCs/>
          <w:color w:val="606060"/>
          <w:sz w:val="20"/>
          <w:szCs w:val="20"/>
        </w:rPr>
        <w:t xml:space="preserve"> Tableau Story </w:t>
      </w:r>
      <w:r>
        <w:rPr>
          <w:i/>
          <w:iCs/>
          <w:color w:val="606060"/>
          <w:sz w:val="20"/>
          <w:szCs w:val="20"/>
        </w:rPr>
        <w:t>功能製作。</w:t>
      </w:r>
    </w:p>
    <w:p w14:paraId="29D813C7" w14:textId="77777777" w:rsidR="00AC2E2C" w:rsidRDefault="00000000">
      <w:pPr>
        <w:pStyle w:val="1"/>
      </w:pPr>
      <w:r>
        <w:t>七、對澳洲本地產業的建議（Industry Recommendations）</w:t>
      </w:r>
    </w:p>
    <w:p w14:paraId="617B85F1" w14:textId="77777777" w:rsidR="00AC2E2C" w:rsidRDefault="00000000">
      <w:pPr>
        <w:spacing w:after="120" w:line="360" w:lineRule="auto"/>
        <w:jc w:val="both"/>
      </w:pPr>
      <w:r>
        <w:t>基於上述分析，本研究提出三項對澳洲礦物燃料及相關本地產業的策略建議：</w:t>
      </w:r>
    </w:p>
    <w:p w14:paraId="5ACE67C9" w14:textId="77777777" w:rsidR="00AC2E2C" w:rsidRDefault="00000000">
      <w:pPr>
        <w:pStyle w:val="3"/>
      </w:pPr>
      <w:r>
        <w:t>建議</w:t>
      </w:r>
      <w:proofErr w:type="gramStart"/>
      <w:r>
        <w:t>一</w:t>
      </w:r>
      <w:proofErr w:type="gramEnd"/>
      <w:r>
        <w:t>：加速貿易市場多元化以分散地緣風險</w:t>
      </w:r>
    </w:p>
    <w:p w14:paraId="3B705FD0" w14:textId="77777777" w:rsidR="00AC2E2C" w:rsidRDefault="00000000">
      <w:pPr>
        <w:spacing w:after="120" w:line="360" w:lineRule="auto"/>
        <w:jc w:val="both"/>
      </w:pPr>
      <w:r>
        <w:t>澳洲礦物燃料近年對中國市場的依賴度持續上升，</w:t>
      </w:r>
      <w:r>
        <w:t xml:space="preserve">2020 </w:t>
      </w:r>
      <w:r>
        <w:t>年中澳貿易摩擦期間煤炭出口受阻便是一個明顯的警訊。建議政府與相關產業加強對東南亞、印度與歐盟的長期合約佈局，並透過自由貿易協定降低關稅與物流成本。同時可考慮設立「市場集中度警戒指標」，當單一進口國比重超過</w:t>
      </w:r>
      <w:r>
        <w:t xml:space="preserve"> 30% </w:t>
      </w:r>
      <w:r>
        <w:t>時觸發多元化政策，以降低地緣政治衝擊的風險（</w:t>
      </w:r>
      <w:r>
        <w:t>Productivity Commission, 2023</w:t>
      </w:r>
      <w:r>
        <w:t>）。</w:t>
      </w:r>
    </w:p>
    <w:p w14:paraId="61188793" w14:textId="77777777" w:rsidR="00AC2E2C" w:rsidRDefault="00000000">
      <w:pPr>
        <w:pStyle w:val="3"/>
      </w:pPr>
      <w:r>
        <w:t>建議二：在 LNG 高峰期投資能源轉型基礎設施</w:t>
      </w:r>
    </w:p>
    <w:p w14:paraId="05160A84" w14:textId="77777777" w:rsidR="00AC2E2C" w:rsidRDefault="00000000">
      <w:pPr>
        <w:spacing w:after="120" w:line="360" w:lineRule="auto"/>
        <w:jc w:val="both"/>
      </w:pPr>
      <w:r>
        <w:t>LNG</w:t>
      </w:r>
      <w:r>
        <w:t>（子類別</w:t>
      </w:r>
      <w:r>
        <w:t xml:space="preserve"> 34</w:t>
      </w:r>
      <w:r>
        <w:t>）占比的快速上升雖然帶來短期的超額利潤，但化石能源終將面臨需求轉型壓力（</w:t>
      </w:r>
      <w:r>
        <w:t>IEA, 2024</w:t>
      </w:r>
      <w:r>
        <w:t>）。建議將部分礦業稅收與資本紅利再投資</w:t>
      </w:r>
      <w:proofErr w:type="gramStart"/>
      <w:r>
        <w:t>於氫能（綠氫／藍</w:t>
      </w:r>
      <w:r>
        <w:lastRenderedPageBreak/>
        <w:t>氫</w:t>
      </w:r>
      <w:proofErr w:type="gramEnd"/>
      <w:r>
        <w:t>）、關鍵礦產（鋰、稀土）與儲能基礎設施，並擴建出口港口與管線；藉由將</w:t>
      </w:r>
      <w:r>
        <w:t xml:space="preserve"> LNG </w:t>
      </w:r>
      <w:r>
        <w:t>高峰期所累積的資金導入下一階段的能源轉型基礎建設，可以延長澳洲在全球能源市場的相對優勢期，避免重複煤炭崩盤的歷史（</w:t>
      </w:r>
      <w:r>
        <w:t>Garnaut, 2019</w:t>
      </w:r>
      <w:r>
        <w:t>）。</w:t>
      </w:r>
    </w:p>
    <w:p w14:paraId="399E23F3" w14:textId="77777777" w:rsidR="00AC2E2C" w:rsidRDefault="00000000">
      <w:pPr>
        <w:pStyle w:val="3"/>
      </w:pPr>
      <w:r>
        <w:t>建議</w:t>
      </w:r>
      <w:proofErr w:type="gramStart"/>
      <w:r>
        <w:t>三</w:t>
      </w:r>
      <w:proofErr w:type="gramEnd"/>
      <w:r>
        <w:t>：建立大宗商品價格波動的避險與政策工具</w:t>
      </w:r>
    </w:p>
    <w:p w14:paraId="02D5EB63" w14:textId="77777777" w:rsidR="00AC2E2C" w:rsidRDefault="00000000">
      <w:pPr>
        <w:spacing w:after="120" w:line="360" w:lineRule="auto"/>
        <w:jc w:val="both"/>
      </w:pPr>
      <w:r>
        <w:t>2008</w:t>
      </w:r>
      <w:r>
        <w:t>、</w:t>
      </w:r>
      <w:r>
        <w:t>2015-16</w:t>
      </w:r>
      <w:r>
        <w:t>、</w:t>
      </w:r>
      <w:r>
        <w:t xml:space="preserve">2020 </w:t>
      </w:r>
      <w:r>
        <w:t>三次明顯的下跌顯示，礦業驅動型經濟確實容易陷入景氣循環的陷阱。建議澳洲參考挪威主權財富基金（</w:t>
      </w:r>
      <w:r>
        <w:t>Government Pension Fund Global</w:t>
      </w:r>
      <w:r>
        <w:t>）的做法，將礦物燃料的超額紅利存入長期投資基金，藉以平滑跨週期的收入波動。同時可以建立一個「產業預警儀表板」（本研究的設計即可作為參考），整合</w:t>
      </w:r>
      <w:r>
        <w:t xml:space="preserve"> YoY </w:t>
      </w:r>
      <w:r>
        <w:t>指數、占比變化、</w:t>
      </w:r>
      <w:proofErr w:type="gramStart"/>
      <w:r>
        <w:t>突破點警示</w:t>
      </w:r>
      <w:proofErr w:type="gramEnd"/>
      <w:r>
        <w:t>等指標，作為政府在制定產業與貨幣政策時的即時參考（</w:t>
      </w:r>
      <w:r>
        <w:t>RBA, 2023</w:t>
      </w:r>
      <w:r>
        <w:t>）。</w:t>
      </w:r>
    </w:p>
    <w:p w14:paraId="63B3DABA" w14:textId="77777777" w:rsidR="00AC2E2C" w:rsidRDefault="00000000">
      <w:pPr>
        <w:pStyle w:val="1"/>
      </w:pPr>
      <w:r>
        <w:t>八、結論（Conclusion）</w:t>
      </w:r>
    </w:p>
    <w:p w14:paraId="05DB0065" w14:textId="30CECAAD" w:rsidR="00AC2E2C" w:rsidRDefault="00000000">
      <w:pPr>
        <w:spacing w:after="120" w:line="360" w:lineRule="auto"/>
        <w:jc w:val="both"/>
      </w:pPr>
      <w:r>
        <w:t>本研究以</w:t>
      </w:r>
      <w:r>
        <w:t xml:space="preserve"> Excel </w:t>
      </w:r>
      <w:r>
        <w:t>的統計與分析資料模式為基礎，搭配</w:t>
      </w:r>
      <w:r>
        <w:t xml:space="preserve"> Tableau </w:t>
      </w:r>
      <w:r>
        <w:t>的三層次</w:t>
      </w:r>
      <w:proofErr w:type="gramStart"/>
      <w:r>
        <w:t>可視化</w:t>
      </w:r>
      <w:proofErr w:type="gramEnd"/>
      <w:r>
        <w:t>，回顧了澳洲</w:t>
      </w:r>
      <w:r>
        <w:t xml:space="preserve"> 1988-2023 </w:t>
      </w:r>
      <w:r>
        <w:t>礦物燃料貿易的長期變化。整體來看，礦物燃料規模在過去三十年由</w:t>
      </w:r>
      <w:r>
        <w:t xml:space="preserve"> A$ 25B </w:t>
      </w:r>
      <w:r>
        <w:t>上升至</w:t>
      </w:r>
      <w:r>
        <w:t xml:space="preserve"> 251B</w:t>
      </w:r>
      <w:r>
        <w:t>，占總出口比重也從</w:t>
      </w:r>
      <w:r>
        <w:t xml:space="preserve"> 15% </w:t>
      </w:r>
      <w:r>
        <w:t>提升到</w:t>
      </w:r>
      <w:r>
        <w:t xml:space="preserve"> 42%</w:t>
      </w:r>
      <w:r>
        <w:t>，已成為澳洲最重要的單一出口類別。本研究辨識出的五個突破點</w:t>
      </w:r>
      <w:r>
        <w:t xml:space="preserve">  2003 </w:t>
      </w:r>
      <w:r>
        <w:t>中國</w:t>
      </w:r>
      <w:r>
        <w:t xml:space="preserve"> WTO </w:t>
      </w:r>
      <w:r>
        <w:t>入世效應、</w:t>
      </w:r>
      <w:r>
        <w:t xml:space="preserve">2008 </w:t>
      </w:r>
      <w:r>
        <w:t>全球金融海嘯、</w:t>
      </w:r>
      <w:r>
        <w:t xml:space="preserve">2011 </w:t>
      </w:r>
      <w:r>
        <w:t>礦業熱潮頂峰、</w:t>
      </w:r>
      <w:r>
        <w:t xml:space="preserve">2018 LNG </w:t>
      </w:r>
      <w:r>
        <w:t>翻轉、</w:t>
      </w:r>
      <w:r>
        <w:t xml:space="preserve">2022 </w:t>
      </w:r>
      <w:r>
        <w:t>俄烏戰爭</w:t>
      </w:r>
      <w:r>
        <w:t xml:space="preserve"> </w:t>
      </w:r>
      <w:r>
        <w:t>分別對應地緣政治、金融衝擊、產業政策與能源轉型等不同成因，呈現出貿易結構受多重外部因素影響的特性。互動儀表板的雙向視角更指出澳洲在能源產業鏈中「出口原料、進口精煉燃料」的結構性矛盾。基於這些觀察，本研究提出貿易多元化、能源轉型投資與避險機制三項建議。在限制方面，本研究尚未涵蓋國別與企業層級的細節資料，未來若能結合貿易夥伴別資訊與全球氣候政策情境，將可呈現更完整的政策意涵。</w:t>
      </w:r>
    </w:p>
    <w:p w14:paraId="6B7EEC5C" w14:textId="77777777" w:rsidR="00AA66C1" w:rsidRDefault="00AA66C1">
      <w:pPr>
        <w:pStyle w:val="1"/>
      </w:pPr>
    </w:p>
    <w:p w14:paraId="3DAADF9C" w14:textId="08421DD3" w:rsidR="00AC2E2C" w:rsidRDefault="00000000">
      <w:pPr>
        <w:pStyle w:val="1"/>
        <w:rPr>
          <w:b w:val="0"/>
          <w:bCs w:val="0"/>
          <w:color w:val="000000"/>
          <w:sz w:val="24"/>
          <w:szCs w:val="24"/>
        </w:rPr>
      </w:pPr>
      <w:r>
        <w:lastRenderedPageBreak/>
        <w:t>九、參考文獻（References）</w:t>
      </w:r>
    </w:p>
    <w:p w14:paraId="5F5130FF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Australian Bureau of Statistics. (2024). </w:t>
      </w:r>
      <w:r>
        <w:rPr>
          <w:rFonts w:ascii="Arial" w:eastAsia="Arial" w:hAnsi="Arial" w:cs="Arial"/>
          <w:i/>
          <w:iCs/>
          <w:color w:val="000000"/>
        </w:rPr>
        <w:t>International trade in goods and services, Australia</w:t>
      </w:r>
      <w:r>
        <w:rPr>
          <w:rFonts w:ascii="Arial" w:eastAsia="Arial" w:hAnsi="Arial" w:cs="Arial"/>
          <w:color w:val="000000"/>
        </w:rPr>
        <w:t>. ABS.</w:t>
      </w:r>
      <w:hyperlink r:id="rId15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16">
        <w:r>
          <w:rPr>
            <w:rFonts w:ascii="Arial" w:eastAsia="Arial" w:hAnsi="Arial" w:cs="Arial"/>
            <w:color w:val="1155CC"/>
            <w:u w:val="single"/>
          </w:rPr>
          <w:t>https://www.abs.gov.au/statistics/economy/international-trade/international-trade-goods-and-services-australia</w:t>
        </w:r>
      </w:hyperlink>
    </w:p>
    <w:p w14:paraId="48D191DC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Department of Industry, Science and Resources. (2024). </w:t>
      </w:r>
      <w:r>
        <w:rPr>
          <w:rFonts w:ascii="Arial" w:eastAsia="Arial" w:hAnsi="Arial" w:cs="Arial"/>
          <w:i/>
          <w:iCs/>
          <w:color w:val="000000"/>
        </w:rPr>
        <w:t>Resources and energy quarterly</w:t>
      </w:r>
      <w:r>
        <w:rPr>
          <w:rFonts w:ascii="Arial" w:eastAsia="Arial" w:hAnsi="Arial" w:cs="Arial"/>
          <w:color w:val="000000"/>
        </w:rPr>
        <w:t>. Commonwealth of Australia.</w:t>
      </w:r>
      <w:hyperlink r:id="rId17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18">
        <w:r>
          <w:rPr>
            <w:rFonts w:ascii="Arial" w:eastAsia="Arial" w:hAnsi="Arial" w:cs="Arial"/>
            <w:color w:val="1155CC"/>
            <w:u w:val="single"/>
          </w:rPr>
          <w:t>https://www.industry.gov.au/publications/resources-and-energy-quarterly</w:t>
        </w:r>
      </w:hyperlink>
    </w:p>
    <w:p w14:paraId="2AD57BFD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Few, S. (2013). </w:t>
      </w:r>
      <w:r>
        <w:rPr>
          <w:rFonts w:ascii="Arial" w:eastAsia="Arial" w:hAnsi="Arial" w:cs="Arial"/>
          <w:i/>
          <w:iCs/>
          <w:color w:val="000000"/>
        </w:rPr>
        <w:t>Information dashboard design: Displaying data for at-a-glance monitoring</w:t>
      </w:r>
      <w:r>
        <w:rPr>
          <w:rFonts w:ascii="Arial" w:eastAsia="Arial" w:hAnsi="Arial" w:cs="Arial"/>
          <w:color w:val="000000"/>
        </w:rPr>
        <w:t xml:space="preserve"> (2nd ed.). Analytics Press.</w:t>
      </w:r>
    </w:p>
    <w:p w14:paraId="5B02754C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Garnaut, R. (2019). </w:t>
      </w:r>
      <w:r>
        <w:rPr>
          <w:rFonts w:ascii="Arial" w:eastAsia="Arial" w:hAnsi="Arial" w:cs="Arial"/>
          <w:i/>
          <w:iCs/>
          <w:color w:val="000000"/>
        </w:rPr>
        <w:t>Superpower: Australia’s low-carbon opportunity</w:t>
      </w:r>
      <w:r>
        <w:rPr>
          <w:rFonts w:ascii="Arial" w:eastAsia="Arial" w:hAnsi="Arial" w:cs="Arial"/>
          <w:color w:val="000000"/>
        </w:rPr>
        <w:t>. La Trobe University Press.</w:t>
      </w:r>
    </w:p>
    <w:p w14:paraId="085ABD07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International Energy Agency. (2023). </w:t>
      </w:r>
      <w:r>
        <w:rPr>
          <w:rFonts w:ascii="Arial" w:eastAsia="Arial" w:hAnsi="Arial" w:cs="Arial"/>
          <w:i/>
          <w:iCs/>
          <w:color w:val="000000"/>
        </w:rPr>
        <w:t xml:space="preserve">Coal 2023: Analysis and forecast </w:t>
      </w:r>
      <w:proofErr w:type="gramStart"/>
      <w:r>
        <w:rPr>
          <w:rFonts w:ascii="Arial" w:eastAsia="Arial" w:hAnsi="Arial" w:cs="Arial"/>
          <w:i/>
          <w:iCs/>
          <w:color w:val="000000"/>
        </w:rPr>
        <w:t>to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2026</w:t>
      </w:r>
      <w:r>
        <w:rPr>
          <w:rFonts w:ascii="Arial" w:eastAsia="Arial" w:hAnsi="Arial" w:cs="Arial"/>
          <w:color w:val="000000"/>
        </w:rPr>
        <w:t>. IEA.</w:t>
      </w:r>
      <w:hyperlink r:id="rId19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20">
        <w:r>
          <w:rPr>
            <w:rFonts w:ascii="Arial" w:eastAsia="Arial" w:hAnsi="Arial" w:cs="Arial"/>
            <w:color w:val="1155CC"/>
            <w:u w:val="single"/>
          </w:rPr>
          <w:t>https://www.iea.org/reports/coal-2023</w:t>
        </w:r>
      </w:hyperlink>
    </w:p>
    <w:p w14:paraId="1C1275E9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International Energy Agency. (2024). </w:t>
      </w:r>
      <w:r>
        <w:rPr>
          <w:rFonts w:ascii="Arial" w:eastAsia="Arial" w:hAnsi="Arial" w:cs="Arial"/>
          <w:i/>
          <w:iCs/>
          <w:color w:val="000000"/>
        </w:rPr>
        <w:t>World energy outlook 2024</w:t>
      </w:r>
      <w:r>
        <w:rPr>
          <w:rFonts w:ascii="Arial" w:eastAsia="Arial" w:hAnsi="Arial" w:cs="Arial"/>
          <w:color w:val="000000"/>
        </w:rPr>
        <w:t>. IEA.</w:t>
      </w:r>
      <w:hyperlink r:id="rId21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22">
        <w:r>
          <w:rPr>
            <w:rFonts w:ascii="Arial" w:eastAsia="Arial" w:hAnsi="Arial" w:cs="Arial"/>
            <w:color w:val="1155CC"/>
            <w:u w:val="single"/>
          </w:rPr>
          <w:t>https://www.iea.org/reports/world-energy-outlook-2024</w:t>
        </w:r>
      </w:hyperlink>
    </w:p>
    <w:p w14:paraId="0B42203F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Knaflic</w:t>
      </w:r>
      <w:proofErr w:type="spellEnd"/>
      <w:r>
        <w:rPr>
          <w:rFonts w:ascii="Arial" w:eastAsia="Arial" w:hAnsi="Arial" w:cs="Arial"/>
          <w:color w:val="000000"/>
        </w:rPr>
        <w:t xml:space="preserve">, C. N. (2015). </w:t>
      </w:r>
      <w:r>
        <w:rPr>
          <w:rFonts w:ascii="Arial" w:eastAsia="Arial" w:hAnsi="Arial" w:cs="Arial"/>
          <w:i/>
          <w:iCs/>
          <w:color w:val="000000"/>
        </w:rPr>
        <w:t>Storytelling with data: A data visualization guide for business professionals</w:t>
      </w:r>
      <w:r>
        <w:rPr>
          <w:rFonts w:ascii="Arial" w:eastAsia="Arial" w:hAnsi="Arial" w:cs="Arial"/>
          <w:color w:val="000000"/>
        </w:rPr>
        <w:t>. Wiley.</w:t>
      </w:r>
    </w:p>
    <w:p w14:paraId="02DBD7FF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Productivity Commission. (2023). </w:t>
      </w:r>
      <w:r>
        <w:rPr>
          <w:rFonts w:ascii="Arial" w:eastAsia="Arial" w:hAnsi="Arial" w:cs="Arial"/>
          <w:i/>
          <w:iCs/>
          <w:color w:val="000000"/>
        </w:rPr>
        <w:t>Trade and assistance review 2022-23</w:t>
      </w:r>
      <w:r>
        <w:rPr>
          <w:rFonts w:ascii="Arial" w:eastAsia="Arial" w:hAnsi="Arial" w:cs="Arial"/>
          <w:color w:val="000000"/>
        </w:rPr>
        <w:t>. Australian Government.</w:t>
      </w:r>
      <w:hyperlink r:id="rId23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24">
        <w:r>
          <w:rPr>
            <w:rFonts w:ascii="Arial" w:eastAsia="Arial" w:hAnsi="Arial" w:cs="Arial"/>
            <w:color w:val="1155CC"/>
            <w:u w:val="single"/>
          </w:rPr>
          <w:t>https://www.pc.gov.au/ongoing/trade-assistance</w:t>
        </w:r>
      </w:hyperlink>
    </w:p>
    <w:p w14:paraId="46FA1393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Reserve Bank of Australia. (2023). </w:t>
      </w:r>
      <w:r>
        <w:rPr>
          <w:rFonts w:ascii="Arial" w:eastAsia="Arial" w:hAnsi="Arial" w:cs="Arial"/>
          <w:i/>
          <w:iCs/>
          <w:color w:val="000000"/>
        </w:rPr>
        <w:t>The Australian economy and financial markets</w:t>
      </w:r>
      <w:r>
        <w:rPr>
          <w:rFonts w:ascii="Arial" w:eastAsia="Arial" w:hAnsi="Arial" w:cs="Arial"/>
          <w:color w:val="000000"/>
        </w:rPr>
        <w:t>. RBA Chart Pack.</w:t>
      </w:r>
      <w:hyperlink r:id="rId25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26">
        <w:r>
          <w:rPr>
            <w:rFonts w:ascii="Arial" w:eastAsia="Arial" w:hAnsi="Arial" w:cs="Arial"/>
            <w:color w:val="1155CC"/>
            <w:u w:val="single"/>
          </w:rPr>
          <w:t>https://www.rba.gov.au/chart-pack/</w:t>
        </w:r>
      </w:hyperlink>
    </w:p>
    <w:p w14:paraId="02CDC241" w14:textId="77777777" w:rsidR="00AC2E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Tufte, E. R. (2001). </w:t>
      </w:r>
      <w:r>
        <w:rPr>
          <w:rFonts w:ascii="Arial" w:eastAsia="Arial" w:hAnsi="Arial" w:cs="Arial"/>
          <w:i/>
          <w:iCs/>
          <w:color w:val="000000"/>
        </w:rPr>
        <w:t>The visual display of quantitative information</w:t>
      </w:r>
      <w:r>
        <w:rPr>
          <w:rFonts w:ascii="Arial" w:eastAsia="Arial" w:hAnsi="Arial" w:cs="Arial"/>
          <w:color w:val="000000"/>
        </w:rPr>
        <w:t xml:space="preserve"> (2nd ed.). Graphics Press.</w:t>
      </w:r>
    </w:p>
    <w:p w14:paraId="2AA1E58C" w14:textId="77777777" w:rsidR="00AC2E2C" w:rsidRDefault="00AC2E2C">
      <w:pPr>
        <w:spacing w:after="80" w:line="280" w:lineRule="auto"/>
        <w:ind w:left="720"/>
        <w:jc w:val="both"/>
      </w:pPr>
    </w:p>
    <w:sectPr w:rsidR="00AC2E2C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DE60" w14:textId="77777777" w:rsidR="009D7632" w:rsidRDefault="009D7632">
      <w:r>
        <w:separator/>
      </w:r>
    </w:p>
  </w:endnote>
  <w:endnote w:type="continuationSeparator" w:id="0">
    <w:p w14:paraId="49E8A504" w14:textId="77777777" w:rsidR="009D7632" w:rsidRDefault="009D7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1CF0B6D3-5115-4621-9B5D-A822B1F1C007}"/>
    <w:embedBold r:id="rId2" w:subsetted="1" w:fontKey="{1EF12F86-5F0C-4EF1-BB39-6EBDF4EC38CD}"/>
    <w:embedItalic r:id="rId3" w:subsetted="1" w:fontKey="{421E9C1A-A9CC-469F-A28A-AECB36DB3C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545EDD91-ABFB-4A7B-8467-FCC8A134AAEE}"/>
    <w:embedBold r:id="rId5" w:subsetted="1" w:fontKey="{E3F35C69-6C0F-4013-A082-BE32162061EE}"/>
    <w:embedItalic r:id="rId6" w:subsetted="1" w:fontKey="{97A3E291-1FFA-4B51-8F85-3689F566F1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B4255EE-629D-46C4-8855-65AC10BE9E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52A28EB-532C-44DF-9FA0-3FF02581D7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DEFC169-1926-4462-81DA-C3B86C891C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56C2" w14:textId="77777777" w:rsidR="00AC2E2C" w:rsidRDefault="00000000">
    <w:pPr>
      <w:jc w:val="center"/>
    </w:pPr>
    <w:r>
      <w:rPr>
        <w:color w:val="606060"/>
        <w:sz w:val="18"/>
        <w:szCs w:val="18"/>
      </w:rPr>
      <w:t>第</w:t>
    </w:r>
    <w:r>
      <w:rPr>
        <w:color w:val="606060"/>
        <w:sz w:val="18"/>
        <w:szCs w:val="18"/>
      </w:rPr>
      <w:t xml:space="preserve"> </w:t>
    </w:r>
    <w:r>
      <w:rPr>
        <w:color w:val="606060"/>
        <w:sz w:val="18"/>
        <w:szCs w:val="18"/>
      </w:rPr>
      <w:fldChar w:fldCharType="begin"/>
    </w:r>
    <w:r>
      <w:rPr>
        <w:color w:val="606060"/>
        <w:sz w:val="18"/>
        <w:szCs w:val="18"/>
      </w:rPr>
      <w:instrText>PAGE</w:instrText>
    </w:r>
    <w:r>
      <w:rPr>
        <w:color w:val="606060"/>
        <w:sz w:val="18"/>
        <w:szCs w:val="18"/>
      </w:rPr>
      <w:fldChar w:fldCharType="separate"/>
    </w:r>
    <w:r w:rsidR="00AA66C1">
      <w:rPr>
        <w:noProof/>
        <w:color w:val="606060"/>
        <w:sz w:val="18"/>
        <w:szCs w:val="18"/>
      </w:rPr>
      <w:t>1</w:t>
    </w:r>
    <w:r>
      <w:rPr>
        <w:color w:val="606060"/>
        <w:sz w:val="18"/>
        <w:szCs w:val="18"/>
      </w:rPr>
      <w:fldChar w:fldCharType="end"/>
    </w:r>
    <w:r>
      <w:rPr>
        <w:color w:val="606060"/>
        <w:sz w:val="18"/>
        <w:szCs w:val="18"/>
      </w:rPr>
      <w:t xml:space="preserve"> </w:t>
    </w:r>
    <w:r>
      <w:rPr>
        <w:color w:val="606060"/>
        <w:sz w:val="18"/>
        <w:szCs w:val="18"/>
      </w:rPr>
      <w:t>頁，共</w:t>
    </w:r>
    <w:r>
      <w:rPr>
        <w:color w:val="606060"/>
        <w:sz w:val="18"/>
        <w:szCs w:val="18"/>
      </w:rPr>
      <w:t xml:space="preserve"> </w:t>
    </w:r>
    <w:r>
      <w:rPr>
        <w:color w:val="606060"/>
        <w:sz w:val="18"/>
        <w:szCs w:val="18"/>
      </w:rPr>
      <w:fldChar w:fldCharType="begin"/>
    </w:r>
    <w:r>
      <w:rPr>
        <w:color w:val="606060"/>
        <w:sz w:val="18"/>
        <w:szCs w:val="18"/>
      </w:rPr>
      <w:instrText>NUMPAGES</w:instrText>
    </w:r>
    <w:r>
      <w:rPr>
        <w:color w:val="606060"/>
        <w:sz w:val="18"/>
        <w:szCs w:val="18"/>
      </w:rPr>
      <w:fldChar w:fldCharType="separate"/>
    </w:r>
    <w:r w:rsidR="00AA66C1">
      <w:rPr>
        <w:noProof/>
        <w:color w:val="606060"/>
        <w:sz w:val="18"/>
        <w:szCs w:val="18"/>
      </w:rPr>
      <w:t>2</w:t>
    </w:r>
    <w:r>
      <w:rPr>
        <w:color w:val="606060"/>
        <w:sz w:val="18"/>
        <w:szCs w:val="18"/>
      </w:rPr>
      <w:fldChar w:fldCharType="end"/>
    </w:r>
    <w:r>
      <w:rPr>
        <w:color w:val="606060"/>
        <w:sz w:val="18"/>
        <w:szCs w:val="18"/>
      </w:rPr>
      <w:t xml:space="preserve"> </w:t>
    </w:r>
    <w:r>
      <w:rPr>
        <w:color w:val="606060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F80C0" w14:textId="77777777" w:rsidR="009D7632" w:rsidRDefault="009D7632">
      <w:r>
        <w:separator/>
      </w:r>
    </w:p>
  </w:footnote>
  <w:footnote w:type="continuationSeparator" w:id="0">
    <w:p w14:paraId="08B6FEFD" w14:textId="77777777" w:rsidR="009D7632" w:rsidRDefault="009D7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5907" w14:textId="77777777" w:rsidR="00AC2E2C" w:rsidRDefault="00000000">
    <w:pPr>
      <w:jc w:val="center"/>
    </w:pPr>
    <w:r>
      <w:rPr>
        <w:color w:val="606060"/>
        <w:sz w:val="18"/>
        <w:szCs w:val="18"/>
      </w:rPr>
      <w:t>321146 Data Visualization and Visual Analytics — A2 PoKai Huang | 26254793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BF7"/>
    <w:multiLevelType w:val="multilevel"/>
    <w:tmpl w:val="F62445A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6E313A8"/>
    <w:multiLevelType w:val="multilevel"/>
    <w:tmpl w:val="9586D6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BF46C4"/>
    <w:multiLevelType w:val="multilevel"/>
    <w:tmpl w:val="06E8382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18009758">
    <w:abstractNumId w:val="1"/>
  </w:num>
  <w:num w:numId="2" w16cid:durableId="1832065720">
    <w:abstractNumId w:val="2"/>
  </w:num>
  <w:num w:numId="3" w16cid:durableId="184839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E2C"/>
    <w:rsid w:val="00120887"/>
    <w:rsid w:val="009D7632"/>
    <w:rsid w:val="00AA66C1"/>
    <w:rsid w:val="00AC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C6ED"/>
  <w15:docId w15:val="{DE5F5196-F823-463E-B5BD-9A2BD1BE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single" w:sz="8" w:space="4" w:color="1F3864"/>
        <w:right w:val="nil"/>
        <w:between w:val="nil"/>
      </w:pBdr>
      <w:spacing w:before="360" w:after="240"/>
      <w:outlineLvl w:val="0"/>
    </w:pPr>
    <w:rPr>
      <w:rFonts w:eastAsia="微軟正黑體"/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40" w:after="160"/>
      <w:outlineLvl w:val="1"/>
    </w:pPr>
    <w:rPr>
      <w:rFonts w:eastAsia="微軟正黑體"/>
      <w:b/>
      <w:bCs/>
      <w:color w:val="1F3864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rFonts w:eastAsia="微軟正黑體"/>
      <w:b/>
      <w:bCs/>
      <w:color w:val="2E75B6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rFonts w:eastAsia="微軟正黑體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rFonts w:eastAsia="微軟正黑體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rFonts w:eastAsia="微軟正黑體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rFonts w:eastAsia="微軟正黑體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dustry.gov.au/publications/resources-and-energy-quarterly" TargetMode="External"/><Relationship Id="rId26" Type="http://schemas.openxmlformats.org/officeDocument/2006/relationships/hyperlink" Target="https://www.rba.gov.au/chart-pac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ea.org/reports/world-energy-outlook-2024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industry.gov.au/publications/resources-and-energy-quarterly" TargetMode="External"/><Relationship Id="rId25" Type="http://schemas.openxmlformats.org/officeDocument/2006/relationships/hyperlink" Target="https://www.rba.gov.au/chart-pac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bs.gov.au/statistics/economy/international-trade/international-trade-goods-and-services-australia" TargetMode="External"/><Relationship Id="rId20" Type="http://schemas.openxmlformats.org/officeDocument/2006/relationships/hyperlink" Target="https://www.iea.org/reports/coal-202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pc.gov.au/ongoing/trade-assistan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bs.gov.au/statistics/economy/international-trade/international-trade-goods-and-services-australia" TargetMode="External"/><Relationship Id="rId23" Type="http://schemas.openxmlformats.org/officeDocument/2006/relationships/hyperlink" Target="https://www.pc.gov.au/ongoing/trade-assistance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iea.org/reports/coal-202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iea.org/reports/world-energy-outlook-2024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2729</Words>
  <Characters>4504</Characters>
  <Application>Microsoft Office Word</Application>
  <DocSecurity>0</DocSecurity>
  <Lines>166</Lines>
  <Paragraphs>120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PoKai Huang</cp:lastModifiedBy>
  <cp:revision>2</cp:revision>
  <dcterms:created xsi:type="dcterms:W3CDTF">2026-05-01T02:49:00Z</dcterms:created>
  <dcterms:modified xsi:type="dcterms:W3CDTF">2026-05-01T02:54:00Z</dcterms:modified>
</cp:coreProperties>
</file>