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在职分红激励协议</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rPr>
          <w:rFonts w:hint="default"/>
          <w:lang w:val="en-US" w:eastAsia="zh-CN"/>
        </w:rPr>
      </w:pPr>
    </w:p>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afterAutospacing="0" w:line="360" w:lineRule="auto"/>
        <w:ind w:firstLine="562" w:firstLineChars="200"/>
        <w:textAlignment w:val="auto"/>
        <w:rPr>
          <w:rFonts w:ascii="宋体" w:hAnsi="宋体" w:eastAsia="宋体" w:cs="宋体"/>
          <w:b/>
          <w:bCs/>
          <w:sz w:val="28"/>
          <w:szCs w:val="28"/>
        </w:rPr>
        <w:sectPr>
          <w:headerReference r:id="rId3" w:type="default"/>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Autospacing="0" w:line="360" w:lineRule="auto"/>
        <w:ind w:firstLine="562" w:firstLineChars="200"/>
        <w:textAlignment w:val="auto"/>
        <w:rPr>
          <w:rFonts w:ascii="宋体" w:hAnsi="宋体" w:eastAsia="宋体" w:cs="宋体"/>
          <w:b/>
          <w:bCs/>
          <w:sz w:val="28"/>
          <w:szCs w:val="28"/>
        </w:rPr>
      </w:pPr>
      <w:r>
        <w:rPr>
          <w:rFonts w:ascii="宋体" w:hAnsi="宋体" w:eastAsia="宋体" w:cs="宋体"/>
          <w:b/>
          <w:bCs/>
          <w:sz w:val="28"/>
          <w:szCs w:val="28"/>
        </w:rPr>
        <w:t>附件</w:t>
      </w:r>
      <w:r>
        <w:rPr>
          <w:rFonts w:hint="eastAsia" w:ascii="宋体" w:hAnsi="宋体" w:eastAsia="宋体" w:cs="宋体"/>
          <w:b/>
          <w:bCs/>
          <w:sz w:val="28"/>
          <w:szCs w:val="28"/>
          <w:lang w:eastAsia="zh-CN"/>
        </w:rPr>
        <w:t>一</w:t>
      </w:r>
      <w:r>
        <w:rPr>
          <w:rFonts w:ascii="宋体" w:hAnsi="宋体" w:eastAsia="宋体" w:cs="宋体"/>
          <w:b/>
          <w:bCs/>
          <w:sz w:val="28"/>
          <w:szCs w:val="28"/>
        </w:rPr>
        <w:t>:</w:t>
      </w:r>
    </w:p>
    <w:p>
      <w:pPr>
        <w:keepNext w:val="0"/>
        <w:keepLines w:val="0"/>
        <w:pageBreakBefore w:val="0"/>
        <w:widowControl w:val="0"/>
        <w:kinsoku/>
        <w:wordWrap/>
        <w:overflowPunct/>
        <w:topLinePunct w:val="0"/>
        <w:autoSpaceDE/>
        <w:autoSpaceDN/>
        <w:bidi w:val="0"/>
        <w:adjustRightInd/>
        <w:snapToGrid/>
        <w:spacing w:afterAutospacing="0" w:line="360" w:lineRule="auto"/>
        <w:ind w:firstLine="562" w:firstLineChars="200"/>
        <w:jc w:val="center"/>
        <w:textAlignment w:val="auto"/>
        <w:rPr>
          <w:rFonts w:ascii="宋体" w:hAnsi="宋体" w:eastAsia="宋体" w:cs="宋体"/>
          <w:b/>
          <w:bCs/>
          <w:sz w:val="28"/>
          <w:szCs w:val="28"/>
        </w:rPr>
      </w:pPr>
      <w:r>
        <w:rPr>
          <w:rFonts w:ascii="宋体" w:hAnsi="宋体" w:eastAsia="宋体" w:cs="宋体"/>
          <w:b/>
          <w:bCs/>
          <w:sz w:val="28"/>
          <w:szCs w:val="28"/>
        </w:rPr>
        <w:t>在职分红激励协议</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sectPr>
          <w:footerReference r:id="rId4" w:type="default"/>
          <w:pgSz w:w="11906" w:h="16838"/>
          <w:pgMar w:top="1440" w:right="1800" w:bottom="1440" w:left="1800" w:header="851" w:footer="992" w:gutter="0"/>
          <w:pgNumType w:fmt="decimal" w:start="1"/>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甲方</w:t>
      </w:r>
      <w:r>
        <w:rPr>
          <w:rFonts w:ascii="宋体" w:hAnsi="宋体" w:eastAsia="宋体" w:cs="宋体"/>
          <w:sz w:val="24"/>
          <w:szCs w:val="24"/>
        </w:rPr>
        <w:br w:type="textWrapping"/>
      </w:r>
      <w:r>
        <w:rPr>
          <w:rFonts w:ascii="宋体" w:hAnsi="宋体" w:eastAsia="宋体" w:cs="宋体"/>
          <w:sz w:val="24"/>
          <w:szCs w:val="24"/>
        </w:rPr>
        <w:t>XXX有限公司</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法定代表人:</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地址:</w:t>
      </w:r>
      <w:r>
        <w:rPr>
          <w:rFonts w:ascii="宋体" w:hAnsi="宋体" w:eastAsia="宋体" w:cs="宋体"/>
          <w:sz w:val="24"/>
          <w:szCs w:val="24"/>
        </w:rPr>
        <w:br w:type="textWrapping"/>
      </w:r>
      <w:r>
        <w:rPr>
          <w:rFonts w:ascii="宋体" w:hAnsi="宋体" w:eastAsia="宋体" w:cs="宋体"/>
          <w:sz w:val="24"/>
          <w:szCs w:val="24"/>
        </w:rPr>
        <w:t>电话:</w:t>
      </w:r>
      <w:r>
        <w:rPr>
          <w:rFonts w:ascii="宋体" w:hAnsi="宋体" w:eastAsia="宋体" w:cs="宋体"/>
          <w:sz w:val="24"/>
          <w:szCs w:val="24"/>
        </w:rPr>
        <w:br w:type="textWrapping"/>
      </w:r>
      <w:r>
        <w:rPr>
          <w:rFonts w:ascii="宋体" w:hAnsi="宋体" w:eastAsia="宋体" w:cs="宋体"/>
          <w:sz w:val="24"/>
          <w:szCs w:val="24"/>
        </w:rPr>
        <w:t>传真:</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乙方</w:t>
      </w:r>
      <w:r>
        <w:rPr>
          <w:rFonts w:ascii="宋体" w:hAnsi="宋体" w:eastAsia="宋体" w:cs="宋体"/>
          <w:sz w:val="24"/>
          <w:szCs w:val="24"/>
        </w:rPr>
        <w:br w:type="textWrapping"/>
      </w:r>
      <w:r>
        <w:rPr>
          <w:rFonts w:ascii="宋体" w:hAnsi="宋体" w:eastAsia="宋体" w:cs="宋体"/>
          <w:sz w:val="24"/>
          <w:szCs w:val="24"/>
        </w:rPr>
        <w:t>姓名:</w:t>
      </w:r>
      <w:r>
        <w:rPr>
          <w:rFonts w:ascii="宋体" w:hAnsi="宋体" w:eastAsia="宋体" w:cs="宋体"/>
          <w:sz w:val="24"/>
          <w:szCs w:val="24"/>
        </w:rPr>
        <w:br w:type="textWrapping"/>
      </w:r>
      <w:r>
        <w:rPr>
          <w:rFonts w:ascii="宋体" w:hAnsi="宋体" w:eastAsia="宋体" w:cs="宋体"/>
          <w:sz w:val="24"/>
          <w:szCs w:val="24"/>
        </w:rPr>
        <w:t>身份证号码:</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身份证地址:</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现住址:</w:t>
      </w:r>
      <w:r>
        <w:rPr>
          <w:rFonts w:ascii="宋体" w:hAnsi="宋体" w:eastAsia="宋体" w:cs="宋体"/>
          <w:sz w:val="24"/>
          <w:szCs w:val="24"/>
        </w:rPr>
        <w:br w:type="textWrapping"/>
      </w:r>
      <w:r>
        <w:rPr>
          <w:rFonts w:ascii="宋体" w:hAnsi="宋体" w:eastAsia="宋体" w:cs="宋体"/>
          <w:sz w:val="24"/>
          <w:szCs w:val="24"/>
        </w:rPr>
        <w:t>联系电话:</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sectPr>
          <w:type w:val="continuous"/>
          <w:pgSz w:w="11906" w:h="16838"/>
          <w:pgMar w:top="1440" w:right="1800" w:bottom="1440" w:left="1800" w:header="851" w:footer="992" w:gutter="0"/>
          <w:pgNumType w:fmt="decimal"/>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了激励乙方长期稳定服务于甲方，促进乙方努力工作，根据甲方《股权激励管理办法(135渐进式激励法)》(以下简称《管理办法》)的规定，经评价乙方工作表现，甲方决定对乙方进行在职分红激励，甲乙双方就有关事项达成以下协议:</w:t>
      </w:r>
    </w:p>
    <w:p>
      <w:pPr>
        <w:pStyle w:val="2"/>
        <w:bidi w:val="0"/>
        <w:rPr>
          <w:rFonts w:ascii="宋体" w:hAnsi="宋体" w:eastAsia="宋体" w:cs="宋体"/>
          <w:szCs w:val="24"/>
        </w:rPr>
      </w:pPr>
      <w:r>
        <w:t>术语解释</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在职分红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本协议所称在职分红是指甲方把乙方的年终奖励与公司利润挂钩的一种内部激励机制。</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在职分红股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本协议所称在职分红股是指甲方为了核算在职分红数额而在公司净利润基础上虚拟设定的股份，无《公司法》意义上的股东权利。</w:t>
      </w:r>
    </w:p>
    <w:p>
      <w:pPr>
        <w:pStyle w:val="2"/>
        <w:bidi w:val="0"/>
      </w:pPr>
      <w:r>
        <w:t>预授股票数量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甲方预授给乙方在职分红股(以下简称“分红股”)份额为壹拾万(100，000)股。每个考核周期，乙方实际获得的分红股份额，将以预授数量为基础，根据乙方绩效表现进行调整。</w:t>
      </w:r>
    </w:p>
    <w:p>
      <w:pPr>
        <w:pStyle w:val="2"/>
        <w:bidi w:val="0"/>
      </w:pPr>
      <w:r>
        <w:t>激励周期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甲方授予乙方的分红股自2022年1月1日起，以一年为一个激励周期，公司有权随时终止在职分红激励计划。</w:t>
      </w:r>
    </w:p>
    <w:p>
      <w:pPr>
        <w:pStyle w:val="2"/>
        <w:bidi w:val="0"/>
      </w:pPr>
      <w:r>
        <w:t>考核与预授分红股份额的调整</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考核周期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全激励周期分为三个考核周期，每个考核周期为一年。</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实际参与分红的股份份额</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t>每个考核周期乙方实际获得的分红股份额，按下式计算: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t>考核周期实际获得分红股份额=预授分红股份额</w:t>
      </w:r>
      <w:r>
        <w:rPr>
          <w:rFonts w:hint="eastAsia" w:ascii="宋体" w:hAnsi="宋体" w:eastAsia="宋体" w:cs="宋体"/>
          <w:sz w:val="24"/>
          <w:szCs w:val="24"/>
        </w:rPr>
        <w:t>×</w:t>
      </w:r>
      <w:r>
        <w:rPr>
          <w:rFonts w:ascii="宋体" w:hAnsi="宋体" w:eastAsia="宋体" w:cs="宋体"/>
          <w:sz w:val="24"/>
          <w:szCs w:val="24"/>
        </w:rPr>
        <w:t>绩效系数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textAlignment w:val="auto"/>
        <w:rPr>
          <w:rFonts w:ascii="宋体" w:hAnsi="宋体" w:eastAsia="宋体" w:cs="宋体"/>
          <w:sz w:val="24"/>
          <w:szCs w:val="24"/>
          <w:vertAlign w:val="baseline"/>
        </w:rPr>
      </w:pPr>
      <w:r>
        <w:rPr>
          <w:rFonts w:ascii="宋体" w:hAnsi="宋体" w:eastAsia="宋体" w:cs="宋体"/>
          <w:sz w:val="24"/>
          <w:szCs w:val="24"/>
        </w:rPr>
        <w:t>绩效系数按以下方式确定:</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乙方绩效成绩</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绩效系数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A+</w:t>
            </w:r>
            <w:r>
              <w:rPr>
                <w:rFonts w:hint="eastAsia" w:ascii="宋体" w:hAnsi="宋体" w:eastAsia="宋体" w:cs="宋体"/>
                <w:sz w:val="24"/>
                <w:szCs w:val="24"/>
                <w:lang w:val="en-US" w:eastAsia="zh-CN"/>
              </w:rPr>
              <w:t xml:space="preserve"> </w:t>
            </w:r>
            <w:r>
              <w:rPr>
                <w:rFonts w:ascii="宋体" w:hAnsi="宋体" w:eastAsia="宋体" w:cs="宋体"/>
                <w:sz w:val="24"/>
                <w:szCs w:val="24"/>
              </w:rPr>
              <w:t>(卓越)</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A (优秀)</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B (良好)</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0.65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C (合格)</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D (需改善)</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vertAlign w:val="baseline"/>
              </w:rPr>
            </w:pPr>
            <w:r>
              <w:rPr>
                <w:rFonts w:ascii="宋体" w:hAnsi="宋体" w:eastAsia="宋体" w:cs="宋体"/>
                <w:sz w:val="24"/>
                <w:szCs w:val="24"/>
              </w:rPr>
              <w:t>E (不可接受)</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w:t>
            </w:r>
          </w:p>
        </w:tc>
      </w:tr>
    </w:tbl>
    <w:p>
      <w:pPr>
        <w:pStyle w:val="2"/>
        <w:bidi w:val="0"/>
      </w:pPr>
      <w:r>
        <w:t>分红的计算与发放</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分红计算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乙方所获得的在职分红收益的计算方法是:公司从年度税后利润中提取一定比例， 用于乙方和其他激励对象的分红股的分红，根据乙方分红股数量在分红股总份额中的占比计算乙方获得的分红数额。</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分红发放</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t>乙方当年所获得的在职分红收益，在次年三月份</w:t>
      </w:r>
      <w:r>
        <w:rPr>
          <w:rFonts w:hint="eastAsia" w:ascii="宋体" w:hAnsi="宋体" w:eastAsia="宋体" w:cs="宋体"/>
          <w:sz w:val="24"/>
          <w:szCs w:val="24"/>
          <w:lang w:eastAsia="zh-CN"/>
        </w:rPr>
        <w:t>一</w:t>
      </w:r>
      <w:r>
        <w:rPr>
          <w:rFonts w:ascii="宋体" w:hAnsi="宋体" w:eastAsia="宋体" w:cs="宋体"/>
          <w:sz w:val="24"/>
          <w:szCs w:val="24"/>
        </w:rPr>
        <w:t>次性</w:t>
      </w:r>
      <w:r>
        <w:rPr>
          <w:rFonts w:hint="eastAsia" w:ascii="宋体" w:hAnsi="宋体" w:eastAsia="宋体" w:cs="宋体"/>
          <w:sz w:val="24"/>
          <w:szCs w:val="24"/>
          <w:lang w:eastAsia="zh-CN"/>
        </w:rPr>
        <w:t>发</w:t>
      </w:r>
      <w:r>
        <w:rPr>
          <w:rFonts w:ascii="宋体" w:hAnsi="宋体" w:eastAsia="宋体" w:cs="宋体"/>
          <w:sz w:val="24"/>
          <w:szCs w:val="24"/>
        </w:rPr>
        <w:t>放。</w:t>
      </w:r>
    </w:p>
    <w:p>
      <w:pPr>
        <w:keepNext w:val="0"/>
        <w:keepLines w:val="0"/>
        <w:pageBreakBefore w:val="0"/>
        <w:widowControl w:val="0"/>
        <w:numPr>
          <w:ilvl w:val="0"/>
          <w:numId w:val="4"/>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乙方分红收益的税负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t>乙方依本协议获得的在职分红收益属于工资薪金收入，适用国家关于工资薪金收入的纳税规定，由甲方代扣代缴。</w:t>
      </w:r>
    </w:p>
    <w:p>
      <w:pPr>
        <w:pStyle w:val="2"/>
        <w:bidi w:val="0"/>
      </w:pPr>
      <w:r>
        <w:t>终止与退出</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乙方激励资格终止</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在本协议有效期内，下列情形发生时，乙方激励资格终止:</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终止或解除劳动合同，包括劳动合同到期不续签、激励对象离职或被辞退，以及《劳动合同法》规定的需要终止或解除劳动合同的情形出现</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乙方严重违反甲方公司纪律，需要终止乙方激励资格的情形</w:t>
      </w:r>
      <w:r>
        <w:rPr>
          <w:rFonts w:hint="eastAsia" w:ascii="宋体" w:hAnsi="宋体" w:eastAsia="宋体" w:cs="宋体"/>
          <w:sz w:val="24"/>
          <w:szCs w:val="24"/>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甲方认定的其他需要终止乙方激励资格的情形。</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乙方激励资格终止时的处理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t>乙方不再参与当年度和本协议尚未履行年度的在职分红。</w:t>
      </w:r>
    </w:p>
    <w:p>
      <w:pPr>
        <w:pStyle w:val="2"/>
        <w:bidi w:val="0"/>
      </w:pPr>
      <w:r>
        <w:t>非注册股承诺</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乙方通过本协议获得预授在职分红股股票和每个考核周期实际获得在职分红股票，并不意味着激励周期结束后，甲方必然给予乙方以工商注册登记为目的的注册股资格。</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乙方是否获得注册股资格和获授注册股份额，待激励周期结束后，由甲方根据自身实际和对乙方进行综合评价后决定。</w:t>
      </w:r>
    </w:p>
    <w:p>
      <w:pPr>
        <w:pStyle w:val="2"/>
        <w:bidi w:val="0"/>
      </w:pPr>
      <w:r>
        <w:t>无排他性</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本协议不影响甲方自由决定对其他员工进行股权激励，不影响甲方自由决定对外股权融资，发行债券，规划上市，增加或减少注册资本，进行公司合并、分立或解散，出售公司资产等合法行为。</w:t>
      </w:r>
    </w:p>
    <w:p>
      <w:pPr>
        <w:pStyle w:val="2"/>
        <w:bidi w:val="0"/>
      </w:pPr>
      <w:r>
        <w:t>非劳动关系证明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签订本协议不意味着乙方获得甲方对其的雇佣承诺。乙方与甲方的劳动关系，依照乙方与甲方签订的劳动合同办理。</w:t>
      </w:r>
    </w:p>
    <w:p>
      <w:pPr>
        <w:pStyle w:val="2"/>
        <w:bidi w:val="0"/>
        <w:rPr>
          <w:rFonts w:hint="default"/>
          <w:lang w:val="en-US" w:eastAsia="zh-CN"/>
        </w:rPr>
      </w:pPr>
      <w:r>
        <w:t>未尽事宜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本协议未尽事宜，按《管理办法》及有关配套文件的规定处理。</w:t>
      </w:r>
    </w:p>
    <w:p>
      <w:pPr>
        <w:pStyle w:val="2"/>
        <w:bidi w:val="0"/>
      </w:pPr>
      <w:r>
        <w:t>协议生效</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vertAlign w:val="baseline"/>
        </w:rPr>
      </w:pPr>
      <w:r>
        <w:rPr>
          <w:rFonts w:ascii="宋体" w:hAnsi="宋体" w:eastAsia="宋体" w:cs="宋体"/>
          <w:sz w:val="24"/>
          <w:szCs w:val="24"/>
        </w:rPr>
        <w:t>本协议经甲乙双方签字盖章后生效。本协议一式两份，甲乙双方各执一份。</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甲方(盖章):</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授权代表(签字):</w:t>
            </w:r>
            <w:r>
              <w:rPr>
                <w:rFonts w:ascii="宋体" w:hAnsi="宋体" w:eastAsia="宋体" w:cs="宋体"/>
                <w:sz w:val="24"/>
                <w:szCs w:val="24"/>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乙方(签字):</w:t>
            </w:r>
            <w:r>
              <w:rPr>
                <w:rFonts w:ascii="宋体" w:hAnsi="宋体" w:eastAsia="宋体" w:cs="宋体"/>
                <w:sz w:val="24"/>
                <w:szCs w:val="24"/>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日期:</w:t>
            </w:r>
            <w:r>
              <w:rPr>
                <w:rFonts w:hint="eastAsia" w:ascii="宋体" w:hAnsi="宋体" w:eastAsia="宋体" w:cs="宋体"/>
                <w:sz w:val="24"/>
                <w:szCs w:val="24"/>
                <w:lang w:val="en-US" w:eastAsia="zh-CN"/>
              </w:rPr>
              <w:t xml:space="preserve">     </w:t>
            </w:r>
            <w:r>
              <w:rPr>
                <w:rFonts w:ascii="宋体" w:hAnsi="宋体" w:eastAsia="宋体" w:cs="宋体"/>
                <w:sz w:val="24"/>
                <w:szCs w:val="24"/>
              </w:rPr>
              <w:t>年</w:t>
            </w:r>
            <w:r>
              <w:rPr>
                <w:rFonts w:hint="eastAsia" w:ascii="宋体" w:hAnsi="宋体" w:eastAsia="宋体" w:cs="宋体"/>
                <w:sz w:val="24"/>
                <w:szCs w:val="24"/>
                <w:lang w:val="en-US" w:eastAsia="zh-CN"/>
              </w:rPr>
              <w:t xml:space="preserve">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日期:</w:t>
            </w:r>
            <w:r>
              <w:rPr>
                <w:rFonts w:hint="eastAsia" w:ascii="宋体" w:hAnsi="宋体" w:eastAsia="宋体" w:cs="宋体"/>
                <w:sz w:val="24"/>
                <w:szCs w:val="24"/>
                <w:lang w:val="en-US" w:eastAsia="zh-CN"/>
              </w:rPr>
              <w:t xml:space="preserve">     </w:t>
            </w:r>
            <w:r>
              <w:rPr>
                <w:rFonts w:ascii="宋体" w:hAnsi="宋体" w:eastAsia="宋体" w:cs="宋体"/>
                <w:sz w:val="24"/>
                <w:szCs w:val="24"/>
              </w:rPr>
              <w:t>年</w:t>
            </w:r>
            <w:r>
              <w:rPr>
                <w:rFonts w:hint="eastAsia" w:ascii="宋体" w:hAnsi="宋体" w:eastAsia="宋体" w:cs="宋体"/>
                <w:sz w:val="24"/>
                <w:szCs w:val="24"/>
                <w:lang w:val="en-US" w:eastAsia="zh-CN"/>
              </w:rPr>
              <w:t xml:space="preserve">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20" w:firstLineChars="200"/>
        <w:textAlignment w:val="auto"/>
        <w:rPr>
          <w:rFonts w:hint="eastAsia" w:eastAsia="宋体"/>
          <w:lang w:val="en-US" w:eastAsia="zh-CN"/>
        </w:rPr>
      </w:pPr>
      <w:bookmarkStart w:id="0" w:name="_GoBack"/>
      <w:bookmarkEnd w:id="0"/>
    </w:p>
    <w:sectPr>
      <w:type w:val="continuous"/>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val="en-US" w:eastAsia="zh-CN"/>
      </w:rPr>
    </w:pPr>
    <w:r>
      <w:rPr>
        <w:rFonts w:hint="eastAsia"/>
        <w:lang w:val="en-US" w:eastAsia="zh-CN"/>
      </w:rPr>
      <w:t>在职分红激励协议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42ECD94"/>
    <w:multiLevelType w:val="singleLevel"/>
    <w:tmpl w:val="E42ECD94"/>
    <w:lvl w:ilvl="0" w:tentative="0">
      <w:start w:val="1"/>
      <w:numFmt w:val="chineseCounting"/>
      <w:lvlText w:val="(%1)"/>
      <w:lvlJc w:val="left"/>
      <w:pPr>
        <w:tabs>
          <w:tab w:val="left" w:pos="312"/>
        </w:tabs>
      </w:pPr>
      <w:rPr>
        <w:rFonts w:hint="eastAsia"/>
      </w:rPr>
    </w:lvl>
  </w:abstractNum>
  <w:abstractNum w:abstractNumId="1">
    <w:nsid w:val="056FE039"/>
    <w:multiLevelType w:val="singleLevel"/>
    <w:tmpl w:val="056FE039"/>
    <w:lvl w:ilvl="0" w:tentative="0">
      <w:start w:val="1"/>
      <w:numFmt w:val="chineseCounting"/>
      <w:lvlText w:val="(%1)"/>
      <w:lvlJc w:val="left"/>
      <w:pPr>
        <w:tabs>
          <w:tab w:val="left" w:pos="312"/>
        </w:tabs>
      </w:pPr>
      <w:rPr>
        <w:rFonts w:hint="eastAsia"/>
      </w:rPr>
    </w:lvl>
  </w:abstractNum>
  <w:abstractNum w:abstractNumId="2">
    <w:nsid w:val="0FDC6C74"/>
    <w:multiLevelType w:val="singleLevel"/>
    <w:tmpl w:val="0FDC6C74"/>
    <w:lvl w:ilvl="0" w:tentative="0">
      <w:start w:val="1"/>
      <w:numFmt w:val="chineseCounting"/>
      <w:pStyle w:val="2"/>
      <w:suff w:val="space"/>
      <w:lvlText w:val="第%1条"/>
      <w:lvlJc w:val="left"/>
      <w:pPr>
        <w:tabs>
          <w:tab w:val="left" w:pos="420"/>
        </w:tabs>
      </w:pPr>
      <w:rPr>
        <w:rFonts w:hint="eastAsia" w:cs="宋体"/>
        <w:bCs/>
        <w:szCs w:val="24"/>
      </w:rPr>
    </w:lvl>
  </w:abstractNum>
  <w:abstractNum w:abstractNumId="3">
    <w:nsid w:val="2A10A720"/>
    <w:multiLevelType w:val="singleLevel"/>
    <w:tmpl w:val="2A10A720"/>
    <w:lvl w:ilvl="0" w:tentative="0">
      <w:start w:val="1"/>
      <w:numFmt w:val="chineseCounting"/>
      <w:lvlText w:val="(%1)"/>
      <w:lvlJc w:val="left"/>
      <w:pPr>
        <w:tabs>
          <w:tab w:val="left" w:pos="312"/>
        </w:tabs>
      </w:pPr>
      <w:rPr>
        <w:rFonts w:hint="eastAsia"/>
      </w:rPr>
    </w:lvl>
  </w:abstractNum>
  <w:abstractNum w:abstractNumId="4">
    <w:nsid w:val="513C1364"/>
    <w:multiLevelType w:val="singleLevel"/>
    <w:tmpl w:val="513C1364"/>
    <w:lvl w:ilvl="0" w:tentative="0">
      <w:start w:val="1"/>
      <w:numFmt w:val="chineseCounting"/>
      <w:lvlText w:val="(%1)"/>
      <w:lvlJc w:val="left"/>
      <w:pPr>
        <w:tabs>
          <w:tab w:val="left" w:pos="312"/>
        </w:tabs>
      </w:pPr>
      <w:rPr>
        <w:rFonts w:hint="eastAsia"/>
      </w:rPr>
    </w:lvl>
  </w:abstractNum>
  <w:abstractNum w:abstractNumId="5">
    <w:nsid w:val="6B034EFA"/>
    <w:multiLevelType w:val="singleLevel"/>
    <w:tmpl w:val="6B034EFA"/>
    <w:lvl w:ilvl="0" w:tentative="0">
      <w:start w:val="1"/>
      <w:numFmt w:val="decimal"/>
      <w:suff w:val="nothing"/>
      <w:lvlText w:val="%1、"/>
      <w:lvlJc w:val="left"/>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8B6122"/>
    <w:rsid w:val="3DB36BF6"/>
    <w:rsid w:val="3EC60203"/>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firstLine="723" w:firstLineChars="200"/>
      <w:jc w:val="left"/>
      <w:outlineLvl w:val="0"/>
    </w:pPr>
    <w:rPr>
      <w:rFonts w:asciiTheme="minorAscii" w:hAnsiTheme="minorAscii"/>
      <w:b/>
      <w:kern w:val="44"/>
      <w:sz w:val="24"/>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