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股权激励协议</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rPr>
          <w:rFonts w:hint="default"/>
          <w:lang w:val="en-US" w:eastAsia="zh-CN"/>
        </w:rPr>
      </w:pPr>
    </w:p>
    <w:p>
      <w:pPr>
        <w:rPr>
          <w:rFonts w:hint="default"/>
          <w:lang w:val="en-US" w:eastAsia="zh-CN"/>
        </w:rPr>
      </w:pPr>
    </w:p>
    <w:p>
      <w:pPr>
        <w:spacing w:after="240" w:afterAutospacing="0"/>
        <w:jc w:val="center"/>
        <w:rPr>
          <w:rFonts w:ascii="宋体" w:hAnsi="宋体" w:eastAsia="宋体" w:cs="宋体"/>
          <w:b/>
          <w:bCs/>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spacing w:after="240" w:afterAutospacing="0"/>
        <w:jc w:val="center"/>
        <w:rPr>
          <w:rFonts w:ascii="宋体" w:hAnsi="宋体" w:eastAsia="宋体" w:cs="宋体"/>
          <w:sz w:val="24"/>
          <w:szCs w:val="24"/>
        </w:rPr>
      </w:pPr>
      <w:r>
        <w:rPr>
          <w:rFonts w:ascii="宋体" w:hAnsi="宋体" w:eastAsia="宋体" w:cs="宋体"/>
          <w:b/>
          <w:bCs/>
          <w:sz w:val="24"/>
          <w:szCs w:val="24"/>
        </w:rPr>
        <w:t>1-3-5渐时式股权激励协议</w:t>
      </w:r>
    </w:p>
    <w:p>
      <w:pPr>
        <w:spacing w:after="240" w:afterAutospacing="0"/>
        <w:rPr>
          <w:rFonts w:ascii="宋体" w:hAnsi="宋体" w:eastAsia="宋体" w:cs="宋体"/>
          <w:sz w:val="24"/>
          <w:szCs w:val="24"/>
        </w:rPr>
        <w:sectPr>
          <w:footerReference r:id="rId5" w:type="default"/>
          <w:pgSz w:w="11906" w:h="16838"/>
          <w:pgMar w:top="1440" w:right="1800" w:bottom="1440" w:left="1800" w:header="851" w:footer="992" w:gutter="0"/>
          <w:pgNumType w:fmt="decimal" w:start="1"/>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w:t>
      </w:r>
      <w:r>
        <w:rPr>
          <w:rFonts w:ascii="宋体" w:hAnsi="宋体" w:eastAsia="宋体" w:cs="宋体"/>
          <w:sz w:val="24"/>
          <w:szCs w:val="24"/>
        </w:rPr>
        <w:br w:type="textWrapping"/>
      </w:r>
      <w:r>
        <w:rPr>
          <w:rFonts w:ascii="宋体" w:hAnsi="宋体" w:eastAsia="宋体" w:cs="宋体"/>
          <w:sz w:val="24"/>
          <w:szCs w:val="24"/>
        </w:rPr>
        <w:t>XXX有限公司</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法定代表人:</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地址:</w:t>
      </w:r>
      <w:r>
        <w:rPr>
          <w:rFonts w:ascii="宋体" w:hAnsi="宋体" w:eastAsia="宋体" w:cs="宋体"/>
          <w:sz w:val="24"/>
          <w:szCs w:val="24"/>
        </w:rPr>
        <w:br w:type="textWrapping"/>
      </w:r>
      <w:r>
        <w:rPr>
          <w:rFonts w:ascii="宋体" w:hAnsi="宋体" w:eastAsia="宋体" w:cs="宋体"/>
          <w:sz w:val="24"/>
          <w:szCs w:val="24"/>
        </w:rPr>
        <w:t>电话:</w:t>
      </w:r>
      <w:r>
        <w:rPr>
          <w:rFonts w:ascii="宋体" w:hAnsi="宋体" w:eastAsia="宋体" w:cs="宋体"/>
          <w:sz w:val="24"/>
          <w:szCs w:val="24"/>
        </w:rPr>
        <w:br w:type="textWrapping"/>
      </w:r>
      <w:r>
        <w:rPr>
          <w:rFonts w:ascii="宋体" w:hAnsi="宋体" w:eastAsia="宋体" w:cs="宋体"/>
          <w:sz w:val="24"/>
          <w:szCs w:val="24"/>
        </w:rPr>
        <w:t>传真: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乙方</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姓名：</w:t>
      </w:r>
      <w:r>
        <w:rPr>
          <w:rFonts w:ascii="宋体" w:hAnsi="宋体" w:eastAsia="宋体" w:cs="宋体"/>
          <w:sz w:val="24"/>
          <w:szCs w:val="24"/>
        </w:rPr>
        <w:br w:type="textWrapping"/>
      </w:r>
      <w:r>
        <w:rPr>
          <w:rFonts w:ascii="宋体" w:hAnsi="宋体" w:eastAsia="宋体" w:cs="宋体"/>
          <w:sz w:val="24"/>
          <w:szCs w:val="24"/>
        </w:rPr>
        <w:t>身份证号码:</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身份证地址: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现住址: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联系电话:</w:t>
      </w: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sectPr>
          <w:type w:val="continuous"/>
          <w:pgSz w:w="11906" w:h="16838"/>
          <w:pgMar w:top="1440" w:right="1800" w:bottom="1440" w:left="1800" w:header="851" w:footer="992" w:gutter="0"/>
          <w:pgNumType w:fmt="decimal"/>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为了激励乙方长期稳定服务于</w:t>
      </w:r>
      <w:r>
        <w:rPr>
          <w:rFonts w:hint="eastAsia" w:ascii="宋体" w:hAnsi="宋体" w:eastAsia="宋体" w:cs="宋体"/>
          <w:sz w:val="24"/>
          <w:szCs w:val="24"/>
          <w:lang w:val="en-US" w:eastAsia="zh-CN"/>
        </w:rPr>
        <w:t>XXX</w:t>
      </w:r>
      <w:r>
        <w:rPr>
          <w:rFonts w:ascii="宋体" w:hAnsi="宋体" w:eastAsia="宋体" w:cs="宋体"/>
          <w:sz w:val="24"/>
          <w:szCs w:val="24"/>
        </w:rPr>
        <w:t>有限公司(以下称甲方或简称公司)，促进乙方努力工作，根据甲方《股权激励管理办法(135渐进式激励法》(以下简称《管理办法》)的规定，鉴于乙方已通过三年在职分红考核期，经评定，甲方决定对乙方进行注册股激励，甲乙双方就有关事项达成以下协议:</w:t>
      </w:r>
    </w:p>
    <w:p>
      <w:pPr>
        <w:pStyle w:val="2"/>
        <w:numPr>
          <w:ilvl w:val="0"/>
          <w:numId w:val="1"/>
        </w:numPr>
        <w:bidi w:val="0"/>
        <w:rPr>
          <w:rFonts w:ascii="宋体" w:hAnsi="宋体" w:eastAsia="宋体" w:cs="宋体"/>
          <w:szCs w:val="24"/>
        </w:rPr>
      </w:pPr>
      <w:r>
        <w:t>术语解释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持股平台:本办法所称持股平台是指持有公司股份，以对激励对象进行股权激励为目的而设立的有限合伙企业。</w:t>
      </w:r>
    </w:p>
    <w:p>
      <w:pPr>
        <w:pStyle w:val="2"/>
        <w:bidi w:val="0"/>
      </w:pPr>
      <w:r>
        <w:t>第二条</w:t>
      </w:r>
      <w:r>
        <w:rPr>
          <w:rFonts w:hint="eastAsia"/>
          <w:lang w:val="en-US" w:eastAsia="zh-CN"/>
        </w:rPr>
        <w:t xml:space="preserve"> </w:t>
      </w:r>
      <w:r>
        <w:t>公估值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公司信值按以下方式计算: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公司估值</w:t>
      </w:r>
      <w:r>
        <w:rPr>
          <w:rFonts w:hint="eastAsia" w:ascii="宋体" w:hAnsi="宋体" w:eastAsia="宋体" w:cs="宋体"/>
          <w:sz w:val="24"/>
          <w:szCs w:val="24"/>
          <w:lang w:val="en-US" w:eastAsia="zh-CN"/>
        </w:rPr>
        <w:t>=</w:t>
      </w:r>
      <w:r>
        <w:rPr>
          <w:rFonts w:ascii="宋体" w:hAnsi="宋体" w:eastAsia="宋体" w:cs="宋体"/>
          <w:sz w:val="24"/>
          <w:szCs w:val="24"/>
        </w:rPr>
        <w:t>前十二个月净利润总额</w:t>
      </w:r>
      <w:r>
        <w:rPr>
          <w:rFonts w:hint="eastAsia" w:ascii="宋体" w:hAnsi="宋体" w:eastAsia="宋体" w:cs="宋体"/>
          <w:sz w:val="24"/>
          <w:szCs w:val="24"/>
        </w:rPr>
        <w:t>×</w:t>
      </w:r>
      <w:r>
        <w:rPr>
          <w:rFonts w:hint="eastAsia" w:ascii="宋体" w:hAnsi="宋体" w:eastAsia="宋体" w:cs="宋体"/>
          <w:sz w:val="24"/>
          <w:szCs w:val="24"/>
          <w:lang w:val="en-US" w:eastAsia="zh-CN"/>
        </w:rPr>
        <w:t>5</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若按以上方式计算的公司估值低于公司净资产，则公司估值取公司净资产</w:t>
      </w:r>
      <w:r>
        <w:rPr>
          <w:rFonts w:hint="eastAsia" w:ascii="宋体" w:hAnsi="宋体" w:eastAsia="宋体" w:cs="宋体"/>
          <w:sz w:val="24"/>
          <w:szCs w:val="24"/>
          <w:lang w:eastAsia="zh-CN"/>
        </w:rPr>
        <w:t>。</w:t>
      </w:r>
    </w:p>
    <w:p>
      <w:pPr>
        <w:pStyle w:val="2"/>
        <w:bidi w:val="0"/>
      </w:pPr>
      <w:r>
        <w:rPr>
          <w:rFonts w:hint="eastAsia"/>
          <w:lang w:eastAsia="zh-CN"/>
        </w:rPr>
        <w:t>第三条</w:t>
      </w:r>
      <w:r>
        <w:rPr>
          <w:rFonts w:hint="eastAsia"/>
          <w:lang w:val="en-US" w:eastAsia="zh-CN"/>
        </w:rPr>
        <w:t xml:space="preserve"> </w:t>
      </w:r>
      <w:r>
        <w:t>购股价格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购股款</w:t>
      </w:r>
      <w:r>
        <w:rPr>
          <w:rFonts w:hint="eastAsia" w:ascii="宋体" w:hAnsi="宋体" w:eastAsia="宋体" w:cs="宋体"/>
          <w:sz w:val="24"/>
          <w:szCs w:val="24"/>
          <w:lang w:val="en-US" w:eastAsia="zh-CN"/>
        </w:rPr>
        <w:t>=</w:t>
      </w:r>
      <w:r>
        <w:rPr>
          <w:rFonts w:ascii="宋体" w:hAnsi="宋体" w:eastAsia="宋体" w:cs="宋体"/>
          <w:sz w:val="24"/>
          <w:szCs w:val="24"/>
        </w:rPr>
        <w:t>公司估值</w:t>
      </w:r>
      <w:r>
        <w:rPr>
          <w:rFonts w:hint="eastAsia" w:ascii="宋体" w:hAnsi="宋体" w:eastAsia="宋体" w:cs="宋体"/>
          <w:sz w:val="24"/>
          <w:szCs w:val="24"/>
        </w:rPr>
        <w:t>×</w:t>
      </w:r>
      <w:r>
        <w:rPr>
          <w:rFonts w:ascii="宋体" w:hAnsi="宋体" w:eastAsia="宋体" w:cs="宋体"/>
          <w:sz w:val="24"/>
          <w:szCs w:val="24"/>
        </w:rPr>
        <w:t>激励对象注册股激励份额</w:t>
      </w:r>
    </w:p>
    <w:p>
      <w:pPr>
        <w:pStyle w:val="2"/>
        <w:numPr>
          <w:ilvl w:val="0"/>
          <w:numId w:val="2"/>
        </w:numPr>
        <w:bidi w:val="0"/>
      </w:pPr>
      <w:r>
        <w:t>授予数量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甲方授予乙方(1%)的注册股份额。</w:t>
      </w:r>
    </w:p>
    <w:p>
      <w:pPr>
        <w:pStyle w:val="2"/>
        <w:numPr>
          <w:ilvl w:val="0"/>
          <w:numId w:val="2"/>
        </w:numPr>
        <w:bidi w:val="0"/>
      </w:pPr>
      <w:r>
        <w:t>锁定期</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20" w:firstLineChars="0"/>
        <w:textAlignment w:val="auto"/>
        <w:rPr>
          <w:rFonts w:hint="default"/>
          <w:lang w:val="en-US" w:eastAsia="zh-CN"/>
        </w:rPr>
      </w:pPr>
      <w:r>
        <w:rPr>
          <w:rFonts w:ascii="宋体" w:hAnsi="宋体" w:eastAsia="宋体" w:cs="宋体"/>
          <w:sz w:val="24"/>
          <w:szCs w:val="24"/>
        </w:rPr>
        <w:t>锁定期时间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乙方获授注册股份额后，进入锁定期，锁定期为五年，自2025年1月1日起，至2029年12月31日止。</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锁定标的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锁定标的包括乙方已经缴纳购股款和尚未缴纳购股款的注册股份额。</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乙方锁定期权利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锁定期内，乙方享有已缴纳购股款的股份的分红收益，除此以外，不享有其他股东权利。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公司从年度税后利润中提取定比例，用于乙方和其他激励对象锁定股份份额的分红。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锁定期内，乙方依本协议获得的分红收益属于工资薪金收入，适用国家关于工资新金收入的纳税规定，由甲方代扣代缴。</w:t>
      </w:r>
    </w:p>
    <w:p>
      <w:pPr>
        <w:pStyle w:val="2"/>
        <w:numPr>
          <w:ilvl w:val="0"/>
          <w:numId w:val="2"/>
        </w:numPr>
        <w:bidi w:val="0"/>
      </w:pPr>
      <w:r>
        <w:t>购股价格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按第三条约定，乙方需缴纳(200,000)元购股款。</w:t>
      </w:r>
    </w:p>
    <w:p>
      <w:pPr>
        <w:pStyle w:val="2"/>
        <w:numPr>
          <w:ilvl w:val="0"/>
          <w:numId w:val="2"/>
        </w:numPr>
        <w:bidi w:val="0"/>
      </w:pPr>
      <w:r>
        <w:t>缴纳购股款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乙方购股款平均分五期缴纳，每年为一期，每期缴纳购股款40,000元。乙方每期购股款的缴款日期为每年一月。乙方逾期不缴纳购股款，视为放弃当期购股资格。</w:t>
      </w:r>
    </w:p>
    <w:p>
      <w:pPr>
        <w:pStyle w:val="2"/>
        <w:numPr>
          <w:ilvl w:val="0"/>
          <w:numId w:val="2"/>
        </w:numPr>
        <w:bidi w:val="0"/>
      </w:pPr>
      <w:r>
        <w:t>购股保证金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乙方缴纳的首期购股款同时作为全部获授注册股份额的购股保证金。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乙方违约，甲方按下面两种方式之一扣减保证金:</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Chars="200"/>
        <w:textAlignment w:val="auto"/>
        <w:rPr>
          <w:rFonts w:hint="eastAsia" w:ascii="宋体" w:hAnsi="宋体" w:eastAsia="宋体" w:cs="宋体"/>
          <w:sz w:val="24"/>
          <w:szCs w:val="24"/>
          <w:lang w:eastAsia="zh-CN"/>
        </w:rPr>
      </w:pPr>
      <w:r>
        <w:rPr>
          <w:rFonts w:ascii="宋体" w:hAnsi="宋体" w:eastAsia="宋体" w:cs="宋体"/>
          <w:sz w:val="24"/>
          <w:szCs w:val="24"/>
        </w:rPr>
        <w:t>若已发放给乙方的在职分红大于保证金，则扣回相当于保证金数额的在职分红</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420" w:leftChars="200" w:firstLine="0" w:firstLineChars="0"/>
        <w:textAlignment w:val="auto"/>
        <w:rPr>
          <w:rFonts w:ascii="宋体" w:hAnsi="宋体" w:eastAsia="宋体" w:cs="宋体"/>
          <w:sz w:val="24"/>
          <w:szCs w:val="24"/>
        </w:rPr>
      </w:pPr>
      <w:r>
        <w:rPr>
          <w:rFonts w:ascii="宋体" w:hAnsi="宋体" w:eastAsia="宋体" w:cs="宋体"/>
          <w:sz w:val="24"/>
          <w:szCs w:val="24"/>
        </w:rPr>
        <w:t>若已发放给乙方的在职分红小于保证金，则扣回已发放的在职分红。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以下称“扣减保证金”均指按本条的方式操作。</w:t>
      </w:r>
    </w:p>
    <w:p>
      <w:pPr>
        <w:pStyle w:val="2"/>
        <w:numPr>
          <w:ilvl w:val="0"/>
          <w:numId w:val="2"/>
        </w:numPr>
        <w:bidi w:val="0"/>
      </w:pPr>
      <w:r>
        <w:t>因乙方原因导致的激励资格和权益的变动</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乙方与甲方协商一致解除劳动合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乙方分红收益权终止，甲方退回乙方已经缴纳的全部购股款及年利率6%的利息，退回保证金，获授注册股份额由甲方收回。</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乙方提出解除劳动合同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乙方分红收益权终止，甲方退回乙方已经缴纳的全部购股款及年利率6%的利息，退回保证金，获授注册股份额由甲方收回。</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乙方严重违纪，公司解除劳动合同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乙方分红收益权终止，甲方退回乙方已经缴纳的全部购股款及年利率6%的利息，退回保证金，获授注册股份额由甲方收回。</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乙方晋升、降级、调岗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根据新岗位价值调整激励数量:若增加额度，则激励对象需按照原价格补齐购股款;若降低激励额度，则公司按照原价格回购降低额度对应的购股款。</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乙方放弃购股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乙方不按期缴纳购股款，放弃购股，则乙方当期购股资格失效，甲方可相应地调整授予乙方的获授注册股份额。</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乙方死亡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按下列两种金额计算方式的较高者回购乙方已缴纳购股款和公司赠送的相应部分的股票，退回保证金，尚未缴纳购股款的注册股份额由甲方收回:</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当时乙方所持的股份估值</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乙方已缴纳的购股款加年利率6%的利息。</w:t>
      </w:r>
    </w:p>
    <w:p>
      <w:pPr>
        <w:pStyle w:val="2"/>
        <w:numPr>
          <w:ilvl w:val="0"/>
          <w:numId w:val="2"/>
        </w:numPr>
        <w:bidi w:val="0"/>
      </w:pPr>
      <w:r>
        <w:t>因甲方原因导致的乙方激励资格和权益的变动</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股权融资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甲方进行对外股权融资时，根据实际情况按下列方式之一处理:</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激励计划不变，或视情况调整乙方获授注册股份额。</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提前结束锁定期，进行工商注册登记(补齐全款，注册全部股份，或仅注册已缴款的股份)。</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与投资机构协商后，回购部分或全部已缴纳购股款的股份。</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公司合并、分立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激励计划不变或视情况进行调整。</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启动上市计划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提前结束锁定期，缴齐全部购股款，参与股改。</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公司进行经济性裁员，被裁人员包括激励对象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分红收益权终止，退回已经缴纳的全部购股款及年利率6%的利息，退回保证金，注册股份额由甲方收回。</w:t>
      </w:r>
    </w:p>
    <w:p>
      <w:pPr>
        <w:pStyle w:val="2"/>
        <w:numPr>
          <w:ilvl w:val="0"/>
          <w:numId w:val="2"/>
        </w:numPr>
        <w:bidi w:val="0"/>
      </w:pPr>
      <w:r>
        <w:t>锁定期结束后乙方股票的处置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乙方通过五年锁定期后，根据甲乙双方协商，按下列方式之一处置乙方股票:</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办理工商注册登记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甲方建立股权激励持股平台，持股平台占甲方主体公司股权比例的20%。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乙方在持股平台注册成为LP,其可注册的激励份额按比例兑换成持股平台(5%)的财产份额。</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按第三条确定的锁定期结束时的购股价格，由甲方回购乙方股票。</w:t>
      </w:r>
    </w:p>
    <w:p>
      <w:pPr>
        <w:pStyle w:val="2"/>
        <w:bidi w:val="0"/>
      </w:pPr>
      <w:r>
        <w:t>第十二条</w:t>
      </w:r>
      <w:r>
        <w:rPr>
          <w:rFonts w:hint="eastAsia"/>
          <w:lang w:val="en-US" w:eastAsia="zh-CN"/>
        </w:rPr>
        <w:t xml:space="preserve"> </w:t>
      </w:r>
      <w:r>
        <w:t>无排他性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本协议不影响甲方自由决定对其他员工进行股权激励，不影响甲方自由决定对外股权融资，发行债券，规划上市，增加或减少注册资本，进行公司合并、分立或解散，出售公司资产等合法行为。</w:t>
      </w:r>
    </w:p>
    <w:p>
      <w:pPr>
        <w:pStyle w:val="2"/>
        <w:bidi w:val="0"/>
      </w:pPr>
      <w:r>
        <w:rPr>
          <w:rFonts w:hint="eastAsia"/>
          <w:lang w:eastAsia="zh-CN"/>
        </w:rPr>
        <w:t>第十三条</w:t>
      </w:r>
      <w:r>
        <w:rPr>
          <w:rFonts w:hint="eastAsia"/>
          <w:lang w:val="en-US" w:eastAsia="zh-CN"/>
        </w:rPr>
        <w:t xml:space="preserve"> </w:t>
      </w:r>
      <w:r>
        <w:t>非劳动关系证明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签订本协议不意味着乙方获得甲方对其的雇佣承诺。乙方与甲方的劳动关系，依照乙方与甲方签订的劳动合同办理。</w:t>
      </w:r>
    </w:p>
    <w:p>
      <w:pPr>
        <w:pStyle w:val="2"/>
        <w:numPr>
          <w:ilvl w:val="0"/>
          <w:numId w:val="10"/>
        </w:numPr>
        <w:bidi w:val="0"/>
      </w:pPr>
      <w:r>
        <w:t>协议生</w:t>
      </w:r>
      <w:bookmarkStart w:id="0" w:name="_GoBack"/>
      <w:bookmarkEnd w:id="0"/>
      <w:r>
        <w:t>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本协议经甲乙双方签字盖章后生效。本协议一式两份，甲乙双方各执-份。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甲方(盖章):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授权代表(签字):</w:t>
            </w:r>
            <w:r>
              <w:rPr>
                <w:rFonts w:ascii="宋体" w:hAnsi="宋体" w:eastAsia="宋体" w:cs="宋体"/>
                <w:sz w:val="24"/>
                <w:szCs w:val="24"/>
              </w:rPr>
              <w:br w:type="textWrapping"/>
            </w:r>
            <w:r>
              <w:rPr>
                <w:rFonts w:ascii="宋体" w:hAnsi="宋体" w:eastAsia="宋体" w:cs="宋体"/>
                <w:sz w:val="24"/>
                <w:szCs w:val="24"/>
              </w:rPr>
              <w:br w:type="textWrapping"/>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乙方(签字):</w:t>
            </w:r>
            <w:r>
              <w:rPr>
                <w:rFonts w:ascii="宋体" w:hAnsi="宋体" w:eastAsia="宋体" w:cs="宋体"/>
                <w:sz w:val="24"/>
                <w:szCs w:val="24"/>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default"/>
          <w:lang w:val="en-US" w:eastAsia="zh-CN"/>
        </w:rPr>
      </w:pPr>
    </w:p>
    <w:sectPr>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股权激励协议—参考范本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8B93BF"/>
    <w:multiLevelType w:val="singleLevel"/>
    <w:tmpl w:val="838B93BF"/>
    <w:lvl w:ilvl="0" w:tentative="0">
      <w:start w:val="1"/>
      <w:numFmt w:val="upperLetter"/>
      <w:lvlText w:val="%1."/>
      <w:lvlJc w:val="left"/>
      <w:pPr>
        <w:tabs>
          <w:tab w:val="left" w:pos="312"/>
        </w:tabs>
      </w:pPr>
    </w:lvl>
  </w:abstractNum>
  <w:abstractNum w:abstractNumId="1">
    <w:nsid w:val="9F77BF5A"/>
    <w:multiLevelType w:val="singleLevel"/>
    <w:tmpl w:val="9F77BF5A"/>
    <w:lvl w:ilvl="0" w:tentative="0">
      <w:start w:val="1"/>
      <w:numFmt w:val="chineseCounting"/>
      <w:suff w:val="space"/>
      <w:lvlText w:val="第%1条"/>
      <w:lvlJc w:val="left"/>
      <w:rPr>
        <w:rFonts w:hint="eastAsia"/>
      </w:rPr>
    </w:lvl>
  </w:abstractNum>
  <w:abstractNum w:abstractNumId="2">
    <w:nsid w:val="C0952B81"/>
    <w:multiLevelType w:val="singleLevel"/>
    <w:tmpl w:val="C0952B81"/>
    <w:lvl w:ilvl="0" w:tentative="0">
      <w:start w:val="14"/>
      <w:numFmt w:val="chineseCounting"/>
      <w:suff w:val="space"/>
      <w:lvlText w:val="第%1条"/>
      <w:lvlJc w:val="left"/>
      <w:rPr>
        <w:rFonts w:hint="eastAsia"/>
      </w:rPr>
    </w:lvl>
  </w:abstractNum>
  <w:abstractNum w:abstractNumId="3">
    <w:nsid w:val="CA0FF49F"/>
    <w:multiLevelType w:val="singleLevel"/>
    <w:tmpl w:val="CA0FF49F"/>
    <w:lvl w:ilvl="0" w:tentative="0">
      <w:start w:val="1"/>
      <w:numFmt w:val="chineseCounting"/>
      <w:suff w:val="nothing"/>
      <w:lvlText w:val="（%1）"/>
      <w:lvlJc w:val="left"/>
      <w:pPr>
        <w:ind w:left="0" w:firstLine="420"/>
      </w:pPr>
      <w:rPr>
        <w:rFonts w:hint="eastAsia"/>
      </w:rPr>
    </w:lvl>
  </w:abstractNum>
  <w:abstractNum w:abstractNumId="4">
    <w:nsid w:val="F09E37B1"/>
    <w:multiLevelType w:val="singleLevel"/>
    <w:tmpl w:val="F09E37B1"/>
    <w:lvl w:ilvl="0" w:tentative="0">
      <w:start w:val="1"/>
      <w:numFmt w:val="chineseCounting"/>
      <w:suff w:val="nothing"/>
      <w:lvlText w:val="（%1）"/>
      <w:lvlJc w:val="left"/>
      <w:pPr>
        <w:ind w:left="0" w:firstLine="420"/>
      </w:pPr>
      <w:rPr>
        <w:rFonts w:hint="eastAsia"/>
      </w:rPr>
    </w:lvl>
  </w:abstractNum>
  <w:abstractNum w:abstractNumId="5">
    <w:nsid w:val="F8E33225"/>
    <w:multiLevelType w:val="singleLevel"/>
    <w:tmpl w:val="F8E33225"/>
    <w:lvl w:ilvl="0" w:tentative="0">
      <w:start w:val="1"/>
      <w:numFmt w:val="chineseCounting"/>
      <w:suff w:val="nothing"/>
      <w:lvlText w:val="（%1）"/>
      <w:lvlJc w:val="left"/>
      <w:pPr>
        <w:ind w:left="0" w:firstLine="420"/>
      </w:pPr>
      <w:rPr>
        <w:rFonts w:hint="eastAsia"/>
      </w:rPr>
    </w:lvl>
  </w:abstractNum>
  <w:abstractNum w:abstractNumId="6">
    <w:nsid w:val="FDA27DB5"/>
    <w:multiLevelType w:val="singleLevel"/>
    <w:tmpl w:val="FDA27DB5"/>
    <w:lvl w:ilvl="0" w:tentative="0">
      <w:start w:val="1"/>
      <w:numFmt w:val="upperLetter"/>
      <w:lvlText w:val="%1."/>
      <w:lvlJc w:val="left"/>
      <w:pPr>
        <w:tabs>
          <w:tab w:val="left" w:pos="312"/>
        </w:tabs>
      </w:pPr>
    </w:lvl>
  </w:abstractNum>
  <w:abstractNum w:abstractNumId="7">
    <w:nsid w:val="FFCD89D9"/>
    <w:multiLevelType w:val="singleLevel"/>
    <w:tmpl w:val="FFCD89D9"/>
    <w:lvl w:ilvl="0" w:tentative="0">
      <w:start w:val="1"/>
      <w:numFmt w:val="upperLetter"/>
      <w:lvlText w:val="%1."/>
      <w:lvlJc w:val="left"/>
      <w:pPr>
        <w:tabs>
          <w:tab w:val="left" w:pos="312"/>
        </w:tabs>
      </w:pPr>
    </w:lvl>
  </w:abstractNum>
  <w:abstractNum w:abstractNumId="8">
    <w:nsid w:val="5CE8BB01"/>
    <w:multiLevelType w:val="singleLevel"/>
    <w:tmpl w:val="5CE8BB01"/>
    <w:lvl w:ilvl="0" w:tentative="0">
      <w:start w:val="4"/>
      <w:numFmt w:val="chineseCounting"/>
      <w:suff w:val="space"/>
      <w:lvlText w:val="第%1条"/>
      <w:lvlJc w:val="left"/>
      <w:rPr>
        <w:rFonts w:hint="eastAsia"/>
      </w:rPr>
    </w:lvl>
  </w:abstractNum>
  <w:abstractNum w:abstractNumId="9">
    <w:nsid w:val="64996B43"/>
    <w:multiLevelType w:val="singleLevel"/>
    <w:tmpl w:val="64996B43"/>
    <w:lvl w:ilvl="0" w:tentative="0">
      <w:start w:val="1"/>
      <w:numFmt w:val="upperLetter"/>
      <w:lvlText w:val="%1."/>
      <w:lvlJc w:val="left"/>
      <w:pPr>
        <w:tabs>
          <w:tab w:val="left" w:pos="312"/>
        </w:tabs>
      </w:pPr>
    </w:lvl>
  </w:abstractNum>
  <w:num w:numId="1">
    <w:abstractNumId w:val="1"/>
  </w:num>
  <w:num w:numId="2">
    <w:abstractNumId w:val="8"/>
  </w:num>
  <w:num w:numId="3">
    <w:abstractNumId w:val="5"/>
  </w:num>
  <w:num w:numId="4">
    <w:abstractNumId w:val="7"/>
  </w:num>
  <w:num w:numId="5">
    <w:abstractNumId w:val="3"/>
  </w:num>
  <w:num w:numId="6">
    <w:abstractNumId w:val="9"/>
  </w:num>
  <w:num w:numId="7">
    <w:abstractNumId w:val="4"/>
  </w:num>
  <w:num w:numId="8">
    <w:abstractNumId w:val="0"/>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442952"/>
    <w:rsid w:val="3B4200E1"/>
    <w:rsid w:val="47CF5376"/>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2021-07-27T08:25:21Z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