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XXX有限责任公司</w:t>
      </w:r>
    </w:p>
    <w:p>
      <w:pPr>
        <w:jc w:val="center"/>
        <w:rPr>
          <w:rFonts w:hint="default"/>
          <w:b/>
          <w:bCs/>
          <w:sz w:val="36"/>
          <w:szCs w:val="36"/>
          <w:lang w:val="en-US" w:eastAsia="zh-CN"/>
        </w:rPr>
      </w:pPr>
      <w:r>
        <w:rPr>
          <w:rFonts w:hint="eastAsia"/>
          <w:b/>
          <w:bCs/>
          <w:sz w:val="36"/>
          <w:szCs w:val="36"/>
          <w:lang w:val="en-US" w:eastAsia="zh-CN"/>
        </w:rPr>
        <w:t>20XX年员工超额利润分红激励方案</w:t>
      </w:r>
    </w:p>
    <w:p>
      <w:pPr>
        <w:bidi w:val="0"/>
        <w:jc w:val="center"/>
        <w:rPr>
          <w:rFonts w:hint="eastAsia"/>
          <w:sz w:val="28"/>
          <w:szCs w:val="28"/>
          <w:lang w:val="en-US" w:eastAsia="zh-CN"/>
        </w:rPr>
      </w:pPr>
      <w:r>
        <w:rPr>
          <w:rFonts w:hint="eastAsia"/>
          <w:sz w:val="28"/>
          <w:szCs w:val="28"/>
          <w:lang w:val="en-US" w:eastAsia="zh-CN"/>
        </w:rPr>
        <w:t>文件编号：</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pPr>
    </w:p>
    <w:p>
      <w:pPr>
        <w:rPr>
          <w:rFonts w:hint="default"/>
          <w:lang w:val="en-US" w:eastAsia="zh-CN"/>
        </w:rPr>
      </w:pPr>
    </w:p>
    <w:p>
      <w:pPr>
        <w:rPr>
          <w:rFonts w:hint="default"/>
          <w:lang w:val="en-US" w:eastAsia="zh-CN"/>
        </w:rPr>
        <w:sectPr>
          <w:headerReference r:id="rId3" w:type="default"/>
          <w:pgSz w:w="11906" w:h="16838"/>
          <w:pgMar w:top="1440" w:right="1800" w:bottom="1440" w:left="1800" w:header="851" w:footer="992" w:gutter="0"/>
          <w:cols w:space="425" w:num="1"/>
          <w:docGrid w:type="lines" w:linePitch="312" w:charSpace="0"/>
        </w:sectPr>
      </w:pPr>
    </w:p>
    <w:p>
      <w:pPr>
        <w:rPr>
          <w:rFonts w:hint="default"/>
          <w:lang w:val="en-US" w:eastAsia="zh-CN"/>
        </w:rPr>
      </w:pPr>
    </w:p>
    <w:p>
      <w:pPr>
        <w:spacing w:after="240" w:afterAutospacing="0"/>
        <w:jc w:val="center"/>
        <w:rPr>
          <w:rFonts w:ascii="宋体" w:hAnsi="宋体" w:eastAsia="宋体" w:cs="宋体"/>
          <w:b/>
          <w:bCs/>
          <w:sz w:val="24"/>
          <w:szCs w:val="24"/>
        </w:rPr>
      </w:pPr>
      <w:r>
        <w:rPr>
          <w:rFonts w:ascii="宋体" w:hAnsi="宋体" w:eastAsia="宋体" w:cs="宋体"/>
          <w:b/>
          <w:bCs/>
          <w:sz w:val="24"/>
          <w:szCs w:val="24"/>
        </w:rPr>
        <w:t>说明</w:t>
      </w:r>
    </w:p>
    <w:p>
      <w:pPr>
        <w:numPr>
          <w:ilvl w:val="0"/>
          <w:numId w:val="2"/>
        </w:numPr>
        <w:spacing w:after="240" w:afterAutospacing="0"/>
        <w:rPr>
          <w:rFonts w:ascii="宋体" w:hAnsi="宋体" w:eastAsia="宋体" w:cs="宋体"/>
          <w:sz w:val="24"/>
          <w:szCs w:val="24"/>
        </w:rPr>
      </w:pPr>
      <w:r>
        <w:rPr>
          <w:rFonts w:hint="eastAsia" w:ascii="宋体" w:hAnsi="宋体" w:eastAsia="宋体" w:cs="宋体"/>
          <w:sz w:val="24"/>
          <w:szCs w:val="24"/>
          <w:lang w:eastAsia="zh-CN"/>
        </w:rPr>
        <w:t>本</w:t>
      </w:r>
      <w:r>
        <w:rPr>
          <w:rFonts w:ascii="宋体" w:hAnsi="宋体" w:eastAsia="宋体" w:cs="宋体"/>
          <w:sz w:val="24"/>
          <w:szCs w:val="24"/>
        </w:rPr>
        <w:t>激励方案根据《中华人民共和国公司法》及其它有关法律、法规，以及《xx</w:t>
      </w:r>
      <w:r>
        <w:rPr>
          <w:rFonts w:hint="eastAsia" w:ascii="宋体" w:hAnsi="宋体" w:eastAsia="宋体" w:cs="宋体"/>
          <w:sz w:val="24"/>
          <w:szCs w:val="24"/>
          <w:lang w:val="en-US" w:eastAsia="zh-CN"/>
        </w:rPr>
        <w:t>x</w:t>
      </w:r>
      <w:r>
        <w:rPr>
          <w:rFonts w:ascii="宋体" w:hAnsi="宋体" w:eastAsia="宋体" w:cs="宋体"/>
          <w:sz w:val="24"/>
          <w:szCs w:val="24"/>
        </w:rPr>
        <w:t>有限责任公司章程》制定。</w:t>
      </w:r>
    </w:p>
    <w:p>
      <w:pPr>
        <w:numPr>
          <w:ilvl w:val="0"/>
          <w:numId w:val="0"/>
        </w:numPr>
        <w:spacing w:after="240" w:afterAutospacing="0"/>
        <w:ind w:leftChars="0"/>
        <w:rPr>
          <w:rFonts w:hint="default"/>
          <w:sz w:val="24"/>
          <w:szCs w:val="24"/>
          <w:lang w:val="en-US" w:eastAsia="zh-CN"/>
        </w:rPr>
      </w:pPr>
      <w:r>
        <w:rPr>
          <w:rFonts w:hint="eastAsia" w:ascii="宋体" w:hAnsi="宋体" w:eastAsia="宋体" w:cs="宋体"/>
          <w:sz w:val="24"/>
          <w:szCs w:val="24"/>
          <w:lang w:val="en-US" w:eastAsia="zh-CN"/>
        </w:rPr>
        <w:t>2.</w:t>
      </w:r>
      <w:r>
        <w:rPr>
          <w:rFonts w:ascii="宋体" w:hAnsi="宋体" w:eastAsia="宋体" w:cs="宋体"/>
          <w:sz w:val="24"/>
          <w:szCs w:val="24"/>
        </w:rPr>
        <w:t>本激励方案的激励模式是(虚拟股)超额利润激励模式。</w:t>
      </w:r>
    </w:p>
    <w:p>
      <w:pPr>
        <w:numPr>
          <w:ilvl w:val="0"/>
          <w:numId w:val="0"/>
        </w:numPr>
        <w:spacing w:after="240" w:afterAutospacing="0"/>
        <w:ind w:leftChars="0"/>
        <w:rPr>
          <w:rFonts w:hint="eastAsia" w:ascii="宋体" w:hAnsi="宋体" w:eastAsia="宋体" w:cs="宋体"/>
          <w:sz w:val="24"/>
          <w:szCs w:val="24"/>
          <w:lang w:eastAsia="zh-CN"/>
        </w:rPr>
      </w:pPr>
      <w:r>
        <w:rPr>
          <w:rFonts w:ascii="宋体" w:hAnsi="宋体" w:eastAsia="宋体" w:cs="宋体"/>
          <w:sz w:val="24"/>
          <w:szCs w:val="24"/>
        </w:rPr>
        <w:t>3.公司出现下列情形之一时，本方案即行终止</w:t>
      </w:r>
      <w:r>
        <w:rPr>
          <w:rFonts w:hint="eastAsia" w:ascii="宋体" w:hAnsi="宋体" w:eastAsia="宋体" w:cs="宋体"/>
          <w:sz w:val="24"/>
          <w:szCs w:val="24"/>
          <w:lang w:eastAsia="zh-CN"/>
        </w:rPr>
        <w:t>：</w:t>
      </w:r>
    </w:p>
    <w:p>
      <w:pPr>
        <w:numPr>
          <w:ilvl w:val="0"/>
          <w:numId w:val="3"/>
        </w:numPr>
        <w:spacing w:after="240" w:afterAutospacing="0"/>
        <w:ind w:left="420" w:leftChars="0" w:hanging="420" w:firstLineChars="0"/>
        <w:rPr>
          <w:rFonts w:hint="default"/>
          <w:sz w:val="24"/>
          <w:szCs w:val="24"/>
          <w:lang w:val="en-US" w:eastAsia="zh-CN"/>
        </w:rPr>
      </w:pPr>
      <w:r>
        <w:rPr>
          <w:rFonts w:ascii="宋体" w:hAnsi="宋体" w:eastAsia="宋体" w:cs="宋体"/>
          <w:sz w:val="24"/>
          <w:szCs w:val="24"/>
        </w:rPr>
        <w:t>公司控制权发生变更</w:t>
      </w:r>
      <w:r>
        <w:rPr>
          <w:rFonts w:hint="eastAsia" w:ascii="宋体" w:hAnsi="宋体" w:eastAsia="宋体" w:cs="宋体"/>
          <w:sz w:val="24"/>
          <w:szCs w:val="24"/>
          <w:lang w:eastAsia="zh-CN"/>
        </w:rPr>
        <w:t>；</w:t>
      </w:r>
    </w:p>
    <w:p>
      <w:pPr>
        <w:numPr>
          <w:ilvl w:val="0"/>
          <w:numId w:val="3"/>
        </w:numPr>
        <w:spacing w:after="240" w:afterAutospacing="0"/>
        <w:ind w:left="420" w:leftChars="0" w:hanging="420" w:firstLineChars="0"/>
        <w:rPr>
          <w:rFonts w:hint="default"/>
          <w:sz w:val="24"/>
          <w:szCs w:val="24"/>
          <w:lang w:val="en-US" w:eastAsia="zh-CN"/>
        </w:rPr>
      </w:pPr>
      <w:r>
        <w:rPr>
          <w:rFonts w:ascii="宋体" w:hAnsi="宋体" w:eastAsia="宋体" w:cs="宋体"/>
          <w:sz w:val="24"/>
          <w:szCs w:val="24"/>
        </w:rPr>
        <w:t>公司出现合并、分立等情形</w:t>
      </w:r>
      <w:r>
        <w:rPr>
          <w:rFonts w:hint="eastAsia" w:ascii="宋体" w:hAnsi="宋体" w:eastAsia="宋体" w:cs="宋体"/>
          <w:sz w:val="24"/>
          <w:szCs w:val="24"/>
          <w:lang w:eastAsia="zh-CN"/>
        </w:rPr>
        <w:t>；</w:t>
      </w:r>
    </w:p>
    <w:p>
      <w:pPr>
        <w:numPr>
          <w:ilvl w:val="0"/>
          <w:numId w:val="3"/>
        </w:numPr>
        <w:spacing w:after="240" w:afterAutospacing="0"/>
        <w:ind w:left="420" w:leftChars="0" w:hanging="420" w:firstLineChars="0"/>
        <w:rPr>
          <w:rFonts w:hint="default"/>
          <w:sz w:val="24"/>
          <w:szCs w:val="24"/>
          <w:lang w:val="en-US" w:eastAsia="zh-CN"/>
        </w:rPr>
      </w:pPr>
      <w:r>
        <w:rPr>
          <w:rFonts w:ascii="宋体" w:hAnsi="宋体" w:eastAsia="宋体" w:cs="宋体"/>
          <w:sz w:val="24"/>
          <w:szCs w:val="24"/>
        </w:rPr>
        <w:t>公司股东会决定终止本激励方案的</w:t>
      </w:r>
      <w:r>
        <w:rPr>
          <w:rFonts w:hint="eastAsia" w:ascii="宋体" w:hAnsi="宋体" w:eastAsia="宋体" w:cs="宋体"/>
          <w:sz w:val="24"/>
          <w:szCs w:val="24"/>
          <w:lang w:eastAsia="zh-CN"/>
        </w:rPr>
        <w:t>；</w:t>
      </w:r>
    </w:p>
    <w:p>
      <w:pPr>
        <w:numPr>
          <w:ilvl w:val="0"/>
          <w:numId w:val="3"/>
        </w:numPr>
        <w:spacing w:after="240" w:afterAutospacing="0"/>
        <w:ind w:left="420" w:leftChars="0" w:hanging="420" w:firstLineChars="0"/>
        <w:rPr>
          <w:rFonts w:hint="default"/>
          <w:lang w:val="en-US" w:eastAsia="zh-CN"/>
        </w:rPr>
        <w:sectPr>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t>国家法律法规等规范性文件规定、国家行政机关认定的其它情形。</w:t>
      </w:r>
    </w:p>
    <w:sdt>
      <w:sdtPr>
        <w:rPr>
          <w:rFonts w:ascii="宋体" w:hAnsi="宋体" w:eastAsia="宋体" w:cstheme="minorBidi"/>
          <w:kern w:val="2"/>
          <w:sz w:val="21"/>
          <w:szCs w:val="24"/>
          <w:lang w:val="en-US" w:eastAsia="zh-CN" w:bidi="ar-SA"/>
        </w:rPr>
        <w:id w:val="147473111"/>
        <w15:color w:val="DBDBDB"/>
        <w:docPartObj>
          <w:docPartGallery w:val="Table of Contents"/>
          <w:docPartUnique/>
        </w:docPartObj>
      </w:sdtPr>
      <w:sdtEndPr>
        <w:rPr>
          <w:rFonts w:ascii="宋体" w:hAnsi="宋体" w:eastAsia="宋体" w:cs="宋体"/>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b/>
              <w:bCs/>
              <w:sz w:val="28"/>
              <w:szCs w:val="28"/>
            </w:rPr>
            <w:t>目录</w:t>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TOC \o "1-1" \h \u </w:instrText>
          </w:r>
          <w:r>
            <w:rPr>
              <w:rFonts w:hint="eastAsia" w:ascii="宋体" w:hAnsi="宋体" w:eastAsia="宋体" w:cs="宋体"/>
              <w:sz w:val="28"/>
              <w:szCs w:val="28"/>
            </w:rPr>
            <w:fldChar w:fldCharType="separate"/>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_Toc20467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1.</w:t>
          </w:r>
          <w:r>
            <w:rPr>
              <w:rFonts w:hint="eastAsia" w:ascii="宋体" w:hAnsi="宋体" w:eastAsia="宋体" w:cs="宋体"/>
              <w:sz w:val="28"/>
              <w:szCs w:val="28"/>
            </w:rPr>
            <w:t>概念释义</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_Toc20467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_Toc13645 </w:instrText>
          </w:r>
          <w:r>
            <w:rPr>
              <w:rFonts w:hint="eastAsia" w:ascii="宋体" w:hAnsi="宋体" w:eastAsia="宋体" w:cs="宋体"/>
              <w:sz w:val="28"/>
              <w:szCs w:val="28"/>
            </w:rPr>
            <w:fldChar w:fldCharType="separate"/>
          </w:r>
          <w:r>
            <w:rPr>
              <w:rFonts w:hint="eastAsia" w:ascii="宋体" w:hAnsi="宋体" w:eastAsia="宋体" w:cs="宋体"/>
              <w:bCs/>
              <w:sz w:val="28"/>
              <w:szCs w:val="28"/>
              <w:lang w:val="en-US" w:eastAsia="zh-CN"/>
            </w:rPr>
            <w:t>2.</w:t>
          </w:r>
          <w:r>
            <w:rPr>
              <w:rFonts w:hint="eastAsia" w:ascii="宋体" w:hAnsi="宋体" w:eastAsia="宋体" w:cs="宋体"/>
              <w:sz w:val="28"/>
              <w:szCs w:val="28"/>
            </w:rPr>
            <w:t>目的</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_Toc13645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_Toc22794 </w:instrText>
          </w:r>
          <w:r>
            <w:rPr>
              <w:rFonts w:hint="eastAsia" w:ascii="宋体" w:hAnsi="宋体" w:eastAsia="宋体" w:cs="宋体"/>
              <w:sz w:val="28"/>
              <w:szCs w:val="28"/>
            </w:rPr>
            <w:fldChar w:fldCharType="separate"/>
          </w:r>
          <w:r>
            <w:rPr>
              <w:rFonts w:hint="eastAsia" w:ascii="宋体" w:hAnsi="宋体" w:eastAsia="宋体" w:cs="宋体"/>
              <w:bCs/>
              <w:sz w:val="28"/>
              <w:szCs w:val="28"/>
              <w:lang w:val="en-US" w:eastAsia="zh-CN"/>
            </w:rPr>
            <w:t>3.</w:t>
          </w:r>
          <w:r>
            <w:rPr>
              <w:rFonts w:hint="eastAsia" w:ascii="宋体" w:hAnsi="宋体" w:eastAsia="宋体" w:cs="宋体"/>
              <w:sz w:val="28"/>
              <w:szCs w:val="28"/>
              <w:lang w:val="en-US" w:eastAsia="zh-CN"/>
            </w:rPr>
            <w:t>基本原则</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_Toc22794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_Toc14120 </w:instrText>
          </w:r>
          <w:r>
            <w:rPr>
              <w:rFonts w:hint="eastAsia" w:ascii="宋体" w:hAnsi="宋体" w:eastAsia="宋体" w:cs="宋体"/>
              <w:sz w:val="28"/>
              <w:szCs w:val="28"/>
            </w:rPr>
            <w:fldChar w:fldCharType="separate"/>
          </w:r>
          <w:r>
            <w:rPr>
              <w:rFonts w:hint="eastAsia" w:ascii="宋体" w:hAnsi="宋体" w:eastAsia="宋体" w:cs="宋体"/>
              <w:bCs/>
              <w:sz w:val="28"/>
              <w:szCs w:val="28"/>
              <w:lang w:val="en-US" w:eastAsia="zh-CN"/>
            </w:rPr>
            <w:t>4.</w:t>
          </w:r>
          <w:r>
            <w:rPr>
              <w:rFonts w:hint="eastAsia" w:ascii="宋体" w:hAnsi="宋体" w:eastAsia="宋体" w:cs="宋体"/>
              <w:sz w:val="28"/>
              <w:szCs w:val="28"/>
            </w:rPr>
            <w:t>管理机构</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_Toc14120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_Toc12993 </w:instrText>
          </w:r>
          <w:r>
            <w:rPr>
              <w:rFonts w:hint="eastAsia" w:ascii="宋体" w:hAnsi="宋体" w:eastAsia="宋体" w:cs="宋体"/>
              <w:sz w:val="28"/>
              <w:szCs w:val="28"/>
            </w:rPr>
            <w:fldChar w:fldCharType="separate"/>
          </w:r>
          <w:r>
            <w:rPr>
              <w:rFonts w:hint="eastAsia" w:ascii="宋体" w:hAnsi="宋体" w:eastAsia="宋体" w:cs="宋体"/>
              <w:bCs/>
              <w:sz w:val="28"/>
              <w:szCs w:val="28"/>
              <w:lang w:val="en-US" w:eastAsia="zh-CN"/>
            </w:rPr>
            <w:t>5.</w:t>
          </w:r>
          <w:r>
            <w:rPr>
              <w:rFonts w:hint="eastAsia" w:ascii="宋体" w:hAnsi="宋体" w:eastAsia="宋体" w:cs="宋体"/>
              <w:sz w:val="28"/>
              <w:szCs w:val="28"/>
            </w:rPr>
            <w:t>激励对象</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_Toc12993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_Toc26695 </w:instrText>
          </w:r>
          <w:r>
            <w:rPr>
              <w:rFonts w:hint="eastAsia" w:ascii="宋体" w:hAnsi="宋体" w:eastAsia="宋体" w:cs="宋体"/>
              <w:sz w:val="28"/>
              <w:szCs w:val="28"/>
            </w:rPr>
            <w:fldChar w:fldCharType="separate"/>
          </w:r>
          <w:r>
            <w:rPr>
              <w:rFonts w:hint="eastAsia" w:ascii="宋体" w:hAnsi="宋体" w:eastAsia="宋体" w:cs="宋体"/>
              <w:bCs/>
              <w:sz w:val="28"/>
              <w:szCs w:val="28"/>
              <w:lang w:val="en-US" w:eastAsia="zh-CN"/>
            </w:rPr>
            <w:t>6.</w:t>
          </w:r>
          <w:r>
            <w:rPr>
              <w:rFonts w:hint="eastAsia" w:ascii="宋体" w:hAnsi="宋体" w:eastAsia="宋体" w:cs="宋体"/>
              <w:sz w:val="28"/>
              <w:szCs w:val="28"/>
            </w:rPr>
            <w:t>激励期限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_Toc26695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_Toc20529 </w:instrText>
          </w:r>
          <w:r>
            <w:rPr>
              <w:rFonts w:hint="eastAsia" w:ascii="宋体" w:hAnsi="宋体" w:eastAsia="宋体" w:cs="宋体"/>
              <w:sz w:val="28"/>
              <w:szCs w:val="28"/>
            </w:rPr>
            <w:fldChar w:fldCharType="separate"/>
          </w:r>
          <w:r>
            <w:rPr>
              <w:rFonts w:hint="eastAsia" w:ascii="宋体" w:hAnsi="宋体" w:eastAsia="宋体" w:cs="宋体"/>
              <w:bCs/>
              <w:sz w:val="28"/>
              <w:szCs w:val="28"/>
              <w:lang w:val="en-US" w:eastAsia="zh-CN"/>
            </w:rPr>
            <w:t>7.</w:t>
          </w:r>
          <w:r>
            <w:rPr>
              <w:rFonts w:hint="eastAsia" w:ascii="宋体" w:hAnsi="宋体" w:eastAsia="宋体" w:cs="宋体"/>
              <w:sz w:val="28"/>
              <w:szCs w:val="28"/>
            </w:rPr>
            <w:t>激励额度</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_Toc20529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_Toc15668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8.</w:t>
          </w:r>
          <w:r>
            <w:rPr>
              <w:rFonts w:hint="eastAsia" w:ascii="宋体" w:hAnsi="宋体" w:eastAsia="宋体" w:cs="宋体"/>
              <w:sz w:val="28"/>
              <w:szCs w:val="28"/>
            </w:rPr>
            <w:t>评估机制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_Toc15668 </w:instrText>
          </w:r>
          <w:r>
            <w:rPr>
              <w:rFonts w:hint="eastAsia" w:ascii="宋体" w:hAnsi="宋体" w:eastAsia="宋体" w:cs="宋体"/>
              <w:sz w:val="28"/>
              <w:szCs w:val="28"/>
            </w:rPr>
            <w:fldChar w:fldCharType="separate"/>
          </w:r>
          <w:r>
            <w:rPr>
              <w:rFonts w:hint="eastAsia"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_Toc8621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9.</w:t>
          </w:r>
          <w:r>
            <w:rPr>
              <w:rFonts w:hint="eastAsia" w:ascii="宋体" w:hAnsi="宋体" w:eastAsia="宋体" w:cs="宋体"/>
              <w:sz w:val="28"/>
              <w:szCs w:val="28"/>
            </w:rPr>
            <w:t>分红支付方式</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_Toc8621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_Toc27299 </w:instrText>
          </w:r>
          <w:r>
            <w:rPr>
              <w:rFonts w:hint="eastAsia" w:ascii="宋体" w:hAnsi="宋体" w:eastAsia="宋体" w:cs="宋体"/>
              <w:sz w:val="28"/>
              <w:szCs w:val="28"/>
            </w:rPr>
            <w:fldChar w:fldCharType="separate"/>
          </w:r>
          <w:r>
            <w:rPr>
              <w:rFonts w:hint="eastAsia" w:ascii="宋体" w:hAnsi="宋体" w:eastAsia="宋体" w:cs="宋体"/>
              <w:sz w:val="28"/>
              <w:szCs w:val="28"/>
            </w:rPr>
            <w:t>10.退出机制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_Toc27299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_Toc9423 </w:instrText>
          </w:r>
          <w:r>
            <w:rPr>
              <w:rFonts w:hint="eastAsia" w:ascii="宋体" w:hAnsi="宋体" w:eastAsia="宋体" w:cs="宋体"/>
              <w:sz w:val="28"/>
              <w:szCs w:val="28"/>
            </w:rPr>
            <w:fldChar w:fldCharType="separate"/>
          </w:r>
          <w:r>
            <w:rPr>
              <w:rFonts w:hint="eastAsia" w:ascii="宋体" w:hAnsi="宋体" w:eastAsia="宋体" w:cs="宋体"/>
              <w:sz w:val="28"/>
              <w:szCs w:val="28"/>
            </w:rPr>
            <w:t>附则</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_Toc9423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pStyle w:val="12"/>
            <w:tabs>
              <w:tab w:val="right" w:leader="dot" w:pos="8306"/>
            </w:tabs>
            <w:rPr>
              <w:rFonts w:hint="eastAsia" w:ascii="宋体" w:hAnsi="宋体" w:eastAsia="宋体" w:cs="宋体"/>
              <w:sz w:val="28"/>
              <w:szCs w:val="28"/>
            </w:rPr>
          </w:pP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20" w:lineRule="exact"/>
            <w:ind w:leftChars="0"/>
            <w:textAlignment w:val="auto"/>
            <w:rPr>
              <w:rFonts w:ascii="宋体" w:hAnsi="宋体" w:eastAsia="宋体" w:cs="宋体"/>
              <w:kern w:val="2"/>
              <w:sz w:val="21"/>
              <w:szCs w:val="24"/>
              <w:lang w:val="en-US" w:eastAsia="zh-CN" w:bidi="ar-SA"/>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8"/>
              <w:szCs w:val="28"/>
            </w:rPr>
            <w:fldChar w:fldCharType="end"/>
          </w:r>
        </w:p>
      </w:sdtContent>
    </w:sdt>
    <w:p>
      <w:pPr>
        <w:numPr>
          <w:ilvl w:val="0"/>
          <w:numId w:val="0"/>
        </w:numPr>
        <w:spacing w:after="240" w:afterAutospacing="0"/>
        <w:ind w:leftChars="0"/>
        <w:rPr>
          <w:rFonts w:ascii="宋体" w:hAnsi="宋体" w:eastAsia="宋体" w:cs="宋体"/>
          <w:sz w:val="24"/>
          <w:szCs w:val="24"/>
        </w:rPr>
      </w:pPr>
    </w:p>
    <w:p>
      <w:pPr>
        <w:pStyle w:val="2"/>
        <w:numPr>
          <w:ilvl w:val="0"/>
          <w:numId w:val="0"/>
        </w:numPr>
        <w:bidi w:val="0"/>
        <w:jc w:val="center"/>
      </w:pPr>
      <w:bookmarkStart w:id="0" w:name="_Toc20467"/>
      <w:r>
        <w:rPr>
          <w:rFonts w:hint="eastAsia"/>
          <w:lang w:val="en-US" w:eastAsia="zh-CN"/>
        </w:rPr>
        <w:t>1.</w:t>
      </w:r>
      <w:r>
        <w:t>概念释义</w:t>
      </w:r>
      <w:bookmarkEnd w:id="0"/>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textAlignment w:val="auto"/>
        <w:rPr>
          <w:rFonts w:hint="eastAsia" w:ascii="宋体" w:hAnsi="宋体" w:eastAsia="宋体" w:cs="宋体"/>
          <w:sz w:val="24"/>
          <w:szCs w:val="24"/>
          <w:lang w:val="en-US" w:eastAsia="zh-CN"/>
        </w:rPr>
      </w:pPr>
      <w:r>
        <w:rPr>
          <w:rFonts w:ascii="宋体" w:hAnsi="宋体" w:eastAsia="宋体" w:cs="宋体"/>
          <w:sz w:val="24"/>
          <w:szCs w:val="24"/>
        </w:rPr>
        <w:t>本方案中，以下概念的含义</w:t>
      </w:r>
      <w:r>
        <w:rPr>
          <w:rFonts w:hint="eastAsia" w:ascii="宋体" w:hAnsi="宋体" w:eastAsia="宋体" w:cs="宋体"/>
          <w:sz w:val="24"/>
          <w:szCs w:val="24"/>
          <w:lang w:val="en-US" w:eastAsia="zh-CN"/>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6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shd w:val="clear" w:color="auto" w:fill="E7E6E6" w:themeFill="background2"/>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highlight w:val="none"/>
                <w:vertAlign w:val="baseline"/>
              </w:rPr>
            </w:pPr>
            <w:r>
              <w:rPr>
                <w:rFonts w:ascii="宋体" w:hAnsi="宋体" w:eastAsia="宋体" w:cs="宋体"/>
                <w:sz w:val="18"/>
                <w:szCs w:val="18"/>
                <w:highlight w:val="none"/>
              </w:rPr>
              <w:t>概念</w:t>
            </w:r>
          </w:p>
        </w:tc>
        <w:tc>
          <w:tcPr>
            <w:tcW w:w="6954" w:type="dxa"/>
            <w:shd w:val="clear" w:color="auto" w:fill="E7E6E6" w:themeFill="background2"/>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highlight w:val="none"/>
                <w:vertAlign w:val="baseline"/>
              </w:rPr>
            </w:pPr>
            <w:r>
              <w:rPr>
                <w:rFonts w:ascii="宋体" w:hAnsi="宋体" w:eastAsia="宋体" w:cs="宋体"/>
                <w:sz w:val="18"/>
                <w:szCs w:val="18"/>
                <w:highlight w:val="none"/>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本公司、公司</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left"/>
              <w:textAlignment w:val="auto"/>
              <w:rPr>
                <w:rFonts w:ascii="宋体" w:hAnsi="宋体" w:eastAsia="宋体" w:cs="宋体"/>
                <w:sz w:val="18"/>
                <w:szCs w:val="18"/>
                <w:vertAlign w:val="baseline"/>
              </w:rPr>
            </w:pPr>
            <w:r>
              <w:rPr>
                <w:rFonts w:ascii="宋体" w:hAnsi="宋体" w:eastAsia="宋体" w:cs="宋体"/>
                <w:sz w:val="18"/>
                <w:szCs w:val="18"/>
              </w:rPr>
              <w:t>XXX有限责任公司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股东会</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left"/>
              <w:textAlignment w:val="auto"/>
              <w:rPr>
                <w:rFonts w:ascii="宋体" w:hAnsi="宋体" w:eastAsia="宋体" w:cs="宋体"/>
                <w:sz w:val="18"/>
                <w:szCs w:val="18"/>
                <w:vertAlign w:val="baseline"/>
              </w:rPr>
            </w:pPr>
            <w:r>
              <w:rPr>
                <w:rFonts w:ascii="宋体" w:hAnsi="宋体" w:eastAsia="宋体" w:cs="宋体"/>
                <w:sz w:val="18"/>
                <w:szCs w:val="18"/>
              </w:rPr>
              <w:t>XXX有限责任公司股东会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董事会</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left"/>
              <w:textAlignment w:val="auto"/>
              <w:rPr>
                <w:rFonts w:ascii="宋体" w:hAnsi="宋体" w:eastAsia="宋体" w:cs="宋体"/>
                <w:sz w:val="18"/>
                <w:szCs w:val="18"/>
                <w:vertAlign w:val="baseline"/>
              </w:rPr>
            </w:pPr>
            <w:r>
              <w:rPr>
                <w:rFonts w:ascii="宋体" w:hAnsi="宋体" w:eastAsia="宋体" w:cs="宋体"/>
                <w:sz w:val="18"/>
                <w:szCs w:val="18"/>
              </w:rPr>
              <w:t>XXX有限责任公司董事会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监事会</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left"/>
              <w:textAlignment w:val="auto"/>
              <w:rPr>
                <w:rFonts w:ascii="宋体" w:hAnsi="宋体" w:eastAsia="宋体" w:cs="宋体"/>
                <w:sz w:val="18"/>
                <w:szCs w:val="18"/>
                <w:vertAlign w:val="baseline"/>
              </w:rPr>
            </w:pPr>
            <w:r>
              <w:rPr>
                <w:rFonts w:ascii="宋体" w:hAnsi="宋体" w:eastAsia="宋体" w:cs="宋体"/>
                <w:sz w:val="18"/>
                <w:szCs w:val="18"/>
              </w:rPr>
              <w:t>XXX有限责任公司监事会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虚拟股</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ascii="宋体" w:hAnsi="宋体" w:eastAsia="宋体" w:cs="宋体"/>
                <w:sz w:val="18"/>
                <w:szCs w:val="18"/>
                <w:vertAlign w:val="baseline"/>
              </w:rPr>
            </w:pPr>
            <w:r>
              <w:rPr>
                <w:rFonts w:ascii="宋体" w:hAnsi="宋体" w:eastAsia="宋体" w:cs="宋体"/>
                <w:sz w:val="18"/>
                <w:szCs w:val="18"/>
              </w:rPr>
              <w:t>指目前非上市公司普遍采用的一种股权激励方式，不做工商登记，激励对象仅享有分红权，但无所有权、增值权、表决权，不能转让和出售，在离开企业时自动失效。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利润激励基点</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ascii="宋体" w:hAnsi="宋体" w:eastAsia="宋体" w:cs="宋体"/>
                <w:sz w:val="18"/>
                <w:szCs w:val="18"/>
                <w:vertAlign w:val="baseline"/>
              </w:rPr>
            </w:pPr>
            <w:r>
              <w:rPr>
                <w:rFonts w:ascii="宋体" w:hAnsi="宋体" w:eastAsia="宋体" w:cs="宋体"/>
                <w:sz w:val="18"/>
                <w:szCs w:val="18"/>
              </w:rPr>
              <w:t>指经股东会决定的公司当年审计后的某一净利润数额;本激励方案下，当年利润分红激励基点暂定为1000万元。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超额利润激励</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ascii="宋体" w:hAnsi="宋体" w:eastAsia="宋体" w:cs="宋体"/>
                <w:sz w:val="18"/>
                <w:szCs w:val="18"/>
                <w:vertAlign w:val="baseline"/>
              </w:rPr>
            </w:pPr>
            <w:r>
              <w:rPr>
                <w:rFonts w:ascii="宋体" w:hAnsi="宋体" w:eastAsia="宋体" w:cs="宋体"/>
                <w:sz w:val="18"/>
                <w:szCs w:val="18"/>
              </w:rPr>
              <w:t>指在公司当年所获净利润超过利润激励基点的前提下，依据相应超出基点的比例，分区间计算相应的激励奖金(具体数额及比例由公司股东会决定)用于公司员工激励的一种方式。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激励对象</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ascii="宋体" w:hAnsi="宋体" w:eastAsia="宋体" w:cs="宋体"/>
                <w:sz w:val="18"/>
                <w:szCs w:val="18"/>
                <w:vertAlign w:val="baseline"/>
              </w:rPr>
            </w:pPr>
            <w:r>
              <w:rPr>
                <w:rFonts w:ascii="宋体" w:hAnsi="宋体" w:eastAsia="宋体" w:cs="宋体"/>
                <w:sz w:val="18"/>
                <w:szCs w:val="18"/>
              </w:rPr>
              <w:t>按照本方案规定获得超额利润激励的岗位，具体标准和对象名单参见正文。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退出机制</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ascii="宋体" w:hAnsi="宋体" w:eastAsia="宋体" w:cs="宋体"/>
                <w:sz w:val="18"/>
                <w:szCs w:val="18"/>
                <w:vertAlign w:val="baseline"/>
              </w:rPr>
            </w:pPr>
            <w:r>
              <w:rPr>
                <w:rFonts w:ascii="宋体" w:hAnsi="宋体" w:eastAsia="宋体" w:cs="宋体"/>
                <w:sz w:val="18"/>
                <w:szCs w:val="18"/>
              </w:rPr>
              <w:t>发生所列示的行为，退出股权激励方案或丧失相应的激励资格。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《公司法》</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ascii="宋体" w:hAnsi="宋体" w:eastAsia="宋体" w:cs="宋体"/>
                <w:sz w:val="18"/>
                <w:szCs w:val="18"/>
                <w:vertAlign w:val="baseline"/>
              </w:rPr>
            </w:pPr>
            <w:r>
              <w:rPr>
                <w:rFonts w:ascii="宋体" w:hAnsi="宋体" w:eastAsia="宋体" w:cs="宋体"/>
                <w:sz w:val="18"/>
                <w:szCs w:val="18"/>
              </w:rPr>
              <w:t>《中华人民共和国公司法》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《公司章程》</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ascii="宋体" w:hAnsi="宋体" w:eastAsia="宋体" w:cs="宋体"/>
                <w:sz w:val="18"/>
                <w:szCs w:val="18"/>
                <w:vertAlign w:val="baseline"/>
              </w:rPr>
            </w:pPr>
            <w:r>
              <w:rPr>
                <w:rFonts w:ascii="宋体" w:hAnsi="宋体" w:eastAsia="宋体" w:cs="宋体"/>
                <w:sz w:val="18"/>
                <w:szCs w:val="18"/>
              </w:rPr>
              <w:t>《XXX有限责任公司章程》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元/万元</w:t>
            </w:r>
          </w:p>
        </w:tc>
        <w:tc>
          <w:tcPr>
            <w:tcW w:w="695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40" w:lineRule="auto"/>
              <w:textAlignment w:val="auto"/>
              <w:rPr>
                <w:rFonts w:ascii="宋体" w:hAnsi="宋体" w:eastAsia="宋体" w:cs="宋体"/>
                <w:sz w:val="18"/>
                <w:szCs w:val="18"/>
                <w:vertAlign w:val="baseline"/>
              </w:rPr>
            </w:pPr>
            <w:r>
              <w:rPr>
                <w:rFonts w:ascii="宋体" w:hAnsi="宋体" w:eastAsia="宋体" w:cs="宋体"/>
                <w:sz w:val="18"/>
                <w:szCs w:val="18"/>
              </w:rPr>
              <w:t>人民币</w:t>
            </w:r>
            <w:r>
              <w:rPr>
                <w:rFonts w:hint="eastAsia" w:ascii="宋体" w:hAnsi="宋体" w:eastAsia="宋体" w:cs="宋体"/>
                <w:sz w:val="18"/>
                <w:szCs w:val="18"/>
                <w:lang w:val="en-US" w:eastAsia="zh-CN"/>
              </w:rPr>
              <w:t xml:space="preserve">      </w:t>
            </w:r>
            <w:r>
              <w:rPr>
                <w:rFonts w:ascii="宋体" w:hAnsi="宋体" w:eastAsia="宋体" w:cs="宋体"/>
                <w:sz w:val="18"/>
                <w:szCs w:val="18"/>
              </w:rPr>
              <w:t>元/万元</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textAlignment w:val="auto"/>
        <w:rPr>
          <w:rFonts w:ascii="宋体" w:hAnsi="宋体" w:eastAsia="宋体" w:cs="宋体"/>
          <w:sz w:val="18"/>
          <w:szCs w:val="18"/>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Chars="200"/>
        <w:jc w:val="center"/>
        <w:textAlignment w:val="auto"/>
        <w:outlineLvl w:val="0"/>
        <w:rPr>
          <w:rStyle w:val="9"/>
        </w:rPr>
      </w:pPr>
      <w:bookmarkStart w:id="1" w:name="_Toc13645"/>
      <w:r>
        <w:rPr>
          <w:rFonts w:hint="eastAsia" w:ascii="宋体" w:hAnsi="宋体" w:eastAsia="宋体" w:cs="宋体"/>
          <w:b/>
          <w:bCs/>
          <w:sz w:val="24"/>
          <w:szCs w:val="24"/>
          <w:lang w:val="en-US" w:eastAsia="zh-CN"/>
        </w:rPr>
        <w:t>2.</w:t>
      </w:r>
      <w:r>
        <w:rPr>
          <w:rStyle w:val="9"/>
        </w:rPr>
        <w:t>目的</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为进步完善公司的法人治理结构，建立健全公司激励与约束机制，充分调动公司中高层管理人员及核心人才的积极性和创造性，有效地将股东利益、公司利益和经营者个人利益结合在一起，实现员工与公司共同发展，确保公司未来发展战略和经营目标的实现，根据《公司法》以及《公司章程》的规定，制定本方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2" w:firstLineChars="200"/>
        <w:jc w:val="center"/>
        <w:textAlignment w:val="auto"/>
        <w:rPr>
          <w:rFonts w:hint="eastAsia" w:ascii="宋体" w:hAnsi="宋体" w:eastAsia="宋体" w:cs="宋体"/>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2" w:firstLineChars="200"/>
        <w:jc w:val="center"/>
        <w:textAlignment w:val="auto"/>
        <w:outlineLvl w:val="0"/>
        <w:rPr>
          <w:rStyle w:val="9"/>
          <w:rFonts w:hint="default"/>
          <w:lang w:val="en-US" w:eastAsia="zh-CN"/>
        </w:rPr>
      </w:pPr>
      <w:bookmarkStart w:id="2" w:name="_Toc22794"/>
      <w:r>
        <w:rPr>
          <w:rFonts w:hint="eastAsia" w:ascii="宋体" w:hAnsi="宋体" w:eastAsia="宋体" w:cs="宋体"/>
          <w:b/>
          <w:bCs/>
          <w:sz w:val="24"/>
          <w:szCs w:val="24"/>
          <w:lang w:val="en-US" w:eastAsia="zh-CN"/>
        </w:rPr>
        <w:t>3.</w:t>
      </w:r>
      <w:r>
        <w:rPr>
          <w:rStyle w:val="9"/>
          <w:rFonts w:hint="eastAsia"/>
          <w:lang w:val="en-US" w:eastAsia="zh-CN"/>
        </w:rPr>
        <w:t>基本原则</w:t>
      </w:r>
      <w:bookmarkEnd w:id="2"/>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根据《公司法》等有关法律、法规和《公司章程》的规定，本次股权激励方案的制定和实施，遵循以下基本原则: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b w:val="0"/>
          <w:bCs w:val="0"/>
          <w:sz w:val="24"/>
          <w:szCs w:val="24"/>
        </w:rPr>
      </w:pPr>
      <w:r>
        <w:rPr>
          <w:rFonts w:ascii="宋体" w:hAnsi="宋体" w:eastAsia="宋体" w:cs="宋体"/>
          <w:b w:val="0"/>
          <w:bCs w:val="0"/>
          <w:sz w:val="24"/>
          <w:szCs w:val="24"/>
        </w:rPr>
        <w:t>3.1维护公司利益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公司实施股权激励方案，应当符合法律、法规和《公司章程》的规定，有利于公司的持续发展，不得损害公司利益。公司的董事、监事和高级管理人员在实行股权激励中应当诚实守信，勤勉尽责，维护公司和全体股东的利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b w:val="0"/>
          <w:bCs w:val="0"/>
          <w:sz w:val="24"/>
          <w:szCs w:val="24"/>
        </w:rPr>
      </w:pPr>
      <w:r>
        <w:rPr>
          <w:rFonts w:ascii="宋体" w:hAnsi="宋体" w:eastAsia="宋体" w:cs="宋体"/>
          <w:b w:val="0"/>
          <w:bCs w:val="0"/>
          <w:sz w:val="24"/>
          <w:szCs w:val="24"/>
        </w:rPr>
        <w:t>3.2公平、公开、公正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公司实施股权激励方案，应当严格按照公司章程及股权激励制度的要求，真实、准确、完整、及时地向激励对象披露本方案的相关信息。同时，股权激励方案涉及的岗位价值评估、绩效考核过程均由激励对象共同参与、共同监督，确保激励计划公平、公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b w:val="0"/>
          <w:bCs w:val="0"/>
          <w:sz w:val="24"/>
          <w:szCs w:val="24"/>
        </w:rPr>
      </w:pPr>
      <w:r>
        <w:rPr>
          <w:rFonts w:ascii="宋体" w:hAnsi="宋体" w:eastAsia="宋体" w:cs="宋体"/>
          <w:b w:val="0"/>
          <w:bCs w:val="0"/>
          <w:sz w:val="24"/>
          <w:szCs w:val="24"/>
        </w:rPr>
        <w:t>3.3自愿参与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本方案尊重员工意愿，由员工自主决定是否参与激励计划。</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b w:val="0"/>
          <w:bCs w:val="0"/>
          <w:sz w:val="24"/>
          <w:szCs w:val="24"/>
        </w:rPr>
      </w:pPr>
      <w:r>
        <w:rPr>
          <w:rFonts w:ascii="宋体" w:hAnsi="宋体" w:eastAsia="宋体" w:cs="宋体"/>
          <w:b w:val="0"/>
          <w:bCs w:val="0"/>
          <w:sz w:val="24"/>
          <w:szCs w:val="24"/>
        </w:rPr>
        <w:t>3.4激励与约束统一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hint="eastAsia" w:ascii="宋体" w:hAnsi="宋体" w:eastAsia="宋体" w:cs="宋体"/>
          <w:b/>
          <w:bCs/>
          <w:sz w:val="21"/>
          <w:szCs w:val="21"/>
          <w:lang w:val="en-US" w:eastAsia="zh-CN"/>
        </w:rPr>
      </w:pPr>
      <w:r>
        <w:rPr>
          <w:rFonts w:ascii="宋体" w:hAnsi="宋体" w:eastAsia="宋体" w:cs="宋体"/>
          <w:sz w:val="24"/>
          <w:szCs w:val="24"/>
        </w:rPr>
        <w:t>按照激励与约束统一的原则，激励对象获得股权激励与价值观考核、绩效表现、行为表现等挂钩。</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outlineLvl w:val="0"/>
        <w:rPr>
          <w:rStyle w:val="9"/>
        </w:rPr>
      </w:pPr>
      <w:bookmarkStart w:id="3" w:name="_Toc14120"/>
      <w:r>
        <w:rPr>
          <w:rFonts w:hint="eastAsia" w:ascii="宋体" w:hAnsi="宋体" w:eastAsia="宋体" w:cs="宋体"/>
          <w:b/>
          <w:bCs/>
          <w:sz w:val="24"/>
          <w:szCs w:val="24"/>
          <w:lang w:val="en-US" w:eastAsia="zh-CN"/>
        </w:rPr>
        <w:t>4.</w:t>
      </w:r>
      <w:r>
        <w:rPr>
          <w:rStyle w:val="9"/>
        </w:rPr>
        <w:t>管理机构</w:t>
      </w:r>
      <w:bookmarkEnd w:id="3"/>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b w:val="0"/>
          <w:bCs w:val="0"/>
          <w:sz w:val="24"/>
          <w:szCs w:val="24"/>
        </w:rPr>
      </w:pPr>
      <w:r>
        <w:rPr>
          <w:rFonts w:ascii="宋体" w:hAnsi="宋体" w:eastAsia="宋体" w:cs="宋体"/>
          <w:b w:val="0"/>
          <w:bCs w:val="0"/>
          <w:sz w:val="24"/>
          <w:szCs w:val="24"/>
        </w:rPr>
        <w:t>4.1股东会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股东会作为公司的最高权力机构，负责审议批准本股权激励方案的实施、变更和终止。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b w:val="0"/>
          <w:bCs w:val="0"/>
          <w:sz w:val="24"/>
          <w:szCs w:val="24"/>
        </w:rPr>
      </w:pPr>
      <w:r>
        <w:rPr>
          <w:rFonts w:ascii="宋体" w:hAnsi="宋体" w:eastAsia="宋体" w:cs="宋体"/>
          <w:b w:val="0"/>
          <w:bCs w:val="0"/>
          <w:sz w:val="24"/>
          <w:szCs w:val="24"/>
        </w:rPr>
        <w:t>4.2董事会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董事会是股权激励方案的执行管理机构，下设薪酬与考核委员会，负责拟定和修订股权激励方案，报股东(大)会审议核准，并在股东会授权范围内办理股权激励方案的相关事宜。薪酬与考核委员会下设股权激励执行专员，负责具体事务的办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b w:val="0"/>
          <w:bCs w:val="0"/>
          <w:sz w:val="24"/>
          <w:szCs w:val="24"/>
        </w:rPr>
      </w:pPr>
      <w:r>
        <w:rPr>
          <w:rFonts w:ascii="宋体" w:hAnsi="宋体" w:eastAsia="宋体" w:cs="宋体"/>
          <w:b w:val="0"/>
          <w:bCs w:val="0"/>
          <w:sz w:val="24"/>
          <w:szCs w:val="24"/>
        </w:rPr>
        <w:t>4.3监事会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监事会是股权激励方案的监督机构，负责核实激励对象名单，并对股权激励方案的实施是否符合相关法律、法规和《公司章程》的规定进行监督。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outlineLvl w:val="0"/>
        <w:rPr>
          <w:rStyle w:val="9"/>
        </w:rPr>
      </w:pPr>
      <w:bookmarkStart w:id="4" w:name="_Toc12993"/>
      <w:r>
        <w:rPr>
          <w:rFonts w:hint="eastAsia" w:ascii="宋体" w:hAnsi="宋体" w:eastAsia="宋体" w:cs="宋体"/>
          <w:b/>
          <w:bCs/>
          <w:sz w:val="24"/>
          <w:szCs w:val="24"/>
          <w:lang w:val="en-US" w:eastAsia="zh-CN"/>
        </w:rPr>
        <w:t>5.</w:t>
      </w:r>
      <w:r>
        <w:rPr>
          <w:rStyle w:val="9"/>
        </w:rPr>
        <w:t>激励对象</w:t>
      </w:r>
      <w:bookmarkEnd w:id="4"/>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b w:val="0"/>
          <w:bCs w:val="0"/>
          <w:sz w:val="24"/>
          <w:szCs w:val="24"/>
        </w:rPr>
      </w:pPr>
      <w:r>
        <w:rPr>
          <w:rFonts w:ascii="宋体" w:hAnsi="宋体" w:eastAsia="宋体" w:cs="宋体"/>
          <w:b w:val="0"/>
          <w:bCs w:val="0"/>
          <w:sz w:val="24"/>
          <w:szCs w:val="24"/>
        </w:rPr>
        <w:t>5.1确定激励对象的依据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b w:val="0"/>
          <w:bCs w:val="0"/>
          <w:sz w:val="24"/>
          <w:szCs w:val="24"/>
        </w:rPr>
      </w:pPr>
      <w:r>
        <w:rPr>
          <w:rFonts w:ascii="宋体" w:hAnsi="宋体" w:eastAsia="宋体" w:cs="宋体"/>
          <w:b w:val="0"/>
          <w:bCs w:val="0"/>
          <w:sz w:val="24"/>
          <w:szCs w:val="24"/>
        </w:rPr>
        <w:t>5.1.1确定激励对象的基础条件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必须认同公司的使命、愿景、发展战略和价值观，承诺自愿遵守本计划及配套协议文件规定的所有条款。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5.1.2确定激励对象的法律法规和章程依据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本激励方案的激励对象是根据《公司法》等有关法律、法规和《公司章程》的相关规定，结合公司实际情况确定。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5.1.3确定激励对象的职务依据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本激励方案的激励对象为公司总监级(含)以上的高级管理人员、核心员工。上述人员须在公司或子公司、分公司任职，且已与公司或子公司签署劳动合同或劳务协议或服务合同。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核心员工属于引领业务变革、实现商业模式创新、构建可持续竞争力的关键性角色，具有较大影响力和不可替代性。根据员工所担任岗位、具体工作的创新性及需要具备知识的深度和广度，结合员工在公司内所创造的业绩情况和所处岗位的市场稀缺度等条件综合界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激励对象承诺，在本激励方案实施完毕前不再接受其它公司的股权激励(经公司董事会批准，激励对象在公司控股子公司享有股权激励的情况除外)</w:t>
      </w:r>
      <w:r>
        <w:rPr>
          <w:rFonts w:hint="eastAsia" w:ascii="宋体" w:hAnsi="宋体" w:eastAsia="宋体" w:cs="宋体"/>
          <w:sz w:val="24"/>
          <w:szCs w:val="24"/>
          <w:lang w:eastAsia="zh-CN"/>
        </w:rPr>
        <w:t>；</w:t>
      </w:r>
      <w:r>
        <w:rPr>
          <w:rFonts w:ascii="宋体" w:hAnsi="宋体" w:eastAsia="宋体" w:cs="宋体"/>
          <w:sz w:val="24"/>
          <w:szCs w:val="24"/>
        </w:rPr>
        <w:t>但在本激励方案生效前，激励对象已获得的其它公司股权激励除外。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5.1.4确定激励对象的工龄依据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本激励方案公布之日前激励对象须在公司任职满</w:t>
      </w:r>
      <w:r>
        <w:rPr>
          <w:rFonts w:hint="eastAsia" w:ascii="宋体" w:hAnsi="宋体" w:eastAsia="宋体" w:cs="宋体"/>
          <w:sz w:val="24"/>
          <w:szCs w:val="24"/>
          <w:lang w:val="en-US" w:eastAsia="zh-CN"/>
        </w:rPr>
        <w:t xml:space="preserve"> </w:t>
      </w:r>
      <w:r>
        <w:rPr>
          <w:rFonts w:hint="eastAsia" w:ascii="宋体" w:hAnsi="宋体" w:eastAsia="宋体" w:cs="宋体"/>
          <w:sz w:val="24"/>
          <w:szCs w:val="24"/>
          <w:u w:val="single"/>
          <w:lang w:val="en-US" w:eastAsia="zh-CN"/>
        </w:rPr>
        <w:t xml:space="preserve"> X </w:t>
      </w:r>
      <w:r>
        <w:rPr>
          <w:rFonts w:ascii="宋体" w:hAnsi="宋体" w:eastAsia="宋体" w:cs="宋体"/>
          <w:sz w:val="24"/>
          <w:szCs w:val="24"/>
        </w:rPr>
        <w:t>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注:特殊贡献人才经董事会批准后可适度放宽工作年限限制。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5.1.5确定激励对象的评估表现依据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上年度个人评估成绩合格。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5.1.6激励对象确定的程序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本激励方案激励对象的确定，由董事会决定，股东会批准。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5.1.7有下列情形之一的，不得成为激励对象</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具有《公司法》第146条规定不得担任董事、监事、高级管理人员的情形的</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ascii="宋体" w:hAnsi="宋体" w:eastAsia="宋体" w:cs="宋体"/>
          <w:sz w:val="24"/>
          <w:szCs w:val="24"/>
        </w:rPr>
      </w:pPr>
      <w:r>
        <w:rPr>
          <w:rFonts w:ascii="宋体" w:hAnsi="宋体" w:eastAsia="宋体" w:cs="宋体"/>
          <w:sz w:val="24"/>
          <w:szCs w:val="24"/>
        </w:rPr>
        <w:t>最近三年因重大违法违规行为被市级以上执法机关子以行政处罚的</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发生违反职业道德、泄露公司机密、失职或渎职等严重损害公司利益或声誉行为的</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最近三年内被省级以上执法机关和行业协会、股权交易机构公开谴责或宣布为不适当人选的</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ascii="宋体" w:hAnsi="宋体" w:eastAsia="宋体" w:cs="宋体"/>
          <w:sz w:val="24"/>
          <w:szCs w:val="24"/>
        </w:rPr>
      </w:pPr>
      <w:r>
        <w:rPr>
          <w:rFonts w:ascii="宋体" w:hAnsi="宋体" w:eastAsia="宋体" w:cs="宋体"/>
          <w:sz w:val="24"/>
          <w:szCs w:val="24"/>
        </w:rPr>
        <w:t>董事会认定的其它不合适的对象。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如在本激励方案实施过程中，激励对象出现以上任何不得参与激励方案情形的，公司将终止其参与本激励方案的权利，取消激励资格。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5.2激励对象名单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确定的激励对象共9人，名单如下: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2582"/>
        <w:gridCol w:w="1468"/>
        <w:gridCol w:w="38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序号</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职位</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姓名</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身份证号码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1</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总裁</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甲</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2</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总经理</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乙</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3</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客服部副总经理</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丙</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4</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市场部副总经理</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丁</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5</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市场部区域总监</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戊</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6</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客服部片区总监</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己</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7</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人事行政部总监</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庚</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8</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财务部总监</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辛</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9</w:t>
            </w:r>
          </w:p>
        </w:tc>
        <w:tc>
          <w:tcPr>
            <w:tcW w:w="2582"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品牌部总监</w:t>
            </w:r>
          </w:p>
        </w:tc>
        <w:tc>
          <w:tcPr>
            <w:tcW w:w="146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壬</w:t>
            </w:r>
          </w:p>
        </w:tc>
        <w:tc>
          <w:tcPr>
            <w:tcW w:w="384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公司监事会应对激励对象名单子以核实，并将核实情况在股东(大)会上予以说明。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outlineLvl w:val="0"/>
        <w:rPr>
          <w:rStyle w:val="9"/>
        </w:rPr>
      </w:pPr>
      <w:bookmarkStart w:id="5" w:name="_Toc26695"/>
      <w:r>
        <w:rPr>
          <w:rFonts w:hint="eastAsia" w:ascii="宋体" w:hAnsi="宋体" w:eastAsia="宋体" w:cs="宋体"/>
          <w:b/>
          <w:bCs/>
          <w:sz w:val="24"/>
          <w:szCs w:val="24"/>
          <w:lang w:val="en-US" w:eastAsia="zh-CN"/>
        </w:rPr>
        <w:t>6.</w:t>
      </w:r>
      <w:r>
        <w:rPr>
          <w:rStyle w:val="9"/>
        </w:rPr>
        <w:t>激励期限</w:t>
      </w:r>
      <w:bookmarkEnd w:id="5"/>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激励方案自公司股东会审议通过后实施，本年度激励对象评估期为1月1日至12月31日，以后各年的股权激励方案参照本方案进行，若公司股权激励方案的执行条件、激励对象、激励额度等发生变化，以当年出具的股权激励方案文件为准，每年具体激励方案公布及实施时间为3月1日-3月31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outlineLvl w:val="0"/>
        <w:rPr>
          <w:rStyle w:val="9"/>
        </w:rPr>
      </w:pPr>
      <w:bookmarkStart w:id="6" w:name="_Toc20529"/>
      <w:r>
        <w:rPr>
          <w:rFonts w:hint="eastAsia" w:ascii="宋体" w:hAnsi="宋体" w:eastAsia="宋体" w:cs="宋体"/>
          <w:b/>
          <w:bCs/>
          <w:sz w:val="24"/>
          <w:szCs w:val="24"/>
          <w:lang w:val="en-US" w:eastAsia="zh-CN"/>
        </w:rPr>
        <w:t>7.</w:t>
      </w:r>
      <w:r>
        <w:rPr>
          <w:rStyle w:val="9"/>
        </w:rPr>
        <w:t>激励额度</w:t>
      </w:r>
      <w:bookmarkEnd w:id="6"/>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7.1激励总额度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vertAlign w:val="baseline"/>
        </w:rPr>
      </w:pPr>
      <w:r>
        <w:rPr>
          <w:rFonts w:ascii="宋体" w:hAnsi="宋体" w:eastAsia="宋体" w:cs="宋体"/>
          <w:sz w:val="24"/>
          <w:szCs w:val="24"/>
        </w:rPr>
        <w:t>用于超额利润激励的激励基点为公司净利润1000万元，当公司净利润超过该基点时，按下表所对应超额比例区间分别计算相应的超额利润分红金额，然后加总作为员工激励。如公司年度经审计实际利润小于或等于1000万元时，本超额利润激励将不予实施。</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超额范围</w:t>
            </w:r>
          </w:p>
        </w:tc>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20%以下(含)</w:t>
            </w:r>
          </w:p>
        </w:tc>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20%-50%(含)</w:t>
            </w:r>
          </w:p>
        </w:tc>
        <w:tc>
          <w:tcPr>
            <w:tcW w:w="17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50%-80%(含)</w:t>
            </w:r>
          </w:p>
        </w:tc>
        <w:tc>
          <w:tcPr>
            <w:tcW w:w="17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80%以上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实际达成净利润</w:t>
            </w:r>
          </w:p>
        </w:tc>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1000&lt;A≤1200</w:t>
            </w:r>
          </w:p>
        </w:tc>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1200&lt;A≤1500</w:t>
            </w:r>
          </w:p>
        </w:tc>
        <w:tc>
          <w:tcPr>
            <w:tcW w:w="17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1500&lt;A≤1800</w:t>
            </w:r>
          </w:p>
        </w:tc>
        <w:tc>
          <w:tcPr>
            <w:tcW w:w="17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A&gt;1800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分红提取比例</w:t>
            </w:r>
          </w:p>
        </w:tc>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30%</w:t>
            </w:r>
          </w:p>
        </w:tc>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40%</w:t>
            </w:r>
          </w:p>
        </w:tc>
        <w:tc>
          <w:tcPr>
            <w:tcW w:w="17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50%</w:t>
            </w:r>
          </w:p>
        </w:tc>
        <w:tc>
          <w:tcPr>
            <w:tcW w:w="1705"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60%</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例:若公司经审计实际净利润为1700万元，利润激励基点为1000万元，总共超出基点700万元，超额70%，则用于激励的分红金额计算如下:</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288" w:lineRule="auto"/>
        <w:ind w:left="425" w:leftChars="0" w:hanging="425" w:firstLineChars="0"/>
        <w:jc w:val="both"/>
        <w:textAlignment w:val="auto"/>
        <w:rPr>
          <w:rFonts w:ascii="宋体" w:hAnsi="宋体" w:eastAsia="宋体" w:cs="宋体"/>
          <w:sz w:val="24"/>
          <w:szCs w:val="24"/>
        </w:rPr>
      </w:pPr>
      <w:r>
        <w:rPr>
          <w:rFonts w:ascii="宋体" w:hAnsi="宋体" w:eastAsia="宋体" w:cs="宋体"/>
          <w:sz w:val="24"/>
          <w:szCs w:val="24"/>
        </w:rPr>
        <w:t>超额20%(含)范围对应部分为200万元，则该区间超额利润分红金额为:</w:t>
      </w:r>
    </w:p>
    <w:p>
      <w:pPr>
        <w:bidi w:val="0"/>
        <w:jc w:val="center"/>
        <w:rPr>
          <w:rFonts w:hint="eastAsia"/>
          <w:lang w:eastAsia="zh-CN"/>
        </w:rPr>
      </w:pPr>
      <w:bookmarkStart w:id="7" w:name="_Toc21534"/>
      <w:bookmarkStart w:id="8" w:name="_Toc15025"/>
      <w:r>
        <w:t>200万元</w:t>
      </w:r>
      <w:r>
        <w:rPr>
          <w:rFonts w:hint="eastAsia"/>
        </w:rPr>
        <w:t>×</w:t>
      </w:r>
      <w:r>
        <w:t>30%=60万元</w:t>
      </w:r>
      <w:r>
        <w:rPr>
          <w:rFonts w:hint="eastAsia"/>
          <w:lang w:eastAsia="zh-CN"/>
        </w:rPr>
        <w:t>；</w:t>
      </w:r>
      <w:bookmarkEnd w:id="7"/>
      <w:bookmarkEnd w:id="8"/>
      <w:bookmarkStart w:id="33" w:name="_GoBack"/>
      <w:bookmarkEnd w:id="33"/>
    </w:p>
    <w:p>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bookmarkStart w:id="9" w:name="_Toc2254"/>
      <w:r>
        <w:rPr>
          <w:sz w:val="24"/>
          <w:szCs w:val="24"/>
        </w:rPr>
        <w:t>超额20%</w:t>
      </w:r>
      <w:r>
        <w:rPr>
          <w:rFonts w:hint="eastAsia"/>
          <w:sz w:val="24"/>
          <w:szCs w:val="24"/>
          <w:lang w:val="en-US" w:eastAsia="zh-CN"/>
        </w:rPr>
        <w:t>-</w:t>
      </w:r>
      <w:r>
        <w:rPr>
          <w:sz w:val="24"/>
          <w:szCs w:val="24"/>
        </w:rPr>
        <w:t>50%(含)范围对应部分为300万元，则该区间超额利润分红金额为:</w:t>
      </w:r>
      <w:bookmarkEnd w:id="9"/>
    </w:p>
    <w:p>
      <w:pPr>
        <w:bidi w:val="0"/>
        <w:jc w:val="center"/>
        <w:rPr>
          <w:rFonts w:hint="eastAsia"/>
          <w:lang w:eastAsia="zh-CN"/>
        </w:rPr>
      </w:pPr>
      <w:bookmarkStart w:id="10" w:name="_Toc19391"/>
      <w:bookmarkStart w:id="11" w:name="_Toc8550"/>
      <w:r>
        <w:t>300万元</w:t>
      </w:r>
      <w:r>
        <w:rPr>
          <w:rFonts w:hint="eastAsia"/>
        </w:rPr>
        <w:t>×</w:t>
      </w:r>
      <w:r>
        <w:t>40%</w:t>
      </w:r>
      <w:r>
        <w:rPr>
          <w:rFonts w:hint="eastAsia"/>
          <w:lang w:val="en-US" w:eastAsia="zh-CN"/>
        </w:rPr>
        <w:t>=</w:t>
      </w:r>
      <w:r>
        <w:t>120万元</w:t>
      </w:r>
      <w:r>
        <w:rPr>
          <w:rFonts w:hint="eastAsia"/>
          <w:lang w:eastAsia="zh-CN"/>
        </w:rPr>
        <w:t>；</w:t>
      </w:r>
      <w:bookmarkEnd w:id="10"/>
      <w:bookmarkEnd w:id="11"/>
    </w:p>
    <w:p>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bookmarkStart w:id="12" w:name="_Toc28574"/>
      <w:r>
        <w:rPr>
          <w:sz w:val="24"/>
          <w:szCs w:val="24"/>
        </w:rPr>
        <w:t>超额50%</w:t>
      </w:r>
      <w:r>
        <w:rPr>
          <w:rFonts w:hint="eastAsia"/>
          <w:sz w:val="24"/>
          <w:szCs w:val="24"/>
          <w:lang w:val="en-US" w:eastAsia="zh-CN"/>
        </w:rPr>
        <w:t>-</w:t>
      </w:r>
      <w:r>
        <w:rPr>
          <w:sz w:val="24"/>
          <w:szCs w:val="24"/>
        </w:rPr>
        <w:t>80%(含)范围对应部分为200万元，该区间超额利润分红金额为:</w:t>
      </w:r>
      <w:bookmarkEnd w:id="12"/>
    </w:p>
    <w:p>
      <w:pPr>
        <w:bidi w:val="0"/>
        <w:jc w:val="center"/>
        <w:rPr>
          <w:rFonts w:hint="eastAsia"/>
          <w:lang w:eastAsia="zh-CN"/>
        </w:rPr>
      </w:pPr>
      <w:bookmarkStart w:id="13" w:name="_Toc20193"/>
      <w:bookmarkStart w:id="14" w:name="_Toc5083"/>
      <w:r>
        <w:t>200万元</w:t>
      </w:r>
      <w:r>
        <w:rPr>
          <w:rFonts w:hint="eastAsia"/>
        </w:rPr>
        <w:t>×</w:t>
      </w:r>
      <w:r>
        <w:t>50%=100万元</w:t>
      </w:r>
      <w:r>
        <w:rPr>
          <w:rFonts w:hint="eastAsia"/>
          <w:lang w:eastAsia="zh-CN"/>
        </w:rPr>
        <w:t>；</w:t>
      </w:r>
      <w:bookmarkEnd w:id="13"/>
      <w:bookmarkEnd w:id="14"/>
    </w:p>
    <w:p>
      <w:pPr>
        <w:keepNext w:val="0"/>
        <w:keepLines w:val="0"/>
        <w:pageBreakBefore w:val="0"/>
        <w:widowControl w:val="0"/>
        <w:kinsoku/>
        <w:wordWrap/>
        <w:overflowPunct/>
        <w:topLinePunct w:val="0"/>
        <w:autoSpaceDE/>
        <w:autoSpaceDN/>
        <w:bidi w:val="0"/>
        <w:adjustRightInd/>
        <w:snapToGrid/>
        <w:ind w:firstLine="480" w:firstLineChars="200"/>
        <w:textAlignment w:val="auto"/>
        <w:rPr>
          <w:sz w:val="24"/>
          <w:szCs w:val="24"/>
        </w:rPr>
      </w:pPr>
      <w:r>
        <w:rPr>
          <w:sz w:val="24"/>
          <w:szCs w:val="24"/>
        </w:rPr>
        <w:t>激励总额度=60万元+120万元+100万元=280万元: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若公司经审计实际净利润为900万元，低于利润激励基点为1000万元，则超额利润分红为0。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7.2激励对象预授额度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根据本激励方案生效日的公司具体情况，在确定激励对象的基础上，公司将授子给超额利润分红激励对象虚拟股的总股数设定为450万股(后期会随着激励对象\岗位增加或减少调整)，根据各激励对象任职岗位的岗位价值及岗位工龄系数确定预授虚拟股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
        <w:gridCol w:w="2540"/>
        <w:gridCol w:w="2518"/>
        <w:gridCol w:w="2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序号</w:t>
            </w:r>
          </w:p>
        </w:tc>
        <w:tc>
          <w:tcPr>
            <w:tcW w:w="2540"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激励岗位</w:t>
            </w:r>
          </w:p>
        </w:tc>
        <w:tc>
          <w:tcPr>
            <w:tcW w:w="2518"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姓名</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预授虚拟股(万股)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1</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总裁</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甲</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2</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总经理</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乙</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3</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客服部副总经理</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丙</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4</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市场部副总经理</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丁</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5</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市场部区域总监</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戊</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6</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客服部片区总监</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己</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default"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7</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人事行政部总监</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庚</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8</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财务部总监</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辛</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val="en-US" w:eastAsia="zh-CN"/>
              </w:rPr>
              <w:t>9</w:t>
            </w:r>
          </w:p>
        </w:tc>
        <w:tc>
          <w:tcPr>
            <w:tcW w:w="254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品牌部总监</w:t>
            </w:r>
          </w:p>
        </w:tc>
        <w:tc>
          <w:tcPr>
            <w:tcW w:w="2518"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kern w:val="2"/>
                <w:sz w:val="18"/>
                <w:szCs w:val="18"/>
                <w:vertAlign w:val="baseline"/>
                <w:lang w:val="en-US" w:eastAsia="zh-CN" w:bidi="ar-SA"/>
              </w:rPr>
            </w:pPr>
            <w:r>
              <w:rPr>
                <w:rFonts w:hint="eastAsia" w:ascii="宋体" w:hAnsi="宋体" w:eastAsia="宋体" w:cs="宋体"/>
                <w:sz w:val="18"/>
                <w:szCs w:val="18"/>
                <w:vertAlign w:val="baseline"/>
                <w:lang w:eastAsia="zh-CN"/>
              </w:rPr>
              <w:t>壬</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8" w:type="dxa"/>
            <w:gridSpan w:val="3"/>
            <w:vAlign w:val="top"/>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left="0" w:leftChars="0" w:firstLine="0" w:firstLineChars="0"/>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小计</w:t>
            </w:r>
          </w:p>
        </w:tc>
        <w:tc>
          <w:tcPr>
            <w:tcW w:w="2884"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450</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24"/>
          <w:szCs w:val="24"/>
        </w:rPr>
      </w:pPr>
      <w:r>
        <w:rPr>
          <w:rFonts w:ascii="宋体" w:hAnsi="宋体" w:eastAsia="宋体" w:cs="宋体"/>
          <w:sz w:val="24"/>
          <w:szCs w:val="24"/>
        </w:rPr>
        <w:t>注:</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ascii="宋体" w:hAnsi="宋体" w:eastAsia="宋体" w:cs="宋体"/>
          <w:sz w:val="24"/>
          <w:szCs w:val="24"/>
        </w:rPr>
      </w:pPr>
      <w:r>
        <w:rPr>
          <w:rFonts w:ascii="宋体" w:hAnsi="宋体" w:eastAsia="宋体" w:cs="宋体"/>
          <w:sz w:val="24"/>
          <w:szCs w:val="24"/>
        </w:rPr>
        <w:t>当公司新增激励岗位导致激励对象增加，或由于离职等导致激励对象减少，则在股权激励总股数中相应增加或减少与该岗位价值相对应的股数，但总的用于计算激励款项的激励比例不变。</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ascii="宋体" w:hAnsi="宋体" w:eastAsia="宋体" w:cs="宋体"/>
          <w:sz w:val="24"/>
          <w:szCs w:val="24"/>
        </w:rPr>
      </w:pPr>
      <w:r>
        <w:rPr>
          <w:rFonts w:ascii="宋体" w:hAnsi="宋体" w:eastAsia="宋体" w:cs="宋体"/>
          <w:sz w:val="24"/>
          <w:szCs w:val="24"/>
        </w:rPr>
        <w:t>每个岗位对应的预授虚拟股数仅为该岗位价值的计划激励股数，该岗位的激励对象当年最终拿到的股数以其年度实际绩效考评的结果为准。例如总经理职位的预授虚拟股数为100万股，作为现任总经理的乙年终如通过考评实际拿到的股数为80万股，则乙的年度计算激励股数为80万股。</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ascii="宋体" w:hAnsi="宋体" w:eastAsia="宋体" w:cs="宋体"/>
          <w:sz w:val="24"/>
          <w:szCs w:val="24"/>
        </w:rPr>
      </w:pPr>
      <w:r>
        <w:rPr>
          <w:rFonts w:ascii="宋体" w:hAnsi="宋体" w:eastAsia="宋体" w:cs="宋体"/>
          <w:sz w:val="24"/>
          <w:szCs w:val="24"/>
        </w:rPr>
        <w:t>激励对象当年实际获得的超额分红金额=公司当年超额利润分红总金额/所有激励对象实际预授的虚拟股数量之和X激励对象当年实际获得的虚拟股数量。</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288" w:lineRule="auto"/>
        <w:ind w:left="0" w:leftChars="0" w:firstLine="425" w:firstLineChars="0"/>
        <w:jc w:val="both"/>
        <w:textAlignment w:val="auto"/>
        <w:rPr>
          <w:rFonts w:ascii="宋体" w:hAnsi="宋体" w:eastAsia="宋体" w:cs="宋体"/>
          <w:sz w:val="24"/>
          <w:szCs w:val="24"/>
        </w:rPr>
      </w:pPr>
      <w:r>
        <w:rPr>
          <w:rFonts w:ascii="宋体" w:hAnsi="宋体" w:eastAsia="宋体" w:cs="宋体"/>
          <w:sz w:val="24"/>
          <w:szCs w:val="24"/>
        </w:rPr>
        <w:t>若激励对象本人年度评估未能全额拿走该岗位应获得的超额分红，剩余分红由公司收回。</w:t>
      </w:r>
    </w:p>
    <w:p>
      <w:pPr>
        <w:pStyle w:val="2"/>
        <w:numPr>
          <w:ilvl w:val="0"/>
          <w:numId w:val="0"/>
        </w:numPr>
        <w:bidi w:val="0"/>
        <w:spacing w:line="240" w:lineRule="auto"/>
        <w:ind w:left="403" w:leftChars="0"/>
        <w:jc w:val="center"/>
      </w:pPr>
      <w:bookmarkStart w:id="15" w:name="_Toc15668"/>
      <w:r>
        <w:rPr>
          <w:rFonts w:hint="eastAsia"/>
          <w:lang w:val="en-US" w:eastAsia="zh-CN"/>
        </w:rPr>
        <w:t>8.</w:t>
      </w:r>
      <w:r>
        <w:t>评估机制</w:t>
      </w:r>
      <w:bookmarkEnd w:id="15"/>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8.1思想意识</w:t>
      </w:r>
      <w:r>
        <w:rPr>
          <w:rFonts w:hint="eastAsia" w:ascii="宋体" w:hAnsi="宋体" w:eastAsia="宋体" w:cs="宋体"/>
          <w:sz w:val="24"/>
          <w:szCs w:val="24"/>
          <w:lang w:eastAsia="zh-CN"/>
        </w:rPr>
        <w:t>——</w:t>
      </w:r>
      <w:r>
        <w:rPr>
          <w:rFonts w:ascii="宋体" w:hAnsi="宋体" w:eastAsia="宋体" w:cs="宋体"/>
          <w:sz w:val="24"/>
          <w:szCs w:val="24"/>
        </w:rPr>
        <w:t>价值观评估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价值观评估:(1)与公司价值观</w:t>
      </w:r>
      <w:r>
        <w:rPr>
          <w:rFonts w:hint="eastAsia" w:ascii="宋体" w:hAnsi="宋体" w:eastAsia="宋体" w:cs="宋体"/>
          <w:sz w:val="24"/>
          <w:szCs w:val="24"/>
          <w:lang w:eastAsia="zh-CN"/>
        </w:rPr>
        <w:t>一</w:t>
      </w:r>
      <w:r>
        <w:rPr>
          <w:rFonts w:ascii="宋体" w:hAnsi="宋体" w:eastAsia="宋体" w:cs="宋体"/>
          <w:sz w:val="24"/>
          <w:szCs w:val="24"/>
        </w:rPr>
        <w:t>致</w:t>
      </w:r>
      <w:r>
        <w:rPr>
          <w:rFonts w:hint="eastAsia" w:ascii="宋体" w:hAnsi="宋体" w:eastAsia="宋体" w:cs="宋体"/>
          <w:sz w:val="24"/>
          <w:szCs w:val="24"/>
          <w:lang w:eastAsia="zh-CN"/>
        </w:rPr>
        <w:t>；</w:t>
      </w:r>
      <w:r>
        <w:rPr>
          <w:rFonts w:ascii="宋体" w:hAnsi="宋体" w:eastAsia="宋体" w:cs="宋体"/>
          <w:sz w:val="24"/>
          <w:szCs w:val="24"/>
        </w:rPr>
        <w:t>(2)一票否决制</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8.2绩效表现</w:t>
      </w:r>
      <w:r>
        <w:rPr>
          <w:rFonts w:hint="eastAsia" w:ascii="宋体" w:hAnsi="宋体" w:eastAsia="宋体" w:cs="宋体"/>
          <w:sz w:val="24"/>
          <w:szCs w:val="24"/>
          <w:lang w:eastAsia="zh-CN"/>
        </w:rPr>
        <w:t>——</w:t>
      </w:r>
      <w:r>
        <w:rPr>
          <w:rFonts w:ascii="宋体" w:hAnsi="宋体" w:eastAsia="宋体" w:cs="宋体"/>
          <w:sz w:val="24"/>
          <w:szCs w:val="24"/>
        </w:rPr>
        <w:t>绩效评估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8.2.1年度绩效评估指标表现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各激励对象都有3-5个绩效考评指标(详见各岗位《年度重要任务呈现表》)，用于评估该激励对象的年度绩效表现，根据各激励对象绩效评估得分得出其绩效评估系数。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8.2.2年度绩效评估系数</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288" w:lineRule="auto"/>
        <w:ind w:left="0" w:leftChars="0" w:firstLine="567"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85分≤绩效评分，绩效评估系数为1</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288" w:lineRule="auto"/>
        <w:ind w:left="0" w:leftChars="0" w:firstLine="567"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75分≤绩效评分&lt;85分，绩效评估系数为0.8</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288" w:lineRule="auto"/>
        <w:ind w:left="0" w:leftChars="0" w:firstLine="567"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65分≤绩效评分&lt;75分，绩效评估系数为0.6</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288" w:lineRule="auto"/>
        <w:ind w:left="0" w:leftChars="0" w:firstLine="567"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60 分≤绩效评分&lt;65分，绩效评估系数为0.5</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288" w:lineRule="auto"/>
        <w:ind w:left="0" w:leftChars="0" w:firstLine="567" w:firstLineChars="0"/>
        <w:jc w:val="both"/>
        <w:textAlignment w:val="auto"/>
        <w:rPr>
          <w:rFonts w:hint="default"/>
          <w:sz w:val="24"/>
          <w:szCs w:val="24"/>
          <w:lang w:val="en-US" w:eastAsia="zh-CN"/>
        </w:rPr>
      </w:pPr>
      <w:r>
        <w:rPr>
          <w:rFonts w:ascii="宋体" w:hAnsi="宋体" w:eastAsia="宋体" w:cs="宋体"/>
          <w:sz w:val="24"/>
          <w:szCs w:val="24"/>
        </w:rPr>
        <w:t>绩效评分&lt;60分，绩效评估系数为0。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8</w:t>
      </w:r>
      <w:r>
        <w:rPr>
          <w:rFonts w:ascii="宋体" w:hAnsi="宋体" w:eastAsia="宋体" w:cs="宋体"/>
          <w:sz w:val="24"/>
          <w:szCs w:val="24"/>
        </w:rPr>
        <w:t>.3行为表现</w:t>
      </w:r>
      <w:r>
        <w:rPr>
          <w:rFonts w:hint="eastAsia" w:ascii="宋体" w:hAnsi="宋体" w:eastAsia="宋体" w:cs="宋体"/>
          <w:sz w:val="24"/>
          <w:szCs w:val="24"/>
          <w:lang w:eastAsia="zh-CN"/>
        </w:rPr>
        <w:t>——</w:t>
      </w:r>
      <w:r>
        <w:rPr>
          <w:rFonts w:ascii="宋体" w:hAnsi="宋体" w:eastAsia="宋体" w:cs="宋体"/>
          <w:sz w:val="24"/>
          <w:szCs w:val="24"/>
        </w:rPr>
        <w:t>自律项评估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评分标准:(1)违纪次数不超过10次，系数为1</w:t>
      </w:r>
      <w:r>
        <w:rPr>
          <w:rFonts w:hint="eastAsia" w:ascii="宋体" w:hAnsi="宋体" w:eastAsia="宋体" w:cs="宋体"/>
          <w:sz w:val="24"/>
          <w:szCs w:val="24"/>
          <w:lang w:eastAsia="zh-CN"/>
        </w:rPr>
        <w:t>；</w:t>
      </w:r>
      <w:r>
        <w:rPr>
          <w:rFonts w:ascii="宋体" w:hAnsi="宋体" w:eastAsia="宋体" w:cs="宋体"/>
          <w:sz w:val="24"/>
          <w:szCs w:val="24"/>
        </w:rPr>
        <w:t>(2)违纪次数超标，一票否决制，系数为0。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8.4道德表率</w:t>
      </w:r>
      <w:r>
        <w:rPr>
          <w:rFonts w:hint="eastAsia" w:ascii="宋体" w:hAnsi="宋体" w:eastAsia="宋体" w:cs="宋体"/>
          <w:sz w:val="24"/>
          <w:szCs w:val="24"/>
          <w:lang w:eastAsia="zh-CN"/>
        </w:rPr>
        <w:t>——</w:t>
      </w:r>
      <w:r>
        <w:rPr>
          <w:rFonts w:ascii="宋体" w:hAnsi="宋体" w:eastAsia="宋体" w:cs="宋体"/>
          <w:sz w:val="24"/>
          <w:szCs w:val="24"/>
        </w:rPr>
        <w:t>品德项评估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评分标准:(1)员工支持率不低于85%，系数为1</w:t>
      </w:r>
      <w:r>
        <w:rPr>
          <w:rFonts w:hint="eastAsia" w:ascii="宋体" w:hAnsi="宋体" w:eastAsia="宋体" w:cs="宋体"/>
          <w:sz w:val="24"/>
          <w:szCs w:val="24"/>
          <w:lang w:eastAsia="zh-CN"/>
        </w:rPr>
        <w:t>；</w:t>
      </w:r>
      <w:r>
        <w:rPr>
          <w:rFonts w:ascii="宋体" w:hAnsi="宋体" w:eastAsia="宋体" w:cs="宋体"/>
          <w:sz w:val="24"/>
          <w:szCs w:val="24"/>
        </w:rPr>
        <w:t>(2)支持率不达标，一票否决制，系数为0。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8.5学习成长一一学习项评估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评分标准:(1)学习投资等于或高于收入的5%，系数为1</w:t>
      </w:r>
      <w:r>
        <w:rPr>
          <w:rFonts w:hint="eastAsia" w:ascii="宋体" w:hAnsi="宋体" w:eastAsia="宋体" w:cs="宋体"/>
          <w:sz w:val="24"/>
          <w:szCs w:val="24"/>
          <w:lang w:eastAsia="zh-CN"/>
        </w:rPr>
        <w:t>；</w:t>
      </w:r>
      <w:r>
        <w:rPr>
          <w:rFonts w:ascii="宋体" w:hAnsi="宋体" w:eastAsia="宋体" w:cs="宋体"/>
          <w:sz w:val="24"/>
          <w:szCs w:val="24"/>
        </w:rPr>
        <w:t>(2)学习投资每降低1%，成长项系数降低0.05</w:t>
      </w:r>
      <w:r>
        <w:rPr>
          <w:rFonts w:hint="eastAsia" w:ascii="宋体" w:hAnsi="宋体" w:eastAsia="宋体" w:cs="宋体"/>
          <w:sz w:val="24"/>
          <w:szCs w:val="24"/>
          <w:lang w:eastAsia="zh-CN"/>
        </w:rPr>
        <w:t>；</w:t>
      </w:r>
      <w:r>
        <w:rPr>
          <w:rFonts w:ascii="宋体" w:hAnsi="宋体" w:eastAsia="宋体" w:cs="宋体"/>
          <w:sz w:val="24"/>
          <w:szCs w:val="24"/>
        </w:rPr>
        <w:t>(3)成长项系数最低为0.80。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8.6人才培养</w:t>
      </w:r>
      <w:r>
        <w:rPr>
          <w:rFonts w:hint="eastAsia" w:ascii="宋体" w:hAnsi="宋体" w:eastAsia="宋体" w:cs="宋体"/>
          <w:sz w:val="24"/>
          <w:szCs w:val="24"/>
          <w:lang w:eastAsia="zh-CN"/>
        </w:rPr>
        <w:t>——</w:t>
      </w:r>
      <w:r>
        <w:rPr>
          <w:rFonts w:ascii="宋体" w:hAnsi="宋体" w:eastAsia="宋体" w:cs="宋体"/>
          <w:sz w:val="24"/>
          <w:szCs w:val="24"/>
        </w:rPr>
        <w:t>育人项评估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评分标准:上下浮动制(有保底系数)。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根据公司发展需要，设定每个激励岗位年度人才培养目标:人才级别及数量。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举例:客服副总经理人才培养目标为:客服总监2名</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每少培养一一名，育人项系数降低0.1</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育人项系数最低为0.80。</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vertAlign w:val="baseline"/>
        </w:rPr>
      </w:pPr>
      <w:r>
        <w:rPr>
          <w:rFonts w:ascii="宋体" w:hAnsi="宋体" w:eastAsia="宋体" w:cs="宋体"/>
          <w:sz w:val="24"/>
          <w:szCs w:val="24"/>
        </w:rPr>
        <w:t>8.7股权激励分红评估表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
        <w:gridCol w:w="1310"/>
        <w:gridCol w:w="4769"/>
        <w:gridCol w:w="1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NO.</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评估项目</w:t>
            </w:r>
          </w:p>
        </w:tc>
        <w:tc>
          <w:tcPr>
            <w:tcW w:w="4769"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评估标准</w:t>
            </w:r>
          </w:p>
        </w:tc>
        <w:tc>
          <w:tcPr>
            <w:tcW w:w="187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eastAsia="zh-CN"/>
              </w:rPr>
            </w:pPr>
            <w:r>
              <w:rPr>
                <w:rFonts w:hint="eastAsia" w:ascii="宋体" w:hAnsi="宋体" w:eastAsia="宋体" w:cs="宋体"/>
                <w:sz w:val="18"/>
                <w:szCs w:val="18"/>
                <w:vertAlign w:val="baseline"/>
                <w:lang w:eastAsia="zh-CN"/>
              </w:rPr>
              <w:t>评估结果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A</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激励对象</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B</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担任职位</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C</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级别工龄</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D</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应激励额度</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根据岗位价值评估结果、可分配虚拟股数量、</w:t>
            </w:r>
            <w:r>
              <w:rPr>
                <w:rFonts w:hint="eastAsia" w:ascii="宋体" w:hAnsi="宋体" w:eastAsia="宋体" w:cs="宋体"/>
                <w:sz w:val="18"/>
                <w:szCs w:val="18"/>
                <w:lang w:eastAsia="zh-CN"/>
              </w:rPr>
              <w:t>岗</w:t>
            </w:r>
            <w:r>
              <w:rPr>
                <w:rFonts w:ascii="宋体" w:hAnsi="宋体" w:eastAsia="宋体" w:cs="宋体"/>
                <w:sz w:val="18"/>
                <w:szCs w:val="18"/>
              </w:rPr>
              <w:t>位系数及工龄系数确定</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E</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评估日期</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春节前</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F</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价值观</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评分标准：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(1)要求价值观与公司保持一致</w:t>
            </w:r>
            <w:r>
              <w:rPr>
                <w:rFonts w:hint="eastAsia" w:ascii="宋体" w:hAnsi="宋体" w:eastAsia="宋体" w:cs="宋体"/>
                <w:sz w:val="18"/>
                <w:szCs w:val="18"/>
                <w:lang w:eastAsia="zh-CN"/>
              </w:rPr>
              <w:t>；</w:t>
            </w:r>
            <w:r>
              <w:rPr>
                <w:rFonts w:ascii="宋体" w:hAnsi="宋体" w:eastAsia="宋体" w:cs="宋体"/>
                <w:sz w:val="18"/>
                <w:szCs w:val="18"/>
              </w:rPr>
              <w:t>(2)一票否决制。</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G</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绩效表现</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ascii="宋体" w:hAnsi="宋体" w:eastAsia="宋体" w:cs="宋体"/>
                <w:sz w:val="18"/>
                <w:szCs w:val="18"/>
              </w:rPr>
              <w:t>评分标准:(1) 85%≤公司指标完成率，系数为1</w:t>
            </w:r>
            <w:r>
              <w:rPr>
                <w:rFonts w:hint="eastAsia" w:ascii="宋体" w:hAnsi="宋体" w:eastAsia="宋体" w:cs="宋体"/>
                <w:sz w:val="18"/>
                <w:szCs w:val="18"/>
                <w:lang w:eastAsia="zh-CN"/>
              </w:rPr>
              <w:t>；</w:t>
            </w:r>
            <w:r>
              <w:rPr>
                <w:rFonts w:ascii="宋体" w:hAnsi="宋体" w:eastAsia="宋体" w:cs="宋体"/>
                <w:sz w:val="18"/>
                <w:szCs w:val="18"/>
              </w:rPr>
              <w:t>(2) 75%≤公司指标完成率&lt;85%，系数为0.8</w:t>
            </w:r>
            <w:r>
              <w:rPr>
                <w:rFonts w:hint="eastAsia" w:ascii="宋体" w:hAnsi="宋体" w:eastAsia="宋体" w:cs="宋体"/>
                <w:sz w:val="18"/>
                <w:szCs w:val="18"/>
                <w:lang w:eastAsia="zh-CN"/>
              </w:rPr>
              <w:t>；</w:t>
            </w:r>
            <w:r>
              <w:rPr>
                <w:rFonts w:ascii="宋体" w:hAnsi="宋体" w:eastAsia="宋体" w:cs="宋体"/>
                <w:sz w:val="18"/>
                <w:szCs w:val="18"/>
              </w:rPr>
              <w:t>(3) 65%≤公司指标完成率&lt;75%,系数为0.6</w:t>
            </w:r>
            <w:r>
              <w:rPr>
                <w:rFonts w:hint="eastAsia" w:ascii="宋体" w:hAnsi="宋体" w:eastAsia="宋体" w:cs="宋体"/>
                <w:sz w:val="18"/>
                <w:szCs w:val="1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ascii="宋体" w:hAnsi="宋体" w:eastAsia="宋体" w:cs="宋体"/>
                <w:sz w:val="18"/>
                <w:szCs w:val="18"/>
              </w:rPr>
              <w:t>(4) 60%≤公司指标完成率&lt;65%，系数为0.5</w:t>
            </w:r>
            <w:r>
              <w:rPr>
                <w:rFonts w:hint="eastAsia" w:ascii="宋体" w:hAnsi="宋体" w:eastAsia="宋体" w:cs="宋体"/>
                <w:sz w:val="18"/>
                <w:szCs w:val="1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(5)公司指标完成率&lt;60%，系数为0。</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H</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自律项</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ascii="宋体" w:hAnsi="宋体" w:eastAsia="宋体" w:cs="宋体"/>
                <w:sz w:val="18"/>
                <w:szCs w:val="18"/>
              </w:rPr>
              <w:t>评分标准:(1)违纪次数不超过10次，系数为1</w:t>
            </w:r>
            <w:r>
              <w:rPr>
                <w:rFonts w:hint="eastAsia" w:ascii="宋体" w:hAnsi="宋体" w:eastAsia="宋体" w:cs="宋体"/>
                <w:sz w:val="18"/>
                <w:szCs w:val="1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(2)违纪次数超标，</w:t>
            </w:r>
            <w:r>
              <w:rPr>
                <w:rFonts w:hint="eastAsia" w:ascii="宋体" w:hAnsi="宋体" w:eastAsia="宋体" w:cs="宋体"/>
                <w:sz w:val="18"/>
                <w:szCs w:val="18"/>
                <w:lang w:eastAsia="zh-CN"/>
              </w:rPr>
              <w:t>一</w:t>
            </w:r>
            <w:r>
              <w:rPr>
                <w:rFonts w:ascii="宋体" w:hAnsi="宋体" w:eastAsia="宋体" w:cs="宋体"/>
                <w:sz w:val="18"/>
                <w:szCs w:val="18"/>
              </w:rPr>
              <w:t>票否决制，系数为0。</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I</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品德项</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评分标准:(1)员工支持率不低于85%，系数为1</w:t>
            </w:r>
            <w:r>
              <w:rPr>
                <w:rFonts w:hint="eastAsia" w:ascii="宋体" w:hAnsi="宋体" w:eastAsia="宋体" w:cs="宋体"/>
                <w:sz w:val="18"/>
                <w:szCs w:val="18"/>
                <w:lang w:eastAsia="zh-CN"/>
              </w:rPr>
              <w:t>；</w:t>
            </w:r>
            <w:r>
              <w:rPr>
                <w:rFonts w:ascii="宋体" w:hAnsi="宋体" w:eastAsia="宋体" w:cs="宋体"/>
                <w:sz w:val="18"/>
                <w:szCs w:val="18"/>
              </w:rPr>
              <w:t>(2)支持率不达标，一票否决制，系数为0。</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J</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成长项</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eastAsia="zh-CN"/>
              </w:rPr>
            </w:pPr>
            <w:r>
              <w:rPr>
                <w:rFonts w:ascii="宋体" w:hAnsi="宋体" w:eastAsia="宋体" w:cs="宋体"/>
                <w:sz w:val="18"/>
                <w:szCs w:val="18"/>
              </w:rPr>
              <w:t>评分标准:(1)学习投资等于或高于收入的5%，系数为1</w:t>
            </w:r>
            <w:r>
              <w:rPr>
                <w:rFonts w:hint="eastAsia" w:ascii="宋体" w:hAnsi="宋体" w:eastAsia="宋体" w:cs="宋体"/>
                <w:sz w:val="18"/>
                <w:szCs w:val="18"/>
                <w:lang w:eastAsia="zh-CN"/>
              </w:rPr>
              <w:t>；</w:t>
            </w:r>
            <w:r>
              <w:rPr>
                <w:rFonts w:ascii="宋体" w:hAnsi="宋体" w:eastAsia="宋体" w:cs="宋体"/>
                <w:sz w:val="18"/>
                <w:szCs w:val="18"/>
              </w:rPr>
              <w:t>(2)学习投资每降低1%，成长项系数降低0.05</w:t>
            </w:r>
            <w:r>
              <w:rPr>
                <w:rFonts w:hint="eastAsia" w:ascii="宋体" w:hAnsi="宋体" w:eastAsia="宋体" w:cs="宋体"/>
                <w:sz w:val="18"/>
                <w:szCs w:val="1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(3)成长项系数最低为0.80</w:t>
            </w:r>
            <w:r>
              <w:rPr>
                <w:rFonts w:hint="eastAsia" w:ascii="宋体" w:hAnsi="宋体" w:eastAsia="宋体" w:cs="宋体"/>
                <w:sz w:val="18"/>
                <w:szCs w:val="18"/>
                <w:lang w:eastAsia="zh-CN"/>
              </w:rPr>
              <w:t>。</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K</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育人项</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hint="eastAsia" w:ascii="宋体" w:hAnsi="宋体" w:eastAsia="宋体" w:cs="宋体"/>
                <w:sz w:val="18"/>
                <w:szCs w:val="18"/>
                <w:lang w:val="en-US" w:eastAsia="zh-CN"/>
              </w:rPr>
            </w:pPr>
            <w:r>
              <w:rPr>
                <w:rFonts w:ascii="宋体" w:hAnsi="宋体" w:eastAsia="宋体" w:cs="宋体"/>
                <w:sz w:val="18"/>
                <w:szCs w:val="18"/>
              </w:rPr>
              <w:t>评分标准:(1)每少培养一名，育人项系数降低0.</w:t>
            </w:r>
            <w:r>
              <w:rPr>
                <w:rFonts w:hint="eastAsia" w:ascii="宋体" w:hAnsi="宋体" w:eastAsia="宋体" w:cs="宋体"/>
                <w:sz w:val="18"/>
                <w:szCs w:val="18"/>
                <w:lang w:val="en-US" w:eastAsia="zh-CN"/>
              </w:rPr>
              <w:t>1；</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(2)育人项系数最低为0.80。</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L</w:t>
            </w:r>
          </w:p>
        </w:tc>
        <w:tc>
          <w:tcPr>
            <w:tcW w:w="131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rPr>
            </w:pPr>
            <w:r>
              <w:rPr>
                <w:rFonts w:ascii="宋体" w:hAnsi="宋体" w:eastAsia="宋体" w:cs="宋体"/>
                <w:sz w:val="18"/>
                <w:szCs w:val="18"/>
              </w:rPr>
              <w:t>激励额度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ascii="宋体" w:hAnsi="宋体" w:eastAsia="宋体" w:cs="宋体"/>
                <w:sz w:val="18"/>
                <w:szCs w:val="18"/>
                <w:vertAlign w:val="baseline"/>
              </w:rPr>
            </w:pPr>
            <w:r>
              <w:rPr>
                <w:rFonts w:ascii="宋体" w:hAnsi="宋体" w:eastAsia="宋体" w:cs="宋体"/>
                <w:sz w:val="18"/>
                <w:szCs w:val="18"/>
              </w:rPr>
              <w:t>评估结果</w:t>
            </w:r>
          </w:p>
        </w:tc>
        <w:tc>
          <w:tcPr>
            <w:tcW w:w="4769"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r>
              <w:rPr>
                <w:rFonts w:ascii="宋体" w:hAnsi="宋体" w:eastAsia="宋体" w:cs="宋体"/>
                <w:sz w:val="18"/>
                <w:szCs w:val="18"/>
              </w:rPr>
              <w:t>实际激励额度=应激励额度</w:t>
            </w:r>
            <w:r>
              <w:rPr>
                <w:rFonts w:hint="eastAsia" w:ascii="宋体" w:hAnsi="宋体" w:eastAsia="宋体" w:cs="宋体"/>
                <w:sz w:val="18"/>
                <w:szCs w:val="18"/>
              </w:rPr>
              <w:t>×</w:t>
            </w:r>
            <w:r>
              <w:rPr>
                <w:rFonts w:ascii="宋体" w:hAnsi="宋体" w:eastAsia="宋体" w:cs="宋体"/>
                <w:sz w:val="18"/>
                <w:szCs w:val="18"/>
              </w:rPr>
              <w:t>价值观系数</w:t>
            </w:r>
            <w:r>
              <w:rPr>
                <w:rFonts w:hint="eastAsia" w:ascii="宋体" w:hAnsi="宋体" w:eastAsia="宋体" w:cs="宋体"/>
                <w:sz w:val="18"/>
                <w:szCs w:val="18"/>
              </w:rPr>
              <w:t>×</w:t>
            </w:r>
            <w:r>
              <w:rPr>
                <w:rFonts w:ascii="宋体" w:hAnsi="宋体" w:eastAsia="宋体" w:cs="宋体"/>
                <w:sz w:val="18"/>
                <w:szCs w:val="18"/>
              </w:rPr>
              <w:t>公司指标系数</w:t>
            </w:r>
            <w:r>
              <w:rPr>
                <w:rFonts w:hint="eastAsia" w:ascii="宋体" w:hAnsi="宋体" w:eastAsia="宋体" w:cs="宋体"/>
                <w:sz w:val="18"/>
                <w:szCs w:val="18"/>
              </w:rPr>
              <w:t>×</w:t>
            </w:r>
            <w:r>
              <w:rPr>
                <w:rFonts w:ascii="宋体" w:hAnsi="宋体" w:eastAsia="宋体" w:cs="宋体"/>
                <w:sz w:val="18"/>
                <w:szCs w:val="18"/>
              </w:rPr>
              <w:t>自律项系数</w:t>
            </w:r>
            <w:r>
              <w:rPr>
                <w:rFonts w:hint="eastAsia" w:ascii="宋体" w:hAnsi="宋体" w:eastAsia="宋体" w:cs="宋体"/>
                <w:sz w:val="18"/>
                <w:szCs w:val="18"/>
              </w:rPr>
              <w:t>×</w:t>
            </w:r>
            <w:r>
              <w:rPr>
                <w:rFonts w:ascii="宋体" w:hAnsi="宋体" w:eastAsia="宋体" w:cs="宋体"/>
                <w:sz w:val="18"/>
                <w:szCs w:val="18"/>
              </w:rPr>
              <w:t>品德项系数</w:t>
            </w:r>
            <w:r>
              <w:rPr>
                <w:rFonts w:hint="eastAsia" w:ascii="宋体" w:hAnsi="宋体" w:eastAsia="宋体" w:cs="宋体"/>
                <w:sz w:val="18"/>
                <w:szCs w:val="18"/>
              </w:rPr>
              <w:t>×</w:t>
            </w:r>
            <w:r>
              <w:rPr>
                <w:rFonts w:ascii="宋体" w:hAnsi="宋体" w:eastAsia="宋体" w:cs="宋体"/>
                <w:sz w:val="18"/>
                <w:szCs w:val="18"/>
              </w:rPr>
              <w:t>成长项系数</w:t>
            </w:r>
            <w:r>
              <w:rPr>
                <w:rFonts w:hint="eastAsia" w:ascii="宋体" w:hAnsi="宋体" w:eastAsia="宋体" w:cs="宋体"/>
                <w:sz w:val="18"/>
                <w:szCs w:val="18"/>
              </w:rPr>
              <w:t>×</w:t>
            </w:r>
            <w:r>
              <w:rPr>
                <w:rFonts w:ascii="宋体" w:hAnsi="宋体" w:eastAsia="宋体" w:cs="宋体"/>
                <w:sz w:val="18"/>
                <w:szCs w:val="18"/>
              </w:rPr>
              <w:t>育人项系数</w:t>
            </w:r>
          </w:p>
        </w:tc>
        <w:tc>
          <w:tcPr>
            <w:tcW w:w="1877"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both"/>
              <w:textAlignment w:val="auto"/>
              <w:rPr>
                <w:rFonts w:ascii="宋体" w:hAnsi="宋体" w:eastAsia="宋体" w:cs="宋体"/>
                <w:sz w:val="18"/>
                <w:szCs w:val="18"/>
                <w:vertAlign w:val="baseline"/>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jc w:val="center"/>
        <w:textAlignment w:val="auto"/>
        <w:rPr>
          <w:rFonts w:hint="eastAsia" w:ascii="宋体" w:hAnsi="宋体" w:eastAsia="宋体" w:cs="宋体"/>
          <w:b/>
          <w:bCs/>
          <w:sz w:val="21"/>
          <w:szCs w:val="21"/>
          <w:lang w:val="en-US" w:eastAsia="zh-CN"/>
        </w:rPr>
      </w:pPr>
    </w:p>
    <w:p>
      <w:pPr>
        <w:pStyle w:val="2"/>
        <w:numPr>
          <w:ilvl w:val="0"/>
          <w:numId w:val="0"/>
        </w:numPr>
        <w:bidi w:val="0"/>
        <w:spacing w:line="240" w:lineRule="auto"/>
        <w:ind w:left="403" w:leftChars="0"/>
        <w:jc w:val="center"/>
      </w:pPr>
      <w:bookmarkStart w:id="16" w:name="_Toc8621"/>
      <w:r>
        <w:rPr>
          <w:rFonts w:hint="eastAsia"/>
          <w:lang w:val="en-US" w:eastAsia="zh-CN"/>
        </w:rPr>
        <w:t>9.</w:t>
      </w:r>
      <w:r>
        <w:t>分红支付方式</w:t>
      </w:r>
      <w:bookmarkEnd w:id="16"/>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(1)若激励对象上年度的超额利润分红金额低于5万元，则该激励奖金一次性发放</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(2)若激励对象上年度的超额利润分红金额大于5万元，则采用5:3:2原则分三次递延支付(即在三年内，评估期结束后的第一年发放50%，第二年发30%，第三年发20%)</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(3)在公司按照本激励方案的规定向激励对象实际发放激励分红时，激励对象必须在岗在职</w:t>
      </w:r>
      <w:r>
        <w:rPr>
          <w:rFonts w:hint="eastAsia" w:ascii="宋体" w:hAnsi="宋体" w:eastAsia="宋体" w:cs="宋体"/>
          <w:sz w:val="24"/>
          <w:szCs w:val="24"/>
          <w:lang w:eastAsia="zh-CN"/>
        </w:rPr>
        <w:t>；</w:t>
      </w:r>
      <w:r>
        <w:rPr>
          <w:rFonts w:ascii="宋体" w:hAnsi="宋体" w:eastAsia="宋体" w:cs="宋体"/>
          <w:sz w:val="24"/>
          <w:szCs w:val="24"/>
        </w:rPr>
        <w:t>对于实际发放时已经不在岗在职的人员，则无权再按照本激励方案的规定享受激励分红</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(4)本激励方案项下的分红在评估当年的春节前发放，公司在向微励对象发放分红时(以工资的形式发放)，有权按照相关法律的规定代扣代缴相应的个人所得税。</w:t>
      </w:r>
    </w:p>
    <w:p>
      <w:pPr>
        <w:pStyle w:val="2"/>
        <w:numPr>
          <w:ilvl w:val="0"/>
          <w:numId w:val="0"/>
        </w:numPr>
        <w:bidi w:val="0"/>
        <w:spacing w:line="240" w:lineRule="auto"/>
        <w:ind w:left="403" w:leftChars="0"/>
        <w:jc w:val="center"/>
      </w:pPr>
      <w:bookmarkStart w:id="17" w:name="_Toc27299"/>
      <w:r>
        <w:t>10.退出机制</w:t>
      </w:r>
      <w:bookmarkEnd w:id="17"/>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在本激励方案有效期内，激励对象如发生以下事由(包括但不限于)之一，自情况经公司董事会核实之日起即丧失激励资格，无权再参与本激励方案项下的超额利润激励，并取消截止当年尚未发放的超额利润激励奖金;情节严重的，公司依法追究其赔偿责任，并有权根据公司规章制度给予其相应处罚(相应处罚包括但不限于停止参与公司一切激励计划、取消职位资格甚至解除劳动合同关系);构成犯罪的，公司应将其移送司法机关追究刑事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ascii="宋体" w:hAnsi="宋体" w:eastAsia="宋体" w:cs="宋体"/>
          <w:sz w:val="24"/>
          <w:szCs w:val="24"/>
        </w:rPr>
        <w:t>因不能胜任工作岗位(职位)、违背职业道德、失职渎职等行为损害公司利益或声誉而导致的降职、调岗、解除劳动合同关系</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ascii="宋体" w:hAnsi="宋体" w:eastAsia="宋体" w:cs="宋体"/>
          <w:sz w:val="24"/>
          <w:szCs w:val="24"/>
        </w:rPr>
        <w:t>公司有足够的证据证明激励对象在公司任职期间，由于受贿索贿、贪污盗窃、泄漏公司经营和技术秘密、损害公司声誉等行为，给公司造成损失的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ascii="宋体" w:hAnsi="宋体" w:eastAsia="宋体" w:cs="宋体"/>
          <w:sz w:val="24"/>
          <w:szCs w:val="24"/>
        </w:rPr>
        <w:t>以任何形式(直接或间接)从事与公司及/或其下属公司或关联公司相同或相近的业务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default"/>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ascii="宋体" w:hAnsi="宋体" w:eastAsia="宋体" w:cs="宋体"/>
          <w:sz w:val="24"/>
          <w:szCs w:val="24"/>
        </w:rPr>
        <w:t>自行离职或被公司辞退</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hint="eastAsia" w:ascii="宋体" w:hAnsi="宋体" w:eastAsia="宋体" w:cs="宋体"/>
          <w:sz w:val="24"/>
          <w:szCs w:val="24"/>
          <w:lang w:eastAsia="zh-CN"/>
        </w:rPr>
        <w:t>）</w:t>
      </w:r>
      <w:r>
        <w:rPr>
          <w:rFonts w:ascii="宋体" w:hAnsi="宋体" w:eastAsia="宋体" w:cs="宋体"/>
          <w:sz w:val="24"/>
          <w:szCs w:val="24"/>
        </w:rPr>
        <w:t>死亡或宣告死亡</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6</w:t>
      </w:r>
      <w:r>
        <w:rPr>
          <w:rFonts w:hint="eastAsia" w:ascii="宋体" w:hAnsi="宋体" w:eastAsia="宋体" w:cs="宋体"/>
          <w:sz w:val="24"/>
          <w:szCs w:val="24"/>
          <w:lang w:eastAsia="zh-CN"/>
        </w:rPr>
        <w:t>）</w:t>
      </w:r>
      <w:r>
        <w:rPr>
          <w:rFonts w:ascii="宋体" w:hAnsi="宋体" w:eastAsia="宋体" w:cs="宋体"/>
          <w:sz w:val="24"/>
          <w:szCs w:val="24"/>
        </w:rPr>
        <w:t>严重违反公司规章制度、保密制度、与公司签署的廉洁协议、保密协议及竞业限制协议的行为</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7</w:t>
      </w:r>
      <w:r>
        <w:rPr>
          <w:rFonts w:hint="eastAsia" w:ascii="宋体" w:hAnsi="宋体" w:eastAsia="宋体" w:cs="宋体"/>
          <w:sz w:val="24"/>
          <w:szCs w:val="24"/>
          <w:lang w:eastAsia="zh-CN"/>
        </w:rPr>
        <w:t>）</w:t>
      </w:r>
      <w:r>
        <w:rPr>
          <w:rFonts w:ascii="宋体" w:hAnsi="宋体" w:eastAsia="宋体" w:cs="宋体"/>
          <w:sz w:val="24"/>
          <w:szCs w:val="24"/>
        </w:rPr>
        <w:t>违反国家法律法规并被行政处罚、刑事处罚的其它行为</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8</w:t>
      </w:r>
      <w:r>
        <w:rPr>
          <w:rFonts w:hint="eastAsia" w:ascii="宋体" w:hAnsi="宋体" w:eastAsia="宋体" w:cs="宋体"/>
          <w:sz w:val="24"/>
          <w:szCs w:val="24"/>
          <w:lang w:eastAsia="zh-CN"/>
        </w:rPr>
        <w:t>）</w:t>
      </w:r>
      <w:r>
        <w:rPr>
          <w:rFonts w:ascii="宋体" w:hAnsi="宋体" w:eastAsia="宋体" w:cs="宋体"/>
          <w:sz w:val="24"/>
          <w:szCs w:val="24"/>
        </w:rPr>
        <w:t>其它被公司董事会认定的不当行为。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p>
    <w:p>
      <w:pPr>
        <w:pStyle w:val="2"/>
        <w:numPr>
          <w:ilvl w:val="0"/>
          <w:numId w:val="0"/>
        </w:numPr>
        <w:bidi w:val="0"/>
        <w:spacing w:line="240" w:lineRule="auto"/>
        <w:ind w:left="403" w:leftChars="0"/>
        <w:jc w:val="center"/>
      </w:pPr>
      <w:bookmarkStart w:id="18" w:name="_Toc9423"/>
      <w:r>
        <w:t>附则</w:t>
      </w:r>
      <w:bookmarkEnd w:id="18"/>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本</w:t>
      </w:r>
      <w:r>
        <w:rPr>
          <w:rFonts w:ascii="宋体" w:hAnsi="宋体" w:eastAsia="宋体" w:cs="宋体"/>
          <w:sz w:val="24"/>
          <w:szCs w:val="24"/>
        </w:rPr>
        <w:t>激励方案由公司股东会审议批准，并由公司董事会负责解释及实施。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288"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2.参与本方案的激励对象与公司签订以下文件: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19" w:name="_Toc3726"/>
      <w:bookmarkStart w:id="20" w:name="_Toc17454"/>
      <w:r>
        <w:t>附件一:《股权激励(虚拟股)协议书》</w:t>
      </w:r>
      <w:bookmarkEnd w:id="19"/>
      <w:bookmarkEnd w:id="20"/>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21" w:name="_Toc16954"/>
      <w:bookmarkStart w:id="22" w:name="_Toc20176"/>
      <w:r>
        <w:t>附件二:《声明书》</w:t>
      </w:r>
      <w:bookmarkEnd w:id="21"/>
      <w:bookmarkEnd w:id="22"/>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23" w:name="_Toc20487"/>
      <w:bookmarkStart w:id="24" w:name="_Toc26479"/>
      <w:r>
        <w:t>附件三:《股权激励(虚拟股)分红评估表》</w:t>
      </w:r>
      <w:bookmarkEnd w:id="23"/>
      <w:bookmarkEnd w:id="24"/>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25" w:name="_Toc15960"/>
      <w:bookmarkStart w:id="26" w:name="_Toc5435"/>
      <w:r>
        <w:t>附件四:《年度重要任务呈现表》</w:t>
      </w:r>
      <w:bookmarkEnd w:id="25"/>
      <w:bookmarkEnd w:id="26"/>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27" w:name="_Toc4213"/>
      <w:bookmarkStart w:id="28" w:name="_Toc9863"/>
      <w:r>
        <w:t>附件五:《保密协议》</w:t>
      </w:r>
      <w:bookmarkEnd w:id="27"/>
      <w:bookmarkEnd w:id="28"/>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29" w:name="_Toc22084"/>
      <w:bookmarkStart w:id="30" w:name="_Toc23964"/>
      <w:r>
        <w:t>附件六:《廉洁协议》</w:t>
      </w:r>
      <w:bookmarkEnd w:id="29"/>
      <w:bookmarkEnd w:id="30"/>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31" w:name="_Toc3682"/>
      <w:bookmarkStart w:id="32" w:name="_Toc20049"/>
      <w:r>
        <w:t>附件七:《竞业限制协议》</w:t>
      </w:r>
      <w:bookmarkEnd w:id="31"/>
      <w:bookmarkEnd w:id="32"/>
    </w:p>
    <w:sectPr>
      <w:footerReference r:id="rId4" w:type="default"/>
      <w:pgSz w:w="11906" w:h="16838"/>
      <w:pgMar w:top="1440" w:right="1800" w:bottom="1440" w:left="1800" w:header="851" w:footer="992" w:gutter="0"/>
      <w:pgNumType w:fmt="decimal" w:start="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val="en-US" w:eastAsia="zh-CN"/>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default" w:eastAsiaTheme="minorEastAsia"/>
        <w:lang w:val="en-US" w:eastAsia="zh-CN"/>
      </w:rPr>
    </w:pPr>
    <w:r>
      <w:rPr>
        <w:rFonts w:hint="eastAsia"/>
        <w:lang w:val="en-US" w:eastAsia="zh-CN"/>
      </w:rPr>
      <w:t>XXX有限公司20xx年员工超额利润分红激励方案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A05EAE"/>
    <w:multiLevelType w:val="singleLevel"/>
    <w:tmpl w:val="91A05EAE"/>
    <w:lvl w:ilvl="0" w:tentative="0">
      <w:start w:val="1"/>
      <w:numFmt w:val="decimal"/>
      <w:lvlText w:val="(%1)"/>
      <w:lvlJc w:val="left"/>
      <w:pPr>
        <w:ind w:left="425" w:hanging="425"/>
      </w:pPr>
      <w:rPr>
        <w:rFonts w:hint="default"/>
      </w:rPr>
    </w:lvl>
  </w:abstractNum>
  <w:abstractNum w:abstractNumId="1">
    <w:nsid w:val="D838A457"/>
    <w:multiLevelType w:val="singleLevel"/>
    <w:tmpl w:val="D838A457"/>
    <w:lvl w:ilvl="0" w:tentative="0">
      <w:start w:val="1"/>
      <w:numFmt w:val="decimal"/>
      <w:lvlText w:val="(%1)"/>
      <w:lvlJc w:val="left"/>
      <w:pPr>
        <w:ind w:left="425" w:hanging="425"/>
      </w:pPr>
      <w:rPr>
        <w:rFonts w:hint="default"/>
      </w:rPr>
    </w:lvl>
  </w:abstractNum>
  <w:abstractNum w:abstractNumId="2">
    <w:nsid w:val="F7AEE291"/>
    <w:multiLevelType w:val="singleLevel"/>
    <w:tmpl w:val="F7AEE291"/>
    <w:lvl w:ilvl="0" w:tentative="0">
      <w:start w:val="1"/>
      <w:numFmt w:val="bullet"/>
      <w:lvlText w:val=""/>
      <w:lvlJc w:val="left"/>
      <w:pPr>
        <w:ind w:left="420" w:hanging="420"/>
      </w:pPr>
      <w:rPr>
        <w:rFonts w:hint="default" w:ascii="Wingdings" w:hAnsi="Wingdings"/>
      </w:rPr>
    </w:lvl>
  </w:abstractNum>
  <w:abstractNum w:abstractNumId="3">
    <w:nsid w:val="3A281F35"/>
    <w:multiLevelType w:val="singleLevel"/>
    <w:tmpl w:val="3A281F35"/>
    <w:lvl w:ilvl="0" w:tentative="0">
      <w:start w:val="1"/>
      <w:numFmt w:val="decimal"/>
      <w:suff w:val="space"/>
      <w:lvlText w:val="%1."/>
      <w:lvlJc w:val="left"/>
    </w:lvl>
  </w:abstractNum>
  <w:abstractNum w:abstractNumId="4">
    <w:nsid w:val="6E07FE31"/>
    <w:multiLevelType w:val="singleLevel"/>
    <w:tmpl w:val="6E07FE31"/>
    <w:lvl w:ilvl="0" w:tentative="0">
      <w:start w:val="1"/>
      <w:numFmt w:val="bullet"/>
      <w:lvlText w:val=""/>
      <w:lvlJc w:val="left"/>
      <w:pPr>
        <w:ind w:left="420" w:hanging="420"/>
      </w:pPr>
      <w:rPr>
        <w:rFonts w:hint="default" w:ascii="Wingdings" w:hAnsi="Wingdings"/>
      </w:rPr>
    </w:lvl>
  </w:abstractNum>
  <w:abstractNum w:abstractNumId="5">
    <w:nsid w:val="73705BAA"/>
    <w:multiLevelType w:val="singleLevel"/>
    <w:tmpl w:val="73705BAA"/>
    <w:lvl w:ilvl="0" w:tentative="0">
      <w:start w:val="1"/>
      <w:numFmt w:val="decimal"/>
      <w:lvlText w:val="(%1)"/>
      <w:lvlJc w:val="left"/>
      <w:pPr>
        <w:ind w:left="425" w:hanging="425"/>
      </w:pPr>
      <w:rPr>
        <w:rFonts w:hint="default"/>
      </w:rPr>
    </w:lvl>
  </w:abstractNum>
  <w:abstractNum w:abstractNumId="6">
    <w:nsid w:val="799A2452"/>
    <w:multiLevelType w:val="singleLevel"/>
    <w:tmpl w:val="799A2452"/>
    <w:lvl w:ilvl="0" w:tentative="0">
      <w:start w:val="1"/>
      <w:numFmt w:val="decimal"/>
      <w:pStyle w:val="2"/>
      <w:suff w:val="nothing"/>
      <w:lvlText w:val="%1．"/>
      <w:lvlJc w:val="left"/>
      <w:pPr>
        <w:ind w:left="0" w:firstLine="403"/>
      </w:pPr>
      <w:rPr>
        <w:rFonts w:hint="default" w:ascii="宋体" w:hAnsi="宋体"/>
        <w:sz w:val="24"/>
      </w:rPr>
    </w:lvl>
  </w:abstractNum>
  <w:num w:numId="1">
    <w:abstractNumId w:val="6"/>
  </w:num>
  <w:num w:numId="2">
    <w:abstractNumId w:val="3"/>
  </w:num>
  <w:num w:numId="3">
    <w:abstractNumId w:val="4"/>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5900AE"/>
    <w:rsid w:val="4A7536F5"/>
    <w:rsid w:val="4BB3019A"/>
    <w:rsid w:val="57C843E3"/>
    <w:rsid w:val="59C17581"/>
    <w:rsid w:val="5A333C56"/>
    <w:rsid w:val="68B84CE5"/>
    <w:rsid w:val="782C27D0"/>
    <w:rsid w:val="7C426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0"/>
    <w:pPr>
      <w:keepNext/>
      <w:keepLines/>
      <w:numPr>
        <w:ilvl w:val="0"/>
        <w:numId w:val="1"/>
      </w:numPr>
      <w:spacing w:before="100" w:beforeLines="100" w:beforeAutospacing="0" w:afterLines="0" w:afterAutospacing="0" w:line="360" w:lineRule="auto"/>
      <w:jc w:val="center"/>
      <w:outlineLvl w:val="0"/>
    </w:pPr>
    <w:rPr>
      <w:rFonts w:asciiTheme="minorAscii" w:hAnsiTheme="minorAscii"/>
      <w:b/>
      <w:kern w:val="44"/>
      <w:sz w:val="2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Char"/>
    <w:link w:val="2"/>
    <w:qFormat/>
    <w:uiPriority w:val="0"/>
    <w:rPr>
      <w:rFonts w:asciiTheme="minorAscii" w:hAnsiTheme="minorAscii" w:eastAsiaTheme="minorEastAsia"/>
      <w:b/>
      <w:kern w:val="44"/>
      <w:sz w:val="24"/>
    </w:rPr>
  </w:style>
  <w:style w:type="paragraph" w:customStyle="1" w:styleId="10">
    <w:name w:val="样式1"/>
    <w:basedOn w:val="2"/>
    <w:next w:val="1"/>
    <w:link w:val="11"/>
    <w:qFormat/>
    <w:uiPriority w:val="0"/>
    <w:pPr>
      <w:spacing w:line="360" w:lineRule="auto"/>
      <w:jc w:val="center"/>
    </w:pPr>
    <w:rPr>
      <w:rFonts w:asciiTheme="minorAscii" w:hAnsiTheme="minorAscii"/>
      <w:sz w:val="24"/>
    </w:rPr>
  </w:style>
  <w:style w:type="character" w:customStyle="1" w:styleId="11">
    <w:name w:val="样式1 Char"/>
    <w:link w:val="10"/>
    <w:qFormat/>
    <w:uiPriority w:val="0"/>
    <w:rPr>
      <w:rFonts w:asciiTheme="minorAscii" w:hAnsiTheme="minorAscii"/>
      <w:sz w:val="24"/>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