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股权激励管理办法</w:t>
      </w:r>
    </w:p>
    <w:p>
      <w:pPr>
        <w:jc w:val="center"/>
        <w:rPr>
          <w:rFonts w:hint="eastAsia"/>
          <w:b/>
          <w:bCs/>
          <w:sz w:val="32"/>
          <w:szCs w:val="32"/>
          <w:lang w:val="en-US" w:eastAsia="zh-CN"/>
        </w:rPr>
      </w:pPr>
      <w:r>
        <w:rPr>
          <w:rFonts w:hint="eastAsia"/>
          <w:b/>
          <w:bCs/>
          <w:sz w:val="32"/>
          <w:szCs w:val="32"/>
          <w:lang w:val="en-US" w:eastAsia="zh-CN"/>
        </w:rPr>
        <w:t>（135渐进式激励法）</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after="240" w:afterAutospacing="0" w:line="288" w:lineRule="auto"/>
        <w:ind w:firstLine="480" w:firstLineChars="200"/>
        <w:textAlignment w:val="auto"/>
        <w:rPr>
          <w:rFonts w:ascii="宋体" w:hAnsi="宋体" w:eastAsia="宋体" w:cs="宋体"/>
          <w:sz w:val="24"/>
          <w:szCs w:val="24"/>
        </w:rPr>
        <w:sectPr>
          <w:headerReference r:id="rId3"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240" w:afterAutospacing="0" w:line="288" w:lineRule="auto"/>
        <w:ind w:firstLine="560" w:firstLineChars="200"/>
        <w:jc w:val="center"/>
        <w:textAlignment w:val="auto"/>
        <w:rPr>
          <w:rFonts w:ascii="宋体" w:hAnsi="宋体" w:eastAsia="宋体" w:cs="宋体"/>
          <w:sz w:val="28"/>
          <w:szCs w:val="28"/>
        </w:rPr>
      </w:pPr>
      <w:r>
        <w:rPr>
          <w:rFonts w:ascii="宋体" w:hAnsi="宋体" w:eastAsia="宋体" w:cs="宋体"/>
          <w:sz w:val="28"/>
          <w:szCs w:val="28"/>
        </w:rPr>
        <w:t>股</w:t>
      </w:r>
      <w:r>
        <w:rPr>
          <w:rFonts w:hint="eastAsia" w:ascii="宋体" w:hAnsi="宋体" w:eastAsia="宋体" w:cs="宋体"/>
          <w:sz w:val="28"/>
          <w:szCs w:val="28"/>
          <w:lang w:eastAsia="zh-CN"/>
        </w:rPr>
        <w:t>权</w:t>
      </w:r>
      <w:r>
        <w:rPr>
          <w:rFonts w:ascii="宋体" w:hAnsi="宋体" w:eastAsia="宋体" w:cs="宋体"/>
          <w:sz w:val="28"/>
          <w:szCs w:val="28"/>
        </w:rPr>
        <w:t>激励管理办法</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default"/>
          <w:sz w:val="24"/>
          <w:szCs w:val="24"/>
          <w:lang w:val="en-US" w:eastAsia="zh-CN"/>
        </w:rPr>
      </w:pPr>
      <w:r>
        <w:rPr>
          <w:rFonts w:hint="eastAsia" w:ascii="宋体" w:hAnsi="宋体" w:eastAsia="宋体" w:cs="宋体"/>
          <w:sz w:val="24"/>
          <w:szCs w:val="24"/>
          <w:lang w:val="en-US" w:eastAsia="zh-CN"/>
        </w:rPr>
        <w:t>1.</w:t>
      </w:r>
      <w:r>
        <w:rPr>
          <w:rFonts w:ascii="宋体" w:hAnsi="宋体" w:eastAsia="宋体" w:cs="宋体"/>
          <w:sz w:val="24"/>
          <w:szCs w:val="24"/>
        </w:rPr>
        <w:t>目的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为了进步完善激励机制，有效地将员工利益与股东利益和公司利益结合起来，确保公司发展战略和经营目标的实现，改善公司治理，制定本办法。</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适用范围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公司对内部员工的股权激励适用本办法。</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术语解释</w:t>
      </w:r>
    </w:p>
    <w:p>
      <w:pPr>
        <w:keepNext w:val="0"/>
        <w:keepLines w:val="0"/>
        <w:pageBreakBefore w:val="0"/>
        <w:widowControl w:val="0"/>
        <w:numPr>
          <w:ilvl w:val="0"/>
          <w:numId w:val="1"/>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本办法所称在职分红是指把激励对象的年终奖励与公司利润挂钩的种内部激励机制。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持股平台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本办法所称持股平台是指持有公司股份，以对激励对象进行股权激励为目的而设立的有限合伙企业。</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激励模式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本办法采用的激励模式为135渐进式激励法。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公司实行135渐进式激励法的激励周期为八年，具体安排如下: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4.1一年在职分红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以一年为一个考核周期，根据激励对象的岗位价值和本人当年的绩效表现，获得利润分工</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4.2三年滚动考核</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对激励对象连续在职分红考核三年。三年滚动考核期结束后，确定激励对象是否获得注册股资格及获授份额。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4.3五年锁定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激励对象获得注册资格及确定获授股份份额后，进入五年锁定期。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锁定期结束后，为激励对象办理工商注册登记，成为注册股东，或按锁定期结束时的股价回购激励对象的股份。</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激励股份的来源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5.1注册股来源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公司将10%的股份用于本办法的的注册股激励。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5.2在职分红股来源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将公司当年度经审计净利润的10%作为本方案的在职分红股(以下简称分红股)激励。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为便于计算岗位实际获授分红股份额及注册股比例，本办法将预授分红股总额虚拟设定为1000万股。</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288"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一年在职分红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6.1确定激励资格和预授分红股份额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通过岗位价值和综合评价确定参与在职分红的激励对象的资格和预授每个激励对象分红股份额。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6.2在职分红的计算与发放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根据激励对象在一个考核周期的绩效表现调整预授的分红股份额，确定实际获得的分红股份额，按其实际获得的分红股份额计算其享有的利润分红。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激励对象所获得的利润分红在次年三月份一次性发放。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公司从年度税后利润中提取一定比例，用于激励对象的在职分红。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激励对象所得到的在职分红属于工资薪金所得，适用国家关于工资薪金收入的纳税规定，由公司代扣代缴。</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288"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三年滚动考核</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7.1协议签订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激励对象在职分红资格确定后，与公司签订《在职分红激励协议》，约定三年在职分红滚动考核期激励对象与公司双方的权利和义务。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激励对象与公司签订《在职分红激励协议》后，公司颁发《在职分红股预授书》给激励对象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7.2预授分红股份额的确定及考核标准制定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在连续三个考核周期中，根据岗位价值评估确定每个考核周期各激励对象预授的分红股份额，并制定每个激励对象每个考核周期的工作目标及评价标准。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7.3考核及分红发放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根据激励对象每个考核周期的绩效表现调整预授的分红股份额，确定激励对象本考核周期实际获得的分红股份额，按其实际获得的分红股份额计算其当年应该享有的利润分红并发放。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激励对象个人年度在职分红金额=公司当年在职分红总额</w:t>
      </w:r>
      <w:r>
        <w:rPr>
          <w:rFonts w:hint="eastAsia" w:ascii="宋体" w:hAnsi="宋体" w:eastAsia="宋体" w:cs="宋体"/>
          <w:sz w:val="24"/>
          <w:szCs w:val="24"/>
          <w:lang w:val="en-US" w:eastAsia="zh-CN"/>
        </w:rPr>
        <w:t>/</w:t>
      </w:r>
      <w:r>
        <w:rPr>
          <w:rFonts w:ascii="宋体" w:hAnsi="宋体" w:eastAsia="宋体" w:cs="宋体"/>
          <w:sz w:val="24"/>
          <w:szCs w:val="24"/>
        </w:rPr>
        <w:t>所有激励对象预授分红股之和</w:t>
      </w:r>
      <w:r>
        <w:rPr>
          <w:rFonts w:hint="eastAsia" w:ascii="宋体" w:hAnsi="宋体" w:eastAsia="宋体" w:cs="宋体"/>
          <w:sz w:val="24"/>
          <w:szCs w:val="24"/>
        </w:rPr>
        <w:t>×</w:t>
      </w:r>
      <w:r>
        <w:rPr>
          <w:rFonts w:ascii="宋体" w:hAnsi="宋体" w:eastAsia="宋体" w:cs="宋体"/>
          <w:sz w:val="24"/>
          <w:szCs w:val="24"/>
        </w:rPr>
        <w:t>个人实际获授股数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7.4确定获授注册股资格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激励对象通过三年在职分红滚动考核期后，是否获得注册股资格，需满足下列条件</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认可公司使命、愿景、价值观</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任何董事会成员拥有对激励对象本条</w:t>
      </w:r>
      <w:r>
        <w:rPr>
          <w:rFonts w:hint="eastAsia" w:ascii="宋体" w:hAnsi="宋体" w:eastAsia="宋体" w:cs="宋体"/>
          <w:sz w:val="24"/>
          <w:szCs w:val="24"/>
          <w:lang w:eastAsia="zh-CN"/>
        </w:rPr>
        <w:t>符合</w:t>
      </w:r>
      <w:r>
        <w:rPr>
          <w:rFonts w:ascii="宋体" w:hAnsi="宋体" w:eastAsia="宋体" w:cs="宋体"/>
          <w:sz w:val="24"/>
          <w:szCs w:val="24"/>
        </w:rPr>
        <w:t>性的一票否决权。</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无严重违纪</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考核期内，激励对象无严重反公司纪律，不适合成人出为注册股激励对象的行为。</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无董事会认定的不适合进行注册股激励的情形</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420" w:leftChars="0"/>
        <w:jc w:val="both"/>
        <w:textAlignment w:val="auto"/>
        <w:rPr>
          <w:rFonts w:ascii="宋体" w:hAnsi="宋体" w:eastAsia="宋体" w:cs="宋体"/>
          <w:sz w:val="24"/>
          <w:szCs w:val="24"/>
        </w:rPr>
      </w:pPr>
      <w:r>
        <w:rPr>
          <w:rFonts w:ascii="宋体" w:hAnsi="宋体" w:eastAsia="宋体" w:cs="宋体"/>
          <w:sz w:val="24"/>
          <w:szCs w:val="24"/>
        </w:rPr>
        <w:t>董事会拥有注册股资格的最终决定权。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7.5激励对象获授注册股份额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根据激励对象三年在职分红综合考评结果，</w:t>
      </w:r>
      <w:r>
        <w:rPr>
          <w:rFonts w:hint="eastAsia" w:ascii="宋体" w:hAnsi="宋体" w:eastAsia="宋体" w:cs="宋体"/>
          <w:sz w:val="24"/>
          <w:szCs w:val="24"/>
          <w:lang w:eastAsia="zh-CN"/>
        </w:rPr>
        <w:t>确定</w:t>
      </w:r>
      <w:r>
        <w:rPr>
          <w:rFonts w:ascii="宋体" w:hAnsi="宋体" w:eastAsia="宋体" w:cs="宋体"/>
          <w:sz w:val="24"/>
          <w:szCs w:val="24"/>
        </w:rPr>
        <w:t>激励对象最终获授的注册股份额。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激励对象注册股份额</w:t>
      </w:r>
      <w:r>
        <w:rPr>
          <w:rFonts w:hint="eastAsia" w:ascii="宋体" w:hAnsi="宋体" w:eastAsia="宋体" w:cs="宋体"/>
          <w:sz w:val="24"/>
          <w:szCs w:val="24"/>
          <w:lang w:val="en-US" w:eastAsia="zh-CN"/>
        </w:rPr>
        <w:t>=</w:t>
      </w:r>
      <w:r>
        <w:rPr>
          <w:rFonts w:ascii="宋体" w:hAnsi="宋体" w:eastAsia="宋体" w:cs="宋体"/>
          <w:sz w:val="24"/>
          <w:szCs w:val="24"/>
        </w:rPr>
        <w:t>该激励对象三年内实际获得的分</w:t>
      </w:r>
      <w:r>
        <w:rPr>
          <w:rFonts w:hint="eastAsia" w:ascii="宋体" w:hAnsi="宋体" w:eastAsia="宋体" w:cs="宋体"/>
          <w:sz w:val="24"/>
          <w:szCs w:val="24"/>
          <w:lang w:eastAsia="zh-CN"/>
        </w:rPr>
        <w:t>红股总股数</w:t>
      </w:r>
      <w:r>
        <w:rPr>
          <w:rFonts w:hint="eastAsia" w:ascii="宋体" w:hAnsi="宋体" w:eastAsia="宋体" w:cs="宋体"/>
          <w:sz w:val="24"/>
          <w:szCs w:val="24"/>
          <w:lang w:val="en-US" w:eastAsia="zh-CN"/>
        </w:rPr>
        <w:t>/所有激励对象三年</w:t>
      </w:r>
      <w:r>
        <w:rPr>
          <w:rFonts w:ascii="宋体" w:hAnsi="宋体" w:eastAsia="宋体" w:cs="宋体"/>
          <w:sz w:val="24"/>
          <w:szCs w:val="24"/>
        </w:rPr>
        <w:t>内实际获得的分红股总股数之和</w:t>
      </w:r>
      <w:r>
        <w:rPr>
          <w:rFonts w:hint="eastAsia" w:ascii="宋体" w:hAnsi="宋体" w:eastAsia="宋体" w:cs="宋体"/>
          <w:sz w:val="24"/>
          <w:szCs w:val="24"/>
        </w:rPr>
        <w:t>×</w:t>
      </w:r>
      <w:r>
        <w:rPr>
          <w:rFonts w:ascii="宋体" w:hAnsi="宋体" w:eastAsia="宋体" w:cs="宋体"/>
          <w:sz w:val="24"/>
          <w:szCs w:val="24"/>
        </w:rPr>
        <w:t>10%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7.6激励对象购股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7.6.1公司股权估值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公司股权估值取下列两者中的较高者</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前十二个月净利润总额</w:t>
      </w:r>
      <w:r>
        <w:rPr>
          <w:rFonts w:hint="eastAsia" w:ascii="宋体" w:hAnsi="宋体" w:eastAsia="宋体" w:cs="宋体"/>
          <w:sz w:val="24"/>
          <w:szCs w:val="24"/>
        </w:rPr>
        <w:t>×</w:t>
      </w:r>
      <w:r>
        <w:rPr>
          <w:rFonts w:ascii="宋体" w:hAnsi="宋体" w:eastAsia="宋体" w:cs="宋体"/>
          <w:sz w:val="24"/>
          <w:szCs w:val="24"/>
        </w:rPr>
        <w:t>5</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公司净资产。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7.6.2确定购股价格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进入锁定期后，激励对象需向公司缴纳购股款</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购股款=公司估值</w:t>
      </w:r>
      <w:r>
        <w:rPr>
          <w:rFonts w:hint="eastAsia" w:ascii="宋体" w:hAnsi="宋体" w:eastAsia="宋体" w:cs="宋体"/>
          <w:sz w:val="24"/>
          <w:szCs w:val="24"/>
        </w:rPr>
        <w:t>×</w:t>
      </w:r>
      <w:r>
        <w:rPr>
          <w:rFonts w:ascii="宋体" w:hAnsi="宋体" w:eastAsia="宋体" w:cs="宋体"/>
          <w:sz w:val="24"/>
          <w:szCs w:val="24"/>
        </w:rPr>
        <w:t>激励对象注册股激励份额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7.6.3购股方式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激励对象的购股款平均分五期缴纳，每年为一期。</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8.</w:t>
      </w:r>
      <w:r>
        <w:rPr>
          <w:rFonts w:ascii="宋体" w:hAnsi="宋体" w:eastAsia="宋体" w:cs="宋体"/>
          <w:sz w:val="24"/>
          <w:szCs w:val="24"/>
        </w:rPr>
        <w:t>五年锁定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8.1协议签订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激励对象获授注册股资格确定后，与公司签订《股权激励协议》，约定五年锁定期激励对象与公司双方的权利和义务。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原激励对象与公司签订《股权激励协议》后，公司颁发 《股权授予书》给激励对象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8.2锁定期内激励对象的权益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锁定期内，激励对象享有已缴纳购股款的股份的分红收益，除此以外，不享有其他股东权利。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8.3购股保证金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8.3.1保证金数额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激励对象缴纳的首期购股款作为全部获授注册股份额的购股保证金。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8.3.2保证金扣减方式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激励对象违约，按以下方式扣减保证金</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若已发放的在职分红大于保证金，则扣减相当于保证金数额的在职分红</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若已发放的在职分红小于保证金，则扣减已发放的在职分红。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以下所称“扣减保证金”均指按此方式操作。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8.4终止及退出机制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8.4.1激励对象因素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激励对象与公司协商一致解除劳动合同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激励对象分红收益权终止，公司退回激励对象已经缴纳的全部购股款及年利率6%的利息，退回保证金，获授注册股份额由公司收回。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激励对象提出解除劳动合同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激励对象分红收益权终止，公司退回激励对象已经缴纳的全部购股款及年利率6%的利息，退回保证金，获授注册股份额由公司收回。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激励对象严重违纪，公司解除劳动合同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激励对象分红收益权终止，公司退回激励对象已经缴纳的全部购股款及年利率6%的利息，退回保证金，获授注册股份额由公司收回。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激励对象晋升、降级、调岗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根据新岗位价值调整激励数量:若增加额度，则激励对象需按照原价格补齐购股款;若降低激励额度，则公司按照原价格回购降低额度对应的购股款。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w:t>
      </w:r>
      <w:r>
        <w:rPr>
          <w:rFonts w:ascii="宋体" w:hAnsi="宋体" w:eastAsia="宋体" w:cs="宋体"/>
          <w:sz w:val="24"/>
          <w:szCs w:val="24"/>
        </w:rPr>
        <w:t>激励对象放弃购股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激励对象不按期缴纳购股款，放弃购股，则当期购股资格失效，公司相应地调整授予激励对象的注册股份额。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w:t>
      </w:r>
      <w:r>
        <w:rPr>
          <w:rFonts w:ascii="宋体" w:hAnsi="宋体" w:eastAsia="宋体" w:cs="宋体"/>
          <w:sz w:val="24"/>
          <w:szCs w:val="24"/>
        </w:rPr>
        <w:t>激励对象死亡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val="en-US" w:eastAsia="zh-CN"/>
        </w:rPr>
      </w:pPr>
      <w:r>
        <w:rPr>
          <w:rFonts w:ascii="宋体" w:hAnsi="宋体" w:eastAsia="宋体" w:cs="宋体"/>
          <w:sz w:val="24"/>
          <w:szCs w:val="24"/>
        </w:rPr>
        <w:t>按下列两种金额计算方式的较高者回购激励对象已缴纳购股款的股份，退回保证金，尚未缴纳购股款的注册股由公司收回</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当时激励对象所持的股份估值</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288" w:lineRule="auto"/>
        <w:ind w:firstLine="480" w:firstLineChars="200"/>
        <w:jc w:val="both"/>
        <w:textAlignment w:val="auto"/>
        <w:rPr>
          <w:rFonts w:hint="default"/>
          <w:sz w:val="24"/>
          <w:szCs w:val="24"/>
          <w:lang w:val="en-US" w:eastAsia="zh-CN"/>
        </w:rPr>
      </w:pPr>
      <w:r>
        <w:rPr>
          <w:rFonts w:ascii="宋体" w:hAnsi="宋体" w:eastAsia="宋体" w:cs="宋体"/>
          <w:sz w:val="24"/>
          <w:szCs w:val="24"/>
        </w:rPr>
        <w:t>已缴纳的购股款加年利率6%的利息。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8.4.2公司因素</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420" w:leftChars="200" w:firstLine="0" w:firstLineChars="0"/>
        <w:jc w:val="both"/>
        <w:textAlignment w:val="auto"/>
        <w:rPr>
          <w:rFonts w:ascii="宋体" w:hAnsi="宋体" w:eastAsia="宋体" w:cs="宋体"/>
          <w:sz w:val="24"/>
          <w:szCs w:val="24"/>
        </w:rPr>
      </w:pPr>
      <w:r>
        <w:rPr>
          <w:rFonts w:ascii="宋体" w:hAnsi="宋体" w:eastAsia="宋体" w:cs="宋体"/>
          <w:sz w:val="24"/>
          <w:szCs w:val="24"/>
        </w:rPr>
        <w:t>股权融资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公司进行对外股权融资时，根据实际情况按下列方式之一处理</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激励计划不变，或视情况调整激励对象获授注册股份额。</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firstLine="480" w:firstLineChars="200"/>
        <w:jc w:val="both"/>
        <w:textAlignment w:val="auto"/>
        <w:rPr>
          <w:rFonts w:hint="default"/>
          <w:sz w:val="24"/>
          <w:szCs w:val="24"/>
          <w:lang w:val="en-US" w:eastAsia="zh-CN"/>
        </w:rPr>
      </w:pPr>
      <w:r>
        <w:rPr>
          <w:rFonts w:ascii="宋体" w:hAnsi="宋体" w:eastAsia="宋体" w:cs="宋体"/>
          <w:sz w:val="24"/>
          <w:szCs w:val="24"/>
        </w:rPr>
        <w:t>提前结束锁定期，进行工商注册登记(补齐全款，注册全部股份，或仅注册已缴款的股份)。</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firstLine="480" w:firstLineChars="200"/>
        <w:jc w:val="both"/>
        <w:textAlignment w:val="auto"/>
        <w:rPr>
          <w:rFonts w:hint="default"/>
          <w:sz w:val="24"/>
          <w:szCs w:val="24"/>
          <w:lang w:val="en-US" w:eastAsia="zh-CN"/>
        </w:rPr>
      </w:pPr>
      <w:r>
        <w:rPr>
          <w:rFonts w:ascii="宋体" w:hAnsi="宋体" w:eastAsia="宋体" w:cs="宋体"/>
          <w:sz w:val="24"/>
          <w:szCs w:val="24"/>
        </w:rPr>
        <w:t>与投资机构协商后，回购部分或全部已缴纳购股款的股份。</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420" w:leftChars="200" w:firstLine="0" w:firstLineChars="0"/>
        <w:jc w:val="both"/>
        <w:textAlignment w:val="auto"/>
        <w:rPr>
          <w:rFonts w:ascii="宋体" w:hAnsi="宋体" w:eastAsia="宋体" w:cs="宋体"/>
          <w:sz w:val="24"/>
          <w:szCs w:val="24"/>
        </w:rPr>
      </w:pPr>
      <w:r>
        <w:rPr>
          <w:rFonts w:ascii="宋体" w:hAnsi="宋体" w:eastAsia="宋体" w:cs="宋体"/>
          <w:sz w:val="24"/>
          <w:szCs w:val="24"/>
        </w:rPr>
        <w:t>公司合并、分立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激励计划不变或视情况进行调整。</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420" w:leftChars="200" w:firstLine="0" w:firstLineChars="0"/>
        <w:jc w:val="both"/>
        <w:textAlignment w:val="auto"/>
        <w:rPr>
          <w:rFonts w:ascii="宋体" w:hAnsi="宋体" w:eastAsia="宋体" w:cs="宋体"/>
          <w:sz w:val="24"/>
          <w:szCs w:val="24"/>
        </w:rPr>
      </w:pPr>
      <w:r>
        <w:rPr>
          <w:rFonts w:ascii="宋体" w:hAnsi="宋体" w:eastAsia="宋体" w:cs="宋体"/>
          <w:sz w:val="24"/>
          <w:szCs w:val="24"/>
        </w:rPr>
        <w:t>启动上市计划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提前结束锁定期，补齐全款，参与股改。</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420" w:leftChars="200" w:firstLine="0" w:firstLineChars="0"/>
        <w:jc w:val="both"/>
        <w:textAlignment w:val="auto"/>
        <w:rPr>
          <w:rFonts w:ascii="宋体" w:hAnsi="宋体" w:eastAsia="宋体" w:cs="宋体"/>
          <w:sz w:val="24"/>
          <w:szCs w:val="24"/>
        </w:rPr>
      </w:pPr>
      <w:r>
        <w:rPr>
          <w:rFonts w:ascii="宋体" w:hAnsi="宋体" w:eastAsia="宋体" w:cs="宋体"/>
          <w:sz w:val="24"/>
          <w:szCs w:val="24"/>
        </w:rPr>
        <w:t>(4)公司进行经济性裁员，被裁人员包括激励对象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退回已经缴纳的全部购股款及年利率6%的利息,退回保证金，锁定股份由公司收回。</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hint="eastAsia" w:ascii="宋体" w:hAnsi="宋体" w:eastAsia="宋体" w:cs="宋体"/>
          <w:sz w:val="24"/>
          <w:szCs w:val="24"/>
          <w:lang w:val="en-US" w:eastAsia="zh-CN"/>
        </w:rPr>
        <w:t>9.</w:t>
      </w:r>
      <w:bookmarkStart w:id="0" w:name="_GoBack"/>
      <w:bookmarkEnd w:id="0"/>
      <w:r>
        <w:rPr>
          <w:rFonts w:ascii="宋体" w:hAnsi="宋体" w:eastAsia="宋体" w:cs="宋体"/>
          <w:sz w:val="24"/>
          <w:szCs w:val="24"/>
        </w:rPr>
        <w:t>锁定期后股份处理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激励股份通过五年锁定期后，根据公司和激励对象双方意愿，按以下两种方式之一进行处理</w:t>
      </w:r>
      <w:r>
        <w:rPr>
          <w:rFonts w:hint="eastAsia" w:ascii="宋体" w:hAnsi="宋体" w:eastAsia="宋体" w:cs="宋体"/>
          <w:sz w:val="24"/>
          <w:szCs w:val="24"/>
          <w:lang w:eastAsia="zh-CN"/>
        </w:rPr>
        <w:t>：</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激励股份注册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公司建立股权激励持股平台，持股平台占主体公司股权比例的20%。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激励对象在持股平台注册成为LP，其可注册的激励份额按比例兑换成持股平台的财产份额。</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股份回购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按锁定期结束时的股价回购激励对象的股份。</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10.</w:t>
      </w:r>
      <w:r>
        <w:rPr>
          <w:rFonts w:ascii="宋体" w:hAnsi="宋体" w:eastAsia="宋体" w:cs="宋体"/>
          <w:sz w:val="24"/>
          <w:szCs w:val="24"/>
        </w:rPr>
        <w:t>组织职责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10.1股东会</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288"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审议通过本办法和修订文本</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288"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审议通过每次激励方案</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审议通过《在职分红激励协议》和《股权激励协议》文本。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10.2董事会</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审核本办法和修订文本，提交股东会审议</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审核每次激励方案，提交股东会审议</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审核《在职分红激励协议》和《股权激励协议》文本，提交股东会审议</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288"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领导和监督本办法的实施。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10.3总裁办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hint="eastAsia" w:ascii="宋体" w:hAnsi="宋体" w:eastAsia="宋体" w:cs="宋体"/>
          <w:sz w:val="24"/>
          <w:szCs w:val="24"/>
          <w:lang w:eastAsia="zh-CN"/>
        </w:rPr>
      </w:pPr>
      <w:r>
        <w:rPr>
          <w:rFonts w:ascii="宋体" w:hAnsi="宋体" w:eastAsia="宋体" w:cs="宋体"/>
          <w:sz w:val="24"/>
          <w:szCs w:val="24"/>
        </w:rPr>
        <w:t>本办法的执行机构，可根据推进工作的需要设置项目组，职责</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eastAsia" w:ascii="宋体" w:hAnsi="宋体" w:eastAsia="宋体" w:cs="宋体"/>
          <w:sz w:val="24"/>
          <w:szCs w:val="24"/>
          <w:lang w:eastAsia="zh-CN"/>
        </w:rPr>
      </w:pPr>
      <w:r>
        <w:rPr>
          <w:rFonts w:ascii="宋体" w:hAnsi="宋体" w:eastAsia="宋体" w:cs="宋体"/>
          <w:sz w:val="24"/>
          <w:szCs w:val="24"/>
        </w:rPr>
        <w:t>制定本办法及配套文件的文本，报董事会审核和股东会审议</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制定每次激励的实施方案，报董事会审核和股东会审议</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确定参与在职分红的激励对象及获授分红股份额，报董事会审核和股东会审议</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确定激励对象获授注册股资格和获授注册股份额，报董事会审核和股东会审议</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代表公司与激励对象签订《在职分红激励协议》和《股权激励协议》</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保管激励对象名册</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计算和发放激励对象的在职分红和锁定股份的分红</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需要终止激励对象资格时，办理终止资格和退出权益事宜</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为通过锁定期的激励对象办理工商注册登记或股份回购事宜</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ascii="宋体" w:hAnsi="宋体" w:eastAsia="宋体" w:cs="宋体"/>
          <w:sz w:val="24"/>
          <w:szCs w:val="24"/>
        </w:rPr>
        <w:t>收集与分析问题，不断改进本办法的实施效果。</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11.</w:t>
      </w:r>
      <w:r>
        <w:rPr>
          <w:rFonts w:ascii="宋体" w:hAnsi="宋体" w:eastAsia="宋体" w:cs="宋体"/>
          <w:sz w:val="24"/>
          <w:szCs w:val="24"/>
        </w:rPr>
        <w:t>本办法由董事会负责解释。</w:t>
      </w:r>
    </w:p>
    <w:p>
      <w:pPr>
        <w:keepNext w:val="0"/>
        <w:keepLines w:val="0"/>
        <w:pageBreakBefore w:val="0"/>
        <w:widowControl w:val="0"/>
        <w:numPr>
          <w:numId w:val="0"/>
        </w:numPr>
        <w:kinsoku/>
        <w:wordWrap/>
        <w:overflowPunct/>
        <w:topLinePunct w:val="0"/>
        <w:autoSpaceDE/>
        <w:autoSpaceDN/>
        <w:bidi w:val="0"/>
        <w:adjustRightInd/>
        <w:snapToGrid/>
        <w:spacing w:afterAutospacing="0" w:line="288" w:lineRule="auto"/>
        <w:ind w:leftChars="200"/>
        <w:jc w:val="both"/>
        <w:textAlignment w:val="auto"/>
        <w:rPr>
          <w:rFonts w:hint="default"/>
          <w:sz w:val="24"/>
          <w:szCs w:val="24"/>
          <w:lang w:val="en-US" w:eastAsia="zh-CN"/>
        </w:rPr>
      </w:pPr>
      <w:r>
        <w:rPr>
          <w:rFonts w:hint="eastAsia" w:ascii="宋体" w:hAnsi="宋体" w:eastAsia="宋体" w:cs="宋体"/>
          <w:sz w:val="24"/>
          <w:szCs w:val="24"/>
          <w:lang w:val="en-US" w:eastAsia="zh-CN"/>
        </w:rPr>
        <w:t>12.</w:t>
      </w:r>
      <w:r>
        <w:rPr>
          <w:rFonts w:ascii="宋体" w:hAnsi="宋体" w:eastAsia="宋体" w:cs="宋体"/>
          <w:sz w:val="24"/>
          <w:szCs w:val="24"/>
        </w:rPr>
        <w:t>附件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r>
        <w:rPr>
          <w:rFonts w:ascii="宋体" w:hAnsi="宋体" w:eastAsia="宋体" w:cs="宋体"/>
          <w:sz w:val="24"/>
          <w:szCs w:val="24"/>
        </w:rPr>
        <w:t>附件一:《在职分红激励协议》</w:t>
      </w:r>
      <w:r>
        <w:rPr>
          <w:rFonts w:ascii="宋体" w:hAnsi="宋体" w:eastAsia="宋体" w:cs="宋体"/>
          <w:sz w:val="24"/>
          <w:szCs w:val="24"/>
        </w:rPr>
        <w:br w:type="textWrapping"/>
      </w:r>
      <w:r>
        <w:rPr>
          <w:rFonts w:ascii="宋体" w:hAnsi="宋体" w:eastAsia="宋体" w:cs="宋体"/>
          <w:sz w:val="24"/>
          <w:szCs w:val="24"/>
        </w:rPr>
        <w:t>附件二:《在职分红股预授书》</w:t>
      </w:r>
      <w:r>
        <w:rPr>
          <w:rFonts w:ascii="宋体" w:hAnsi="宋体" w:eastAsia="宋体" w:cs="宋体"/>
          <w:sz w:val="24"/>
          <w:szCs w:val="24"/>
        </w:rPr>
        <w:br w:type="textWrapping"/>
      </w:r>
      <w:r>
        <w:rPr>
          <w:rFonts w:ascii="宋体" w:hAnsi="宋体" w:eastAsia="宋体" w:cs="宋体"/>
          <w:sz w:val="24"/>
          <w:szCs w:val="24"/>
        </w:rPr>
        <w:t>附件三:《股权激励协议》</w:t>
      </w:r>
      <w:r>
        <w:rPr>
          <w:rFonts w:ascii="宋体" w:hAnsi="宋体" w:eastAsia="宋体" w:cs="宋体"/>
          <w:sz w:val="24"/>
          <w:szCs w:val="24"/>
        </w:rPr>
        <w:br w:type="textWrapping"/>
      </w:r>
      <w:r>
        <w:rPr>
          <w:rFonts w:ascii="宋体" w:hAnsi="宋体" w:eastAsia="宋体" w:cs="宋体"/>
          <w:sz w:val="24"/>
          <w:szCs w:val="24"/>
        </w:rPr>
        <w:t>附件四:《股权授予书》</w:t>
      </w:r>
      <w:r>
        <w:rPr>
          <w:rFonts w:ascii="宋体" w:hAnsi="宋体" w:eastAsia="宋体" w:cs="宋体"/>
          <w:sz w:val="24"/>
          <w:szCs w:val="24"/>
        </w:rPr>
        <w:br w:type="textWrapping"/>
      </w:r>
      <w:r>
        <w:rPr>
          <w:rFonts w:ascii="宋体" w:hAnsi="宋体" w:eastAsia="宋体" w:cs="宋体"/>
          <w:sz w:val="24"/>
          <w:szCs w:val="24"/>
        </w:rPr>
        <w:t>13.本办法经股东会审议通过后，由董事会颁布，自2022年1月1日起施行。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both"/>
        <w:textAlignment w:val="auto"/>
        <w:rPr>
          <w:rFonts w:ascii="宋体" w:hAnsi="宋体" w:eastAsia="宋体" w:cs="宋体"/>
          <w:sz w:val="24"/>
          <w:szCs w:val="24"/>
        </w:rPr>
      </w:pPr>
    </w:p>
    <w:p>
      <w:pPr>
        <w:keepNext w:val="0"/>
        <w:keepLines w:val="0"/>
        <w:pageBreakBefore w:val="0"/>
        <w:widowControl w:val="0"/>
        <w:numPr>
          <w:ilvl w:val="0"/>
          <w:numId w:val="0"/>
        </w:numPr>
        <w:kinsoku/>
        <w:wordWrap w:val="0"/>
        <w:overflowPunct/>
        <w:topLinePunct w:val="0"/>
        <w:autoSpaceDE/>
        <w:autoSpaceDN/>
        <w:bidi w:val="0"/>
        <w:adjustRightInd/>
        <w:snapToGrid/>
        <w:spacing w:afterAutospacing="0" w:line="288" w:lineRule="auto"/>
        <w:ind w:leftChars="200"/>
        <w:jc w:val="right"/>
        <w:textAlignment w:val="auto"/>
        <w:rPr>
          <w:rFonts w:hint="default" w:ascii="宋体" w:hAnsi="宋体" w:eastAsia="宋体" w:cs="宋体"/>
          <w:sz w:val="24"/>
          <w:szCs w:val="24"/>
          <w:lang w:val="en-US" w:eastAsia="zh-CN"/>
        </w:rPr>
      </w:pPr>
      <w:r>
        <w:rPr>
          <w:rFonts w:ascii="宋体" w:hAnsi="宋体" w:eastAsia="宋体" w:cs="宋体"/>
          <w:sz w:val="24"/>
          <w:szCs w:val="24"/>
        </w:rPr>
        <w:t>XXX有限责任公司</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right"/>
        <w:textAlignment w:val="auto"/>
        <w:rPr>
          <w:rFonts w:hint="default"/>
          <w:sz w:val="24"/>
          <w:szCs w:val="24"/>
          <w:lang w:val="en-US" w:eastAsia="zh-CN"/>
        </w:rPr>
      </w:pP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月</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日</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center"/>
      <w:rPr>
        <w:rFonts w:hint="eastAsia" w:eastAsiaTheme="minorEastAsia"/>
        <w:lang w:val="en-US" w:eastAsia="zh-CN"/>
      </w:rPr>
    </w:pPr>
    <w:r>
      <w:rPr>
        <w:rFonts w:hint="eastAsia"/>
        <w:lang w:val="en-US" w:eastAsia="zh-CN"/>
      </w:rPr>
      <w:t>1-3-5渐进式激励法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587B63"/>
    <w:multiLevelType w:val="singleLevel"/>
    <w:tmpl w:val="9B587B63"/>
    <w:lvl w:ilvl="0" w:tentative="0">
      <w:start w:val="4"/>
      <w:numFmt w:val="decimal"/>
      <w:suff w:val="space"/>
      <w:lvlText w:val="%1."/>
      <w:lvlJc w:val="left"/>
    </w:lvl>
  </w:abstractNum>
  <w:abstractNum w:abstractNumId="1">
    <w:nsid w:val="9B621DF1"/>
    <w:multiLevelType w:val="singleLevel"/>
    <w:tmpl w:val="9B621DF1"/>
    <w:lvl w:ilvl="0" w:tentative="0">
      <w:start w:val="1"/>
      <w:numFmt w:val="upperLetter"/>
      <w:lvlText w:val="%1."/>
      <w:lvlJc w:val="left"/>
      <w:pPr>
        <w:tabs>
          <w:tab w:val="left" w:pos="312"/>
        </w:tabs>
      </w:pPr>
    </w:lvl>
  </w:abstractNum>
  <w:abstractNum w:abstractNumId="2">
    <w:nsid w:val="C4A51EEA"/>
    <w:multiLevelType w:val="singleLevel"/>
    <w:tmpl w:val="C4A51EEA"/>
    <w:lvl w:ilvl="0" w:tentative="0">
      <w:start w:val="1"/>
      <w:numFmt w:val="decimal"/>
      <w:lvlText w:val="(%1)"/>
      <w:lvlJc w:val="left"/>
      <w:pPr>
        <w:ind w:left="425" w:hanging="425"/>
      </w:pPr>
      <w:rPr>
        <w:rFonts w:hint="default"/>
      </w:rPr>
    </w:lvl>
  </w:abstractNum>
  <w:abstractNum w:abstractNumId="3">
    <w:nsid w:val="F123094A"/>
    <w:multiLevelType w:val="singleLevel"/>
    <w:tmpl w:val="F123094A"/>
    <w:lvl w:ilvl="0" w:tentative="0">
      <w:start w:val="1"/>
      <w:numFmt w:val="decimal"/>
      <w:suff w:val="nothing"/>
      <w:lvlText w:val="（%1）"/>
      <w:lvlJc w:val="left"/>
    </w:lvl>
  </w:abstractNum>
  <w:abstractNum w:abstractNumId="4">
    <w:nsid w:val="03AC7B73"/>
    <w:multiLevelType w:val="singleLevel"/>
    <w:tmpl w:val="03AC7B73"/>
    <w:lvl w:ilvl="0" w:tentative="0">
      <w:start w:val="1"/>
      <w:numFmt w:val="decimal"/>
      <w:lvlText w:val="(%1)"/>
      <w:lvlJc w:val="left"/>
      <w:pPr>
        <w:ind w:left="425" w:hanging="425"/>
      </w:pPr>
      <w:rPr>
        <w:rFonts w:hint="default"/>
      </w:rPr>
    </w:lvl>
  </w:abstractNum>
  <w:abstractNum w:abstractNumId="5">
    <w:nsid w:val="1E16806F"/>
    <w:multiLevelType w:val="singleLevel"/>
    <w:tmpl w:val="1E16806F"/>
    <w:lvl w:ilvl="0" w:tentative="0">
      <w:start w:val="1"/>
      <w:numFmt w:val="decimal"/>
      <w:suff w:val="nothing"/>
      <w:lvlText w:val="（%1）"/>
      <w:lvlJc w:val="left"/>
    </w:lvl>
  </w:abstractNum>
  <w:abstractNum w:abstractNumId="6">
    <w:nsid w:val="3873FB27"/>
    <w:multiLevelType w:val="singleLevel"/>
    <w:tmpl w:val="3873FB27"/>
    <w:lvl w:ilvl="0" w:tentative="0">
      <w:start w:val="1"/>
      <w:numFmt w:val="decimal"/>
      <w:lvlText w:val="(%1)"/>
      <w:lvlJc w:val="left"/>
      <w:pPr>
        <w:ind w:left="425" w:hanging="425"/>
      </w:pPr>
      <w:rPr>
        <w:rFonts w:hint="default"/>
      </w:rPr>
    </w:lvl>
  </w:abstractNum>
  <w:abstractNum w:abstractNumId="7">
    <w:nsid w:val="4E8A85AA"/>
    <w:multiLevelType w:val="singleLevel"/>
    <w:tmpl w:val="4E8A85AA"/>
    <w:lvl w:ilvl="0" w:tentative="0">
      <w:start w:val="1"/>
      <w:numFmt w:val="decimal"/>
      <w:lvlText w:val="(%1)"/>
      <w:lvlJc w:val="left"/>
      <w:pPr>
        <w:ind w:left="425" w:hanging="425"/>
      </w:pPr>
      <w:rPr>
        <w:rFonts w:hint="default"/>
      </w:rPr>
    </w:lvl>
  </w:abstractNum>
  <w:abstractNum w:abstractNumId="8">
    <w:nsid w:val="50596984"/>
    <w:multiLevelType w:val="singleLevel"/>
    <w:tmpl w:val="50596984"/>
    <w:lvl w:ilvl="0" w:tentative="0">
      <w:start w:val="5"/>
      <w:numFmt w:val="decimal"/>
      <w:lvlText w:val="%1."/>
      <w:lvlJc w:val="left"/>
      <w:pPr>
        <w:tabs>
          <w:tab w:val="left" w:pos="312"/>
        </w:tabs>
      </w:pPr>
    </w:lvl>
  </w:abstractNum>
  <w:abstractNum w:abstractNumId="9">
    <w:nsid w:val="71DA257F"/>
    <w:multiLevelType w:val="singleLevel"/>
    <w:tmpl w:val="71DA257F"/>
    <w:lvl w:ilvl="0" w:tentative="0">
      <w:start w:val="1"/>
      <w:numFmt w:val="decimal"/>
      <w:lvlText w:val="(%1)"/>
      <w:lvlJc w:val="left"/>
      <w:pPr>
        <w:ind w:left="425" w:hanging="425"/>
      </w:pPr>
      <w:rPr>
        <w:rFonts w:hint="default"/>
      </w:rPr>
    </w:lvl>
  </w:abstractNum>
  <w:abstractNum w:abstractNumId="10">
    <w:nsid w:val="7C0BCC91"/>
    <w:multiLevelType w:val="singleLevel"/>
    <w:tmpl w:val="7C0BCC91"/>
    <w:lvl w:ilvl="0" w:tentative="0">
      <w:start w:val="1"/>
      <w:numFmt w:val="upperLetter"/>
      <w:lvlText w:val="%1."/>
      <w:lvlJc w:val="left"/>
      <w:pPr>
        <w:tabs>
          <w:tab w:val="left" w:pos="312"/>
        </w:tabs>
      </w:pPr>
    </w:lvl>
  </w:abstractNum>
  <w:num w:numId="1">
    <w:abstractNumId w:val="5"/>
  </w:num>
  <w:num w:numId="2">
    <w:abstractNumId w:val="0"/>
  </w:num>
  <w:num w:numId="3">
    <w:abstractNumId w:val="8"/>
  </w:num>
  <w:num w:numId="4">
    <w:abstractNumId w:val="6"/>
  </w:num>
  <w:num w:numId="5">
    <w:abstractNumId w:val="1"/>
  </w:num>
  <w:num w:numId="6">
    <w:abstractNumId w:val="4"/>
  </w:num>
  <w:num w:numId="7">
    <w:abstractNumId w:val="10"/>
  </w:num>
  <w:num w:numId="8">
    <w:abstractNumId w:val="2"/>
  </w:num>
  <w:num w:numId="9">
    <w:abstractNumId w:val="7"/>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A75337"/>
    <w:rsid w:val="5D3B3676"/>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2021-07-23T12:35:52Z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