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none" w:color="FFFFFF" w:sz="0"/>
          <w:left w:val="none" w:color="FFFFFF" w:sz="0"/>
          <w:bottom w:val="none" w:color="FFFFFF" w:sz="0"/>
          <w:right w:val="none" w:color="FFFFFF" w:sz="0"/>
          <w:insideH w:val="single" w:color="auto" w:sz="4"/>
          <w:insideV w:val="single" w:color="auto" w:sz="4"/>
        </w:tblBorders>
      </w:tblPr>
      <w:tblGrid>
        <w:gridCol w:w="11906"/>
      </w:tblGrid>
      <w:tr>
        <w:trPr>
          <w:trHeight w:val="5000" w:hRule="exact"/>
        </w:trPr>
        <w:tc>
          <w:tcPr>
            <w:tcW w:type="dxa" w:w="11906"/>
            <w:tcBorders>
              <w:top w:val="none" w:color="FFFFFF" w:sz="0"/>
              <w:left w:val="none" w:color="FFFFFF" w:sz="0"/>
              <w:bottom w:val="none" w:color="FFFFFF" w:sz="0"/>
              <w:right w:val="none" w:color="FFFFFF" w:sz="0"/>
            </w:tcBorders>
            <w:shd w:fill="1A1A2E" w:val="clear"/>
            <w:tcMar>
              <w:top w:type="dxa" w:w="1440"/>
              <w:left w:type="dxa" w:w="1440"/>
              <w:bottom w:type="dxa" w:w="0"/>
              <w:right w:type="dxa" w:w="1440"/>
            </w:tcMar>
            <w:vAlign w:val="center"/>
          </w:tcPr>
          <w:p>
            <w:pPr>
              <w:spacing w:before="600"/>
              <w:jc w:val="center"/>
            </w:pPr>
            <w:r>
              <w:rPr>
                <w:rFonts w:ascii="Arial" w:cs="Arial" w:eastAsia="Arial" w:hAnsi="Arial"/>
                <w:b/>
                <w:bCs/>
                <w:color w:val="CC0000"/>
                <w:sz w:val="72"/>
                <w:szCs w:val="72"/>
              </w:rPr>
              <w:t xml:space="preserve">POKEJAP.FR</w:t>
            </w:r>
          </w:p>
          <w:p>
            <w:pPr>
              <w:spacing w:after="200" w:before="120"/>
              <w:jc w:val="center"/>
            </w:pPr>
            <w:r>
              <w:rPr>
                <w:rFonts w:ascii="Arial" w:cs="Arial" w:eastAsia="Arial" w:hAnsi="Arial"/>
                <w:color w:val="CCCCCC"/>
                <w:sz w:val="32"/>
                <w:szCs w:val="32"/>
              </w:rPr>
              <w:t xml:space="preserve">Cartes Pokémon Japonaises</w:t>
            </w:r>
          </w:p>
          <w:p>
            <w:pPr>
              <w:pBdr>
                <w:top w:val="single" w:color="CC0000" w:sz="6" w:space="6"/>
              </w:pBdr>
              <w:spacing w:after="0" w:before="200"/>
              <w:jc w:val="center"/>
            </w:pPr>
            <w:r>
              <w:rPr>
                <w:sz w:val="20"/>
                <w:szCs w:val="20"/>
              </w:rPr>
              <w:t xml:space="preserve"> </w:t>
            </w:r>
          </w:p>
        </w:tc>
      </w:tr>
      <w:tr>
        <w:trPr>
          <w:trHeight w:val="4000" w:hRule="exact"/>
        </w:trPr>
        <w:tc>
          <w:tcPr>
            <w:tcW w:type="dxa" w:w="11906"/>
            <w:tcBorders>
              <w:top w:val="none" w:color="FFFFFF" w:sz="0"/>
              <w:left w:val="none" w:color="FFFFFF" w:sz="0"/>
              <w:bottom w:val="none" w:color="FFFFFF" w:sz="0"/>
              <w:right w:val="none" w:color="FFFFFF" w:sz="0"/>
            </w:tcBorders>
            <w:shd w:fill="CC0000" w:val="clear"/>
            <w:tcMar>
              <w:top w:type="dxa" w:w="600"/>
              <w:left w:type="dxa" w:w="1440"/>
              <w:bottom w:type="dxa" w:w="0"/>
              <w:right w:type="dxa" w:w="1440"/>
            </w:tcMar>
            <w:vAlign w:val="center"/>
          </w:tcPr>
          <w:p>
            <w:pPr>
              <w:jc w:val="center"/>
            </w:pPr>
            <w:r>
              <w:rPr>
                <w:rFonts w:ascii="Arial" w:cs="Arial" w:eastAsia="Arial" w:hAnsi="Arial"/>
                <w:b/>
                <w:bCs/>
                <w:color w:val="FFFFFF"/>
                <w:sz w:val="52"/>
                <w:szCs w:val="52"/>
              </w:rPr>
              <w:t xml:space="preserve">PLAN STRATÉGIQUE</w:t>
            </w:r>
          </w:p>
          <w:p>
            <w:pPr>
              <w:spacing w:before="160"/>
              <w:jc w:val="center"/>
            </w:pPr>
            <w:r>
              <w:rPr>
                <w:rFonts w:ascii="Arial" w:cs="Arial" w:eastAsia="Arial" w:hAnsi="Arial"/>
                <w:color w:val="FFDDDD"/>
                <w:sz w:val="26"/>
                <w:szCs w:val="26"/>
              </w:rPr>
              <w:t xml:space="preserve">Analyse SWOT · Marketing Mix · Plan de Communication</w:t>
            </w:r>
          </w:p>
        </w:tc>
      </w:tr>
      <w:tr>
        <w:trPr>
          <w:trHeight w:val="7838" w:hRule="exact"/>
        </w:trPr>
        <w:tc>
          <w:tcPr>
            <w:tcW w:type="dxa" w:w="11906"/>
            <w:tcBorders>
              <w:top w:val="none" w:color="FFFFFF" w:sz="0"/>
              <w:left w:val="none" w:color="FFFFFF" w:sz="0"/>
              <w:bottom w:val="none" w:color="FFFFFF" w:sz="0"/>
              <w:right w:val="none" w:color="FFFFFF" w:sz="0"/>
            </w:tcBorders>
            <w:shd w:fill="F9F9F9" w:val="clear"/>
            <w:tcMar>
              <w:top w:type="dxa" w:w="800"/>
              <w:left w:type="dxa" w:w="1440"/>
              <w:bottom w:type="dxa" w:w="0"/>
              <w:right w:type="dxa" w:w="1440"/>
            </w:tcMar>
            <w:vAlign w:val="center"/>
          </w:tcPr>
          <w:p>
            <w:pPr>
              <w:jc w:val="center"/>
            </w:pPr>
            <w:r>
              <w:rPr>
                <w:rFonts w:ascii="Arial" w:cs="Arial" w:eastAsia="Arial" w:hAnsi="Arial"/>
                <w:color w:val="555555"/>
                <w:sz w:val="22"/>
                <w:szCs w:val="22"/>
              </w:rPr>
              <w:t xml:space="preserve">Préparé pour</w:t>
            </w:r>
          </w:p>
          <w:p>
            <w:pPr>
              <w:spacing w:before="60"/>
              <w:jc w:val="center"/>
            </w:pPr>
            <w:r>
              <w:rPr>
                <w:rFonts w:ascii="Arial" w:cs="Arial" w:eastAsia="Arial" w:hAnsi="Arial"/>
                <w:b/>
                <w:bCs/>
                <w:color w:val="1A1A2E"/>
                <w:sz w:val="28"/>
                <w:szCs w:val="28"/>
              </w:rPr>
              <w:t xml:space="preserve">Gabriel Romano — pokejap.fr</w:t>
            </w:r>
          </w:p>
          <w:p>
            <w:pPr>
              <w:spacing w:before="120"/>
              <w:jc w:val="center"/>
            </w:pPr>
            <w:r>
              <w:rPr>
                <w:rFonts w:ascii="Arial" w:cs="Arial" w:eastAsia="Arial" w:hAnsi="Arial"/>
                <w:color w:val="555555"/>
                <w:sz w:val="22"/>
                <w:szCs w:val="22"/>
              </w:rPr>
              <w:t xml:space="preserve">Juillet 2026</w:t>
            </w:r>
          </w:p>
        </w:tc>
      </w:tr>
    </w:tbl>
    <w:p>
      <w:pPr>
        <w:sectPr>
          <w:pgSz w:w="11906" w:h="16838" w:orient="portrait"/>
          <w:pgMar w:top="0" w:right="0" w:bottom="0" w:left="0" w:header="708" w:footer="708" w:gutter="0"/>
          <w:pgNumType/>
          <w:docGrid w:linePitch="360"/>
        </w:sectPr>
      </w:pPr>
    </w:p>
    <w:p>
      <w:pPr>
        <w:pStyle w:val="Heading1"/>
        <w:pBdr>
          <w:bottom w:val="single" w:color="CC0000" w:sz="8" w:space="6"/>
        </w:pBdr>
        <w:spacing w:after="160" w:before="360"/>
      </w:pPr>
      <w:r>
        <w:rPr>
          <w:rFonts w:ascii="Arial" w:cs="Arial" w:eastAsia="Arial" w:hAnsi="Arial"/>
          <w:b/>
          <w:bCs/>
          <w:color w:val="CC0000"/>
          <w:sz w:val="30"/>
          <w:szCs w:val="30"/>
        </w:rPr>
        <w:t xml:space="preserve">1. Contexte de l'activité</w:t>
      </w:r>
    </w:p>
    <w:p>
      <w:pPr>
        <w:spacing w:after="60" w:before="60"/>
      </w:pPr>
      <w:r>
        <w:rPr>
          <w:rFonts w:ascii="Arial" w:cs="Arial" w:eastAsia="Arial" w:hAnsi="Arial"/>
          <w:color w:val="333333"/>
          <w:sz w:val="20"/>
          <w:szCs w:val="20"/>
        </w:rPr>
        <w:t xml:space="preserve">pokejap.fr est une boutique e-commerce spécialisée dans la vente de cartes Pokémon japonaises (singles). Lancée en 2026, elle propose un catalogue de 26 éditions japonaises et plus de 100 cartes rares (SAR, SIR, SR), avec une extension en cours vers le dropshipping de produits scellés (displays, ETB, boosters) via les fournisseurs Hikaru Distribution et TCGdirect.</w:t>
      </w:r>
    </w:p>
    <w:p>
      <w:r>
        <w:rPr>
          <w:sz w:val="20"/>
          <w:szCs w:val="20"/>
        </w:rPr>
        <w:t xml:space="preserve"/>
      </w:r>
    </w:p>
    <w:tbl>
      <w:tblPr>
        <w:tblW w:type="dxa" w:w="9906"/>
        <w:tblBorders>
          <w:top w:val="none" w:color="FFFFFF" w:sz="0"/>
          <w:left w:val="none" w:color="FFFFFF" w:sz="0"/>
          <w:bottom w:val="none" w:color="FFFFFF" w:sz="0"/>
          <w:right w:val="none" w:color="FFFFFF" w:sz="0"/>
          <w:insideH w:val="single" w:color="auto" w:sz="4"/>
          <w:insideV w:val="single" w:color="auto" w:sz="4"/>
        </w:tblBorders>
      </w:tblPr>
      <w:tblGrid>
        <w:gridCol w:w="2200"/>
        <w:gridCol w:w="7706"/>
      </w:tblGrid>
      <w:tr>
        <w:tc>
          <w:tcPr>
            <w:tcW w:type="dxa" w:w="2200"/>
            <w:tcBorders>
              <w:top w:val="single" w:color="DDDDDD" w:sz="4"/>
              <w:left w:val="single" w:color="DDDDDD" w:sz="4"/>
              <w:bottom w:val="single" w:color="DDDDDD" w:sz="4"/>
              <w:right w:val="single" w:color="DDDDDD" w:sz="4"/>
            </w:tcBorders>
            <w:shd w:fill="1A1A2E" w:val="clear"/>
            <w:tcMar>
              <w:top w:type="dxa" w:w="100"/>
              <w:left w:type="dxa" w:w="160"/>
              <w:bottom w:type="dxa" w:w="100"/>
              <w:right w:type="dxa" w:w="160"/>
            </w:tcMar>
            <w:vAlign w:val="top"/>
          </w:tcPr>
          <w:p>
            <w:pPr>
              <w:spacing w:after="40" w:before="40"/>
            </w:pPr>
            <w:r>
              <w:rPr>
                <w:rFonts w:ascii="Arial" w:cs="Arial" w:eastAsia="Arial" w:hAnsi="Arial"/>
                <w:b/>
                <w:bCs/>
                <w:color w:val="FFFFFF"/>
                <w:sz w:val="20"/>
                <w:szCs w:val="20"/>
              </w:rPr>
              <w:t xml:space="preserve">Site web</w:t>
            </w:r>
          </w:p>
        </w:tc>
        <w:tc>
          <w:tcPr>
            <w:tcW w:type="dxa" w:w="7706"/>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vAlign w:val="top"/>
          </w:tcPr>
          <w:p>
            <w:pPr>
              <w:spacing w:after="40" w:before="40"/>
            </w:pPr>
            <w:r>
              <w:rPr>
                <w:rFonts w:ascii="Arial" w:cs="Arial" w:eastAsia="Arial" w:hAnsi="Arial"/>
                <w:b w:val="false"/>
                <w:bCs w:val="false"/>
                <w:color w:val="1A1A1A"/>
                <w:sz w:val="20"/>
                <w:szCs w:val="20"/>
              </w:rPr>
              <w:t xml:space="preserve">pokejap.fr (Next.js 14, Vercel)</w:t>
            </w:r>
          </w:p>
        </w:tc>
      </w:tr>
      <w:tr>
        <w:tc>
          <w:tcPr>
            <w:tcW w:type="dxa" w:w="2200"/>
            <w:tcBorders>
              <w:top w:val="single" w:color="DDDDDD" w:sz="4"/>
              <w:left w:val="single" w:color="DDDDDD" w:sz="4"/>
              <w:bottom w:val="single" w:color="DDDDDD" w:sz="4"/>
              <w:right w:val="single" w:color="DDDDDD" w:sz="4"/>
            </w:tcBorders>
            <w:shd w:fill="1A1A2E" w:val="clear"/>
            <w:tcMar>
              <w:top w:type="dxa" w:w="100"/>
              <w:left w:type="dxa" w:w="160"/>
              <w:bottom w:type="dxa" w:w="100"/>
              <w:right w:type="dxa" w:w="160"/>
            </w:tcMar>
            <w:vAlign w:val="top"/>
          </w:tcPr>
          <w:p>
            <w:pPr>
              <w:spacing w:after="40" w:before="40"/>
            </w:pPr>
            <w:r>
              <w:rPr>
                <w:rFonts w:ascii="Arial" w:cs="Arial" w:eastAsia="Arial" w:hAnsi="Arial"/>
                <w:b/>
                <w:bCs/>
                <w:color w:val="FFFFFF"/>
                <w:sz w:val="20"/>
                <w:szCs w:val="20"/>
              </w:rPr>
              <w:t xml:space="preserve">Marché cible</w:t>
            </w:r>
          </w:p>
        </w:tc>
        <w:tc>
          <w:tcPr>
            <w:tcW w:type="dxa" w:w="7706"/>
            <w:tcBorders>
              <w:top w:val="single" w:color="DDDDDD" w:sz="4"/>
              <w:left w:val="single" w:color="DDDDDD" w:sz="4"/>
              <w:bottom w:val="single" w:color="DDDDDD" w:sz="4"/>
              <w:right w:val="single" w:color="DDDDDD" w:sz="4"/>
            </w:tcBorders>
            <w:shd w:fill="EEEEEE" w:val="clear"/>
            <w:tcMar>
              <w:top w:type="dxa" w:w="100"/>
              <w:left w:type="dxa" w:w="160"/>
              <w:bottom w:type="dxa" w:w="100"/>
              <w:right w:type="dxa" w:w="160"/>
            </w:tcMar>
            <w:vAlign w:val="top"/>
          </w:tcPr>
          <w:p>
            <w:pPr>
              <w:spacing w:after="40" w:before="40"/>
            </w:pPr>
            <w:r>
              <w:rPr>
                <w:rFonts w:ascii="Arial" w:cs="Arial" w:eastAsia="Arial" w:hAnsi="Arial"/>
                <w:b w:val="false"/>
                <w:bCs w:val="false"/>
                <w:color w:val="1A1A1A"/>
                <w:sz w:val="20"/>
                <w:szCs w:val="20"/>
              </w:rPr>
              <w:t xml:space="preserve">France — collectionneurs et joueurs Pokémon TCG japonais</w:t>
            </w:r>
          </w:p>
        </w:tc>
      </w:tr>
      <w:tr>
        <w:tc>
          <w:tcPr>
            <w:tcW w:type="dxa" w:w="2200"/>
            <w:tcBorders>
              <w:top w:val="single" w:color="DDDDDD" w:sz="4"/>
              <w:left w:val="single" w:color="DDDDDD" w:sz="4"/>
              <w:bottom w:val="single" w:color="DDDDDD" w:sz="4"/>
              <w:right w:val="single" w:color="DDDDDD" w:sz="4"/>
            </w:tcBorders>
            <w:shd w:fill="1A1A2E" w:val="clear"/>
            <w:tcMar>
              <w:top w:type="dxa" w:w="100"/>
              <w:left w:type="dxa" w:w="160"/>
              <w:bottom w:type="dxa" w:w="100"/>
              <w:right w:type="dxa" w:w="160"/>
            </w:tcMar>
            <w:vAlign w:val="top"/>
          </w:tcPr>
          <w:p>
            <w:pPr>
              <w:spacing w:after="40" w:before="40"/>
            </w:pPr>
            <w:r>
              <w:rPr>
                <w:rFonts w:ascii="Arial" w:cs="Arial" w:eastAsia="Arial" w:hAnsi="Arial"/>
                <w:b/>
                <w:bCs/>
                <w:color w:val="FFFFFF"/>
                <w:sz w:val="20"/>
                <w:szCs w:val="20"/>
              </w:rPr>
              <w:t xml:space="preserve">Catalogue actuel</w:t>
            </w:r>
          </w:p>
        </w:tc>
        <w:tc>
          <w:tcPr>
            <w:tcW w:type="dxa" w:w="7706"/>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vAlign w:val="top"/>
          </w:tcPr>
          <w:p>
            <w:pPr>
              <w:spacing w:after="40" w:before="40"/>
            </w:pPr>
            <w:r>
              <w:rPr>
                <w:rFonts w:ascii="Arial" w:cs="Arial" w:eastAsia="Arial" w:hAnsi="Arial"/>
                <w:b w:val="false"/>
                <w:bCs w:val="false"/>
                <w:color w:val="1A1A1A"/>
                <w:sz w:val="20"/>
                <w:szCs w:val="20"/>
              </w:rPr>
              <w:t xml:space="preserve">26 éditions japonaises · +100 singles rares (SAR, SIR, SR)</w:t>
            </w:r>
          </w:p>
        </w:tc>
      </w:tr>
      <w:tr>
        <w:tc>
          <w:tcPr>
            <w:tcW w:type="dxa" w:w="2200"/>
            <w:tcBorders>
              <w:top w:val="single" w:color="DDDDDD" w:sz="4"/>
              <w:left w:val="single" w:color="DDDDDD" w:sz="4"/>
              <w:bottom w:val="single" w:color="DDDDDD" w:sz="4"/>
              <w:right w:val="single" w:color="DDDDDD" w:sz="4"/>
            </w:tcBorders>
            <w:shd w:fill="1A1A2E" w:val="clear"/>
            <w:tcMar>
              <w:top w:type="dxa" w:w="100"/>
              <w:left w:type="dxa" w:w="160"/>
              <w:bottom w:type="dxa" w:w="100"/>
              <w:right w:type="dxa" w:w="160"/>
            </w:tcMar>
            <w:vAlign w:val="top"/>
          </w:tcPr>
          <w:p>
            <w:pPr>
              <w:spacing w:after="40" w:before="40"/>
            </w:pPr>
            <w:r>
              <w:rPr>
                <w:rFonts w:ascii="Arial" w:cs="Arial" w:eastAsia="Arial" w:hAnsi="Arial"/>
                <w:b/>
                <w:bCs/>
                <w:color w:val="FFFFFF"/>
                <w:sz w:val="20"/>
                <w:szCs w:val="20"/>
              </w:rPr>
              <w:t xml:space="preserve">Extension prévue</w:t>
            </w:r>
          </w:p>
        </w:tc>
        <w:tc>
          <w:tcPr>
            <w:tcW w:type="dxa" w:w="7706"/>
            <w:tcBorders>
              <w:top w:val="single" w:color="DDDDDD" w:sz="4"/>
              <w:left w:val="single" w:color="DDDDDD" w:sz="4"/>
              <w:bottom w:val="single" w:color="DDDDDD" w:sz="4"/>
              <w:right w:val="single" w:color="DDDDDD" w:sz="4"/>
            </w:tcBorders>
            <w:shd w:fill="EEEEEE" w:val="clear"/>
            <w:tcMar>
              <w:top w:type="dxa" w:w="100"/>
              <w:left w:type="dxa" w:w="160"/>
              <w:bottom w:type="dxa" w:w="100"/>
              <w:right w:type="dxa" w:w="160"/>
            </w:tcMar>
            <w:vAlign w:val="top"/>
          </w:tcPr>
          <w:p>
            <w:pPr>
              <w:spacing w:after="40" w:before="40"/>
            </w:pPr>
            <w:r>
              <w:rPr>
                <w:rFonts w:ascii="Arial" w:cs="Arial" w:eastAsia="Arial" w:hAnsi="Arial"/>
                <w:b w:val="false"/>
                <w:bCs w:val="false"/>
                <w:color w:val="1A1A1A"/>
                <w:sz w:val="20"/>
                <w:szCs w:val="20"/>
              </w:rPr>
              <w:t xml:space="preserve">Dropshipping : displays, ETB, boosters (Hikaru Distribution + TCGdirect)</w:t>
            </w:r>
          </w:p>
        </w:tc>
      </w:tr>
      <w:tr>
        <w:tc>
          <w:tcPr>
            <w:tcW w:type="dxa" w:w="2200"/>
            <w:tcBorders>
              <w:top w:val="single" w:color="DDDDDD" w:sz="4"/>
              <w:left w:val="single" w:color="DDDDDD" w:sz="4"/>
              <w:bottom w:val="single" w:color="DDDDDD" w:sz="4"/>
              <w:right w:val="single" w:color="DDDDDD" w:sz="4"/>
            </w:tcBorders>
            <w:shd w:fill="1A1A2E" w:val="clear"/>
            <w:tcMar>
              <w:top w:type="dxa" w:w="100"/>
              <w:left w:type="dxa" w:w="160"/>
              <w:bottom w:type="dxa" w:w="100"/>
              <w:right w:type="dxa" w:w="160"/>
            </w:tcMar>
            <w:vAlign w:val="top"/>
          </w:tcPr>
          <w:p>
            <w:pPr>
              <w:spacing w:after="40" w:before="40"/>
            </w:pPr>
            <w:r>
              <w:rPr>
                <w:rFonts w:ascii="Arial" w:cs="Arial" w:eastAsia="Arial" w:hAnsi="Arial"/>
                <w:b/>
                <w:bCs/>
                <w:color w:val="FFFFFF"/>
                <w:sz w:val="20"/>
                <w:szCs w:val="20"/>
              </w:rPr>
              <w:t xml:space="preserve">Fournisseurs</w:t>
            </w:r>
          </w:p>
        </w:tc>
        <w:tc>
          <w:tcPr>
            <w:tcW w:type="dxa" w:w="7706"/>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vAlign w:val="top"/>
          </w:tcPr>
          <w:p>
            <w:pPr>
              <w:spacing w:after="40" w:before="40"/>
            </w:pPr>
            <w:r>
              <w:rPr>
                <w:rFonts w:ascii="Arial" w:cs="Arial" w:eastAsia="Arial" w:hAnsi="Arial"/>
                <w:b w:val="false"/>
                <w:bCs w:val="false"/>
                <w:color w:val="1A1A1A"/>
                <w:sz w:val="20"/>
                <w:szCs w:val="20"/>
              </w:rPr>
              <w:t xml:space="preserve">Hikaru Distribution (n°1 importateur FR japonais) · TCGdirect</w:t>
            </w:r>
          </w:p>
        </w:tc>
      </w:tr>
    </w:tbl>
    <w:p>
      <w:r>
        <w:rPr>
          <w:sz w:val="20"/>
          <w:szCs w:val="20"/>
        </w:rPr>
        <w:t xml:space="preserve"/>
      </w:r>
    </w:p>
    <w:p>
      <w:r>
        <w:br w:type="page"/>
      </w:r>
    </w:p>
    <w:p>
      <w:pPr>
        <w:pStyle w:val="Heading1"/>
        <w:pBdr>
          <w:bottom w:val="single" w:color="CC0000" w:sz="8" w:space="6"/>
        </w:pBdr>
        <w:spacing w:after="160" w:before="360"/>
      </w:pPr>
      <w:r>
        <w:rPr>
          <w:rFonts w:ascii="Arial" w:cs="Arial" w:eastAsia="Arial" w:hAnsi="Arial"/>
          <w:b/>
          <w:bCs/>
          <w:color w:val="CC0000"/>
          <w:sz w:val="30"/>
          <w:szCs w:val="30"/>
        </w:rPr>
        <w:t xml:space="preserve">2. Analyse SWOT</w:t>
      </w:r>
    </w:p>
    <w:p>
      <w:pPr>
        <w:spacing w:after="60" w:before="60"/>
      </w:pPr>
      <w:r>
        <w:rPr>
          <w:rFonts w:ascii="Arial" w:cs="Arial" w:eastAsia="Arial" w:hAnsi="Arial"/>
          <w:color w:val="333333"/>
          <w:sz w:val="20"/>
          <w:szCs w:val="20"/>
        </w:rPr>
        <w:t xml:space="preserve">Synthèse des facteurs internes et externes qui conditionnent le développement de pokejap.fr.</w:t>
      </w:r>
    </w:p>
    <w:p>
      <w:r>
        <w:rPr>
          <w:sz w:val="20"/>
          <w:szCs w:val="20"/>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c>
          <w:tcPr>
            <w:tcW w:type="dxa" w:w="4953"/>
            <w:tcBorders>
              <w:top w:val="single" w:color="DDDDDD" w:sz="4"/>
              <w:left w:val="single" w:color="DDDDDD" w:sz="4"/>
              <w:bottom w:val="single" w:color="DDDDDD" w:sz="4"/>
              <w:right w:val="single" w:color="DDDDDD" w:sz="4"/>
            </w:tcBorders>
            <w:shd w:fill="2D6A4F"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  FORCES</w:t>
            </w:r>
          </w:p>
        </w:tc>
        <w:tc>
          <w:tcPr>
            <w:tcW w:type="dxa" w:w="4953"/>
            <w:tcBorders>
              <w:top w:val="single" w:color="DDDDDD" w:sz="4"/>
              <w:left w:val="single" w:color="DDDDDD" w:sz="4"/>
              <w:bottom w:val="single" w:color="DDDDDD" w:sz="4"/>
              <w:right w:val="single" w:color="DDDDDD" w:sz="4"/>
            </w:tcBorders>
            <w:shd w:fill="9B2335"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  FAIBLESSES</w:t>
            </w:r>
          </w:p>
        </w:tc>
      </w:tr>
      <w:tr>
        <w:tc>
          <w:tcPr>
            <w:tcW w:type="dxa" w:w="4953"/>
            <w:tcBorders>
              <w:top w:val="single" w:color="DDDDDD" w:sz="4"/>
              <w:left w:val="single" w:color="DDDDDD" w:sz="4"/>
              <w:bottom w:val="single" w:color="DDDDDD" w:sz="4"/>
              <w:right w:val="single" w:color="DDDDDD" w:sz="4"/>
            </w:tcBorders>
            <w:shd w:fill="D8F3DC" w:val="clear"/>
            <w:tcMar>
              <w:top w:type="dxa" w:w="100"/>
              <w:left w:type="dxa" w:w="180"/>
              <w:bottom w:type="dxa" w:w="100"/>
              <w:right w:type="dxa" w:w="120"/>
            </w:tcMar>
            <w:vAlign w:val="top"/>
          </w:tcPr>
          <w:p>
            <w:pPr>
              <w:pStyle w:val="ListParagraph"/>
              <w:numPr>
                <w:ilvl w:val="0"/>
                <w:numId w:val="2"/>
              </w:numPr>
              <w:spacing w:after="40" w:before="40"/>
            </w:pPr>
            <w:r>
              <w:rPr>
                <w:rFonts w:ascii="Arial" w:cs="Arial" w:eastAsia="Arial" w:hAnsi="Arial"/>
                <w:color w:val="1A1A1A"/>
                <w:sz w:val="19"/>
                <w:szCs w:val="19"/>
              </w:rPr>
              <w:t xml:space="preserve">Spécialisation 100% japonaise — niche rare en France</w:t>
            </w:r>
          </w:p>
          <w:p>
            <w:pPr>
              <w:pStyle w:val="ListParagraph"/>
              <w:numPr>
                <w:ilvl w:val="0"/>
                <w:numId w:val="2"/>
              </w:numPr>
              <w:spacing w:after="40" w:before="40"/>
            </w:pPr>
            <w:r>
              <w:rPr>
                <w:rFonts w:ascii="Arial" w:cs="Arial" w:eastAsia="Arial" w:hAnsi="Arial"/>
                <w:color w:val="1A1A1A"/>
                <w:sz w:val="19"/>
                <w:szCs w:val="19"/>
              </w:rPr>
              <w:t xml:space="preserve">Site moderne, rapide et UX soignée (Next.js 14 + Vercel)</w:t>
            </w:r>
          </w:p>
          <w:p>
            <w:pPr>
              <w:pStyle w:val="ListParagraph"/>
              <w:numPr>
                <w:ilvl w:val="0"/>
                <w:numId w:val="2"/>
              </w:numPr>
              <w:spacing w:after="40" w:before="40"/>
            </w:pPr>
            <w:r>
              <w:rPr>
                <w:rFonts w:ascii="Arial" w:cs="Arial" w:eastAsia="Arial" w:hAnsi="Arial"/>
                <w:color w:val="1A1A1A"/>
                <w:sz w:val="19"/>
                <w:szCs w:val="19"/>
              </w:rPr>
              <w:t xml:space="preserve">Catalogue profond : 26 éditions, cartes SAR/SIR recherchées</w:t>
            </w:r>
          </w:p>
          <w:p>
            <w:pPr>
              <w:pStyle w:val="ListParagraph"/>
              <w:numPr>
                <w:ilvl w:val="0"/>
                <w:numId w:val="2"/>
              </w:numPr>
              <w:spacing w:after="40" w:before="40"/>
            </w:pPr>
            <w:r>
              <w:rPr>
                <w:rFonts w:ascii="Arial" w:cs="Arial" w:eastAsia="Arial" w:hAnsi="Arial"/>
                <w:color w:val="1A1A1A"/>
                <w:sz w:val="19"/>
                <w:szCs w:val="19"/>
              </w:rPr>
              <w:t xml:space="preserve">Sourcing direct via Hikaru (meilleurs prix grossiste FR)</w:t>
            </w:r>
          </w:p>
          <w:p>
            <w:pPr>
              <w:pStyle w:val="ListParagraph"/>
              <w:numPr>
                <w:ilvl w:val="0"/>
                <w:numId w:val="2"/>
              </w:numPr>
              <w:spacing w:after="40" w:before="40"/>
            </w:pPr>
            <w:r>
              <w:rPr>
                <w:rFonts w:ascii="Arial" w:cs="Arial" w:eastAsia="Arial" w:hAnsi="Arial"/>
                <w:color w:val="1A1A1A"/>
                <w:sz w:val="19"/>
                <w:szCs w:val="19"/>
              </w:rPr>
              <w:t xml:space="preserve">Flexibilité dropshipping = zéro stock sur les produits scellés</w:t>
            </w:r>
          </w:p>
          <w:p>
            <w:pPr>
              <w:pStyle w:val="ListParagraph"/>
              <w:numPr>
                <w:ilvl w:val="0"/>
                <w:numId w:val="2"/>
              </w:numPr>
              <w:spacing w:after="40" w:before="40"/>
            </w:pPr>
            <w:r>
              <w:rPr>
                <w:rFonts w:ascii="Arial" w:cs="Arial" w:eastAsia="Arial" w:hAnsi="Arial"/>
                <w:color w:val="1A1A1A"/>
                <w:sz w:val="19"/>
                <w:szCs w:val="19"/>
              </w:rPr>
              <w:t xml:space="preserve">Paiement sécurisé Stripe intégré</w:t>
            </w:r>
          </w:p>
        </w:tc>
        <w:tc>
          <w:tcPr>
            <w:tcW w:type="dxa" w:w="4953"/>
            <w:tcBorders>
              <w:top w:val="single" w:color="DDDDDD" w:sz="4"/>
              <w:left w:val="single" w:color="DDDDDD" w:sz="4"/>
              <w:bottom w:val="single" w:color="DDDDDD" w:sz="4"/>
              <w:right w:val="single" w:color="DDDDDD" w:sz="4"/>
            </w:tcBorders>
            <w:shd w:fill="FADADD" w:val="clear"/>
            <w:tcMar>
              <w:top w:type="dxa" w:w="100"/>
              <w:left w:type="dxa" w:w="180"/>
              <w:bottom w:type="dxa" w:w="100"/>
              <w:right w:type="dxa" w:w="120"/>
            </w:tcMar>
            <w:vAlign w:val="top"/>
          </w:tcPr>
          <w:p>
            <w:pPr>
              <w:pStyle w:val="ListParagraph"/>
              <w:numPr>
                <w:ilvl w:val="0"/>
                <w:numId w:val="2"/>
              </w:numPr>
              <w:spacing w:after="40" w:before="40"/>
            </w:pPr>
            <w:r>
              <w:rPr>
                <w:rFonts w:ascii="Arial" w:cs="Arial" w:eastAsia="Arial" w:hAnsi="Arial"/>
                <w:color w:val="1A1A1A"/>
                <w:sz w:val="19"/>
                <w:szCs w:val="19"/>
              </w:rPr>
              <w:t xml:space="preserve">Marque encore inconnue — notoriété à construire</w:t>
            </w:r>
          </w:p>
          <w:p>
            <w:pPr>
              <w:pStyle w:val="ListParagraph"/>
              <w:numPr>
                <w:ilvl w:val="0"/>
                <w:numId w:val="2"/>
              </w:numPr>
              <w:spacing w:after="40" w:before="40"/>
            </w:pPr>
            <w:r>
              <w:rPr>
                <w:rFonts w:ascii="Arial" w:cs="Arial" w:eastAsia="Arial" w:hAnsi="Arial"/>
                <w:color w:val="1A1A1A"/>
                <w:sz w:val="19"/>
                <w:szCs w:val="19"/>
              </w:rPr>
              <w:t xml:space="preserve">Catalogue limité au départ (singles uniquement)</w:t>
            </w:r>
          </w:p>
          <w:p>
            <w:pPr>
              <w:pStyle w:val="ListParagraph"/>
              <w:numPr>
                <w:ilvl w:val="0"/>
                <w:numId w:val="2"/>
              </w:numPr>
              <w:spacing w:after="40" w:before="40"/>
            </w:pPr>
            <w:r>
              <w:rPr>
                <w:rFonts w:ascii="Arial" w:cs="Arial" w:eastAsia="Arial" w:hAnsi="Arial"/>
                <w:color w:val="1A1A1A"/>
                <w:sz w:val="19"/>
                <w:szCs w:val="19"/>
              </w:rPr>
              <w:t xml:space="preserve">Budget marketing modeste (7,10 €/jour Google Ads)</w:t>
            </w:r>
          </w:p>
          <w:p>
            <w:pPr>
              <w:pStyle w:val="ListParagraph"/>
              <w:numPr>
                <w:ilvl w:val="0"/>
                <w:numId w:val="2"/>
              </w:numPr>
              <w:spacing w:after="40" w:before="40"/>
            </w:pPr>
            <w:r>
              <w:rPr>
                <w:rFonts w:ascii="Arial" w:cs="Arial" w:eastAsia="Arial" w:hAnsi="Arial"/>
                <w:color w:val="1A1A1A"/>
                <w:sz w:val="19"/>
                <w:szCs w:val="19"/>
              </w:rPr>
              <w:t xml:space="preserve">Opéré par une seule personne — scalabilité limitée</w:t>
            </w:r>
          </w:p>
          <w:p>
            <w:pPr>
              <w:pStyle w:val="ListParagraph"/>
              <w:numPr>
                <w:ilvl w:val="0"/>
                <w:numId w:val="2"/>
              </w:numPr>
              <w:spacing w:after="40" w:before="40"/>
            </w:pPr>
            <w:r>
              <w:rPr>
                <w:rFonts w:ascii="Arial" w:cs="Arial" w:eastAsia="Arial" w:hAnsi="Arial"/>
                <w:color w:val="1A1A1A"/>
                <w:sz w:val="19"/>
                <w:szCs w:val="19"/>
              </w:rPr>
              <w:t xml:space="preserve">Peu ou pas d'avis clients en phase de lancement</w:t>
            </w:r>
          </w:p>
          <w:p>
            <w:pPr>
              <w:pStyle w:val="ListParagraph"/>
              <w:numPr>
                <w:ilvl w:val="0"/>
                <w:numId w:val="2"/>
              </w:numPr>
              <w:spacing w:after="40" w:before="40"/>
            </w:pPr>
            <w:r>
              <w:rPr>
                <w:rFonts w:ascii="Arial" w:cs="Arial" w:eastAsia="Arial" w:hAnsi="Arial"/>
                <w:color w:val="1A1A1A"/>
                <w:sz w:val="19"/>
                <w:szCs w:val="19"/>
              </w:rPr>
              <w:t xml:space="preserve">Dépendance à 1-2 fournisseurs pour le dropshipping</w:t>
            </w:r>
          </w:p>
        </w:tc>
      </w:tr>
      <w:tr>
        <w:tc>
          <w:tcPr>
            <w:tcW w:type="dxa" w:w="4953"/>
            <w:tcBorders>
              <w:top w:val="single" w:color="DDDDDD" w:sz="4"/>
              <w:left w:val="single" w:color="DDDDDD" w:sz="4"/>
              <w:bottom w:val="single" w:color="DDDDDD" w:sz="4"/>
              <w:right w:val="single" w:color="DDDDDD" w:sz="4"/>
            </w:tcBorders>
            <w:shd w:fill="1B4F72"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  OPPORTUNITÉS</w:t>
            </w:r>
          </w:p>
        </w:tc>
        <w:tc>
          <w:tcPr>
            <w:tcW w:type="dxa" w:w="4953"/>
            <w:tcBorders>
              <w:top w:val="single" w:color="DDDDDD" w:sz="4"/>
              <w:left w:val="single" w:color="DDDDDD" w:sz="4"/>
              <w:bottom w:val="single" w:color="DDDDDD" w:sz="4"/>
              <w:right w:val="single" w:color="DDDDDD" w:sz="4"/>
            </w:tcBorders>
            <w:shd w:fill="7D6608"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  MENACES</w:t>
            </w:r>
          </w:p>
        </w:tc>
      </w:tr>
      <w:tr>
        <w:tc>
          <w:tcPr>
            <w:tcW w:type="dxa" w:w="4953"/>
            <w:tcBorders>
              <w:top w:val="single" w:color="DDDDDD" w:sz="4"/>
              <w:left w:val="single" w:color="DDDDDD" w:sz="4"/>
              <w:bottom w:val="single" w:color="DDDDDD" w:sz="4"/>
              <w:right w:val="single" w:color="DDDDDD" w:sz="4"/>
            </w:tcBorders>
            <w:shd w:fill="D6EAF8" w:val="clear"/>
            <w:tcMar>
              <w:top w:type="dxa" w:w="100"/>
              <w:left w:type="dxa" w:w="180"/>
              <w:bottom w:type="dxa" w:w="100"/>
              <w:right w:type="dxa" w:w="120"/>
            </w:tcMar>
            <w:vAlign w:val="top"/>
          </w:tcPr>
          <w:p>
            <w:pPr>
              <w:pStyle w:val="ListParagraph"/>
              <w:numPr>
                <w:ilvl w:val="0"/>
                <w:numId w:val="2"/>
              </w:numPr>
              <w:spacing w:after="40" w:before="40"/>
            </w:pPr>
            <w:r>
              <w:rPr>
                <w:rFonts w:ascii="Arial" w:cs="Arial" w:eastAsia="Arial" w:hAnsi="Arial"/>
                <w:color w:val="1A1A1A"/>
                <w:sz w:val="19"/>
                <w:szCs w:val="19"/>
              </w:rPr>
              <w:t xml:space="preserve">Marché Pokémon JP en forte croissance en France (2024-2026)</w:t>
            </w:r>
          </w:p>
          <w:p>
            <w:pPr>
              <w:pStyle w:val="ListParagraph"/>
              <w:numPr>
                <w:ilvl w:val="0"/>
                <w:numId w:val="2"/>
              </w:numPr>
              <w:spacing w:after="40" w:before="40"/>
            </w:pPr>
            <w:r>
              <w:rPr>
                <w:rFonts w:ascii="Arial" w:cs="Arial" w:eastAsia="Arial" w:hAnsi="Arial"/>
                <w:color w:val="1A1A1A"/>
                <w:sz w:val="19"/>
                <w:szCs w:val="19"/>
              </w:rPr>
              <w:t xml:space="preserve">Très peu de concurrents spécialisés japonais en ligne (FR)</w:t>
            </w:r>
          </w:p>
          <w:p>
            <w:pPr>
              <w:pStyle w:val="ListParagraph"/>
              <w:numPr>
                <w:ilvl w:val="0"/>
                <w:numId w:val="2"/>
              </w:numPr>
              <w:spacing w:after="40" w:before="40"/>
            </w:pPr>
            <w:r>
              <w:rPr>
                <w:rFonts w:ascii="Arial" w:cs="Arial" w:eastAsia="Arial" w:hAnsi="Arial"/>
                <w:color w:val="1A1A1A"/>
                <w:sz w:val="19"/>
                <w:szCs w:val="19"/>
              </w:rPr>
              <w:t xml:space="preserve">Communauté active : Discord, Reddit, YouTube, TikTok</w:t>
            </w:r>
          </w:p>
          <w:p>
            <w:pPr>
              <w:pStyle w:val="ListParagraph"/>
              <w:numPr>
                <w:ilvl w:val="0"/>
                <w:numId w:val="2"/>
              </w:numPr>
              <w:spacing w:after="40" w:before="40"/>
            </w:pPr>
            <w:r>
              <w:rPr>
                <w:rFonts w:ascii="Arial" w:cs="Arial" w:eastAsia="Arial" w:hAnsi="Arial"/>
                <w:color w:val="1A1A1A"/>
                <w:sz w:val="19"/>
                <w:szCs w:val="19"/>
              </w:rPr>
              <w:t xml:space="preserve">400 € de crédit Google Ads disponibles — ROI immédiat</w:t>
            </w:r>
          </w:p>
          <w:p>
            <w:pPr>
              <w:pStyle w:val="ListParagraph"/>
              <w:numPr>
                <w:ilvl w:val="0"/>
                <w:numId w:val="2"/>
              </w:numPr>
              <w:spacing w:after="40" w:before="40"/>
            </w:pPr>
            <w:r>
              <w:rPr>
                <w:rFonts w:ascii="Arial" w:cs="Arial" w:eastAsia="Arial" w:hAnsi="Arial"/>
                <w:color w:val="1A1A1A"/>
                <w:sz w:val="19"/>
                <w:szCs w:val="19"/>
              </w:rPr>
              <w:t xml:space="preserve">Expansion naturelle vers les scellés via dropshipping</w:t>
            </w:r>
          </w:p>
          <w:p>
            <w:pPr>
              <w:pStyle w:val="ListParagraph"/>
              <w:numPr>
                <w:ilvl w:val="0"/>
                <w:numId w:val="2"/>
              </w:numPr>
              <w:spacing w:after="40" w:before="40"/>
            </w:pPr>
            <w:r>
              <w:rPr>
                <w:rFonts w:ascii="Arial" w:cs="Arial" w:eastAsia="Arial" w:hAnsi="Arial"/>
                <w:color w:val="1A1A1A"/>
                <w:sz w:val="19"/>
                <w:szCs w:val="19"/>
              </w:rPr>
              <w:t xml:space="preserve">Influence marketing : créateurs de contenu Pokémon FR</w:t>
            </w:r>
          </w:p>
          <w:p>
            <w:pPr>
              <w:pStyle w:val="ListParagraph"/>
              <w:numPr>
                <w:ilvl w:val="0"/>
                <w:numId w:val="2"/>
              </w:numPr>
              <w:spacing w:after="40" w:before="40"/>
            </w:pPr>
            <w:r>
              <w:rPr>
                <w:rFonts w:ascii="Arial" w:cs="Arial" w:eastAsia="Arial" w:hAnsi="Arial"/>
                <w:color w:val="1A1A1A"/>
                <w:sz w:val="19"/>
                <w:szCs w:val="19"/>
              </w:rPr>
              <w:t xml:space="preserve">Cartes japonaises = produits à forte valeur unitaire (marge €)</w:t>
            </w:r>
          </w:p>
        </w:tc>
        <w:tc>
          <w:tcPr>
            <w:tcW w:type="dxa" w:w="4953"/>
            <w:tcBorders>
              <w:top w:val="single" w:color="DDDDDD" w:sz="4"/>
              <w:left w:val="single" w:color="DDDDDD" w:sz="4"/>
              <w:bottom w:val="single" w:color="DDDDDD" w:sz="4"/>
              <w:right w:val="single" w:color="DDDDDD" w:sz="4"/>
            </w:tcBorders>
            <w:shd w:fill="FEF9E7" w:val="clear"/>
            <w:tcMar>
              <w:top w:type="dxa" w:w="100"/>
              <w:left w:type="dxa" w:w="180"/>
              <w:bottom w:type="dxa" w:w="100"/>
              <w:right w:type="dxa" w:w="120"/>
            </w:tcMar>
            <w:vAlign w:val="top"/>
          </w:tcPr>
          <w:p>
            <w:pPr>
              <w:pStyle w:val="ListParagraph"/>
              <w:numPr>
                <w:ilvl w:val="0"/>
                <w:numId w:val="2"/>
              </w:numPr>
              <w:spacing w:after="40" w:before="40"/>
            </w:pPr>
            <w:r>
              <w:rPr>
                <w:rFonts w:ascii="Arial" w:cs="Arial" w:eastAsia="Arial" w:hAnsi="Arial"/>
                <w:color w:val="1A1A1A"/>
                <w:sz w:val="19"/>
                <w:szCs w:val="19"/>
              </w:rPr>
              <w:t xml:space="preserve">Concurrence des marketplaces (Cardmarket, eBay, Vinted)</w:t>
            </w:r>
          </w:p>
          <w:p>
            <w:pPr>
              <w:pStyle w:val="ListParagraph"/>
              <w:numPr>
                <w:ilvl w:val="0"/>
                <w:numId w:val="2"/>
              </w:numPr>
              <w:spacing w:after="40" w:before="40"/>
            </w:pPr>
            <w:r>
              <w:rPr>
                <w:rFonts w:ascii="Arial" w:cs="Arial" w:eastAsia="Arial" w:hAnsi="Arial"/>
                <w:color w:val="1A1A1A"/>
                <w:sz w:val="19"/>
                <w:szCs w:val="19"/>
              </w:rPr>
              <w:t xml:space="preserve">Volatilité des prix liée aux sorties de sets et à la spéculation</w:t>
            </w:r>
          </w:p>
          <w:p>
            <w:pPr>
              <w:pStyle w:val="ListParagraph"/>
              <w:numPr>
                <w:ilvl w:val="0"/>
                <w:numId w:val="2"/>
              </w:numPr>
              <w:spacing w:after="40" w:before="40"/>
            </w:pPr>
            <w:r>
              <w:rPr>
                <w:rFonts w:ascii="Arial" w:cs="Arial" w:eastAsia="Arial" w:hAnsi="Arial"/>
                <w:color w:val="1A1A1A"/>
                <w:sz w:val="19"/>
                <w:szCs w:val="19"/>
              </w:rPr>
              <w:t xml:space="preserve">Contrefaçons sur le marché = méfiance des acheteurs</w:t>
            </w:r>
          </w:p>
          <w:p>
            <w:pPr>
              <w:pStyle w:val="ListParagraph"/>
              <w:numPr>
                <w:ilvl w:val="0"/>
                <w:numId w:val="2"/>
              </w:numPr>
              <w:spacing w:after="40" w:before="40"/>
            </w:pPr>
            <w:r>
              <w:rPr>
                <w:rFonts w:ascii="Arial" w:cs="Arial" w:eastAsia="Arial" w:hAnsi="Arial"/>
                <w:color w:val="1A1A1A"/>
                <w:sz w:val="19"/>
                <w:szCs w:val="19"/>
              </w:rPr>
              <w:t xml:space="preserve">Dépendance aux stocks Hikaru (ruptures possibles)</w:t>
            </w:r>
          </w:p>
          <w:p>
            <w:pPr>
              <w:pStyle w:val="ListParagraph"/>
              <w:numPr>
                <w:ilvl w:val="0"/>
                <w:numId w:val="2"/>
              </w:numPr>
              <w:spacing w:after="40" w:before="40"/>
            </w:pPr>
            <w:r>
              <w:rPr>
                <w:rFonts w:ascii="Arial" w:cs="Arial" w:eastAsia="Arial" w:hAnsi="Arial"/>
                <w:color w:val="1A1A1A"/>
                <w:sz w:val="19"/>
                <w:szCs w:val="19"/>
              </w:rPr>
              <w:t xml:space="preserve">Algorithme Google Ads / Meta pouvant augmenter les CPC</w:t>
            </w:r>
          </w:p>
          <w:p>
            <w:pPr>
              <w:pStyle w:val="ListParagraph"/>
              <w:numPr>
                <w:ilvl w:val="0"/>
                <w:numId w:val="2"/>
              </w:numPr>
              <w:spacing w:after="40" w:before="40"/>
            </w:pPr>
            <w:r>
              <w:rPr>
                <w:rFonts w:ascii="Arial" w:cs="Arial" w:eastAsia="Arial" w:hAnsi="Arial"/>
                <w:color w:val="1A1A1A"/>
                <w:sz w:val="19"/>
                <w:szCs w:val="19"/>
              </w:rPr>
              <w:t xml:space="preserve">Marché saisonnier (pics lors des sorties de nouveaux sets)</w:t>
            </w:r>
          </w:p>
        </w:tc>
      </w:tr>
    </w:tbl>
    <w:p>
      <w:r>
        <w:rPr>
          <w:sz w:val="20"/>
          <w:szCs w:val="20"/>
        </w:rPr>
        <w:t xml:space="preserve"/>
      </w:r>
    </w:p>
    <w:p>
      <w:r>
        <w:br w:type="page"/>
      </w:r>
    </w:p>
    <w:p>
      <w:pPr>
        <w:pStyle w:val="Heading1"/>
        <w:pBdr>
          <w:bottom w:val="single" w:color="CC0000" w:sz="8" w:space="6"/>
        </w:pBdr>
        <w:spacing w:after="160" w:before="360"/>
      </w:pPr>
      <w:r>
        <w:rPr>
          <w:rFonts w:ascii="Arial" w:cs="Arial" w:eastAsia="Arial" w:hAnsi="Arial"/>
          <w:b/>
          <w:bCs/>
          <w:color w:val="CC0000"/>
          <w:sz w:val="30"/>
          <w:szCs w:val="30"/>
        </w:rPr>
        <w:t xml:space="preserve">3. Marketing Mix (4P)</w:t>
      </w:r>
    </w:p>
    <w:p>
      <w:pPr>
        <w:spacing w:after="60" w:before="60"/>
      </w:pPr>
      <w:r>
        <w:rPr>
          <w:rFonts w:ascii="Arial" w:cs="Arial" w:eastAsia="Arial" w:hAnsi="Arial"/>
          <w:color w:val="333333"/>
          <w:sz w:val="20"/>
          <w:szCs w:val="20"/>
        </w:rPr>
        <w:t xml:space="preserve">Déclinaison stratégique des 4 leviers qui structurent l'offre commerciale de pokejap.fr.</w:t>
      </w:r>
    </w:p>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single" w:color="DDDDDD" w:sz="4"/>
              <w:left w:val="single" w:color="DDDDDD" w:sz="4"/>
              <w:bottom w:val="single" w:color="DDDDDD" w:sz="4"/>
              <w:right w:val="single" w:color="DDDDDD" w:sz="4"/>
            </w:tcBorders>
            <w:shd w:fill="1A1A2E" w:val="clear"/>
            <w:tcMar>
              <w:top w:type="dxa" w:w="120"/>
              <w:left w:type="dxa" w:w="160"/>
              <w:bottom w:type="dxa" w:w="120"/>
              <w:right w:type="dxa" w:w="160"/>
            </w:tcMar>
            <w:vAlign w:val="center"/>
          </w:tcPr>
          <w:p>
            <w:pPr>
              <w:jc w:val="center"/>
            </w:pPr>
            <w:r>
              <w:rPr>
                <w:rFonts w:ascii="Arial" w:cs="Arial" w:eastAsia="Arial" w:hAnsi="Arial"/>
                <w:sz w:val="32"/>
                <w:szCs w:val="32"/>
              </w:rPr>
              <w:t xml:space="preserve">🃏</w:t>
            </w:r>
          </w:p>
          <w:p>
            <w:pPr>
              <w:jc w:val="center"/>
            </w:pPr>
            <w:r>
              <w:rPr>
                <w:rFonts w:ascii="Arial" w:cs="Arial" w:eastAsia="Arial" w:hAnsi="Arial"/>
                <w:b/>
                <w:bCs/>
                <w:color w:val="FFFFFF"/>
                <w:sz w:val="22"/>
                <w:szCs w:val="22"/>
              </w:rPr>
              <w:t xml:space="preserve">PRODUIT</w:t>
            </w:r>
          </w:p>
        </w:tc>
        <w:tc>
          <w:tcPr>
            <w:tcW w:type="dxa" w:w="7426"/>
            <w:tcBorders>
              <w:top w:val="single" w:color="DDDDDD" w:sz="4"/>
              <w:left w:val="single" w:color="DDDDDD" w:sz="4"/>
              <w:bottom w:val="single" w:color="DDDDDD" w:sz="4"/>
              <w:right w:val="single" w:color="DDDDDD" w:sz="4"/>
            </w:tcBorders>
            <w:shd w:fill="F9F9F9" w:val="clear"/>
            <w:tcMar>
              <w:top w:type="dxa" w:w="100"/>
              <w:left w:type="dxa" w:w="180"/>
              <w:bottom w:type="dxa" w:w="100"/>
              <w:right w:type="dxa" w:w="160"/>
            </w:tcMar>
            <w:vAlign w:val="top"/>
          </w:tcPr>
          <w:p>
            <w:pPr>
              <w:pStyle w:val="ListParagraph"/>
              <w:numPr>
                <w:ilvl w:val="0"/>
                <w:numId w:val="2"/>
              </w:numPr>
              <w:spacing w:after="40" w:before="40"/>
            </w:pPr>
            <w:r>
              <w:rPr>
                <w:rFonts w:ascii="Arial" w:cs="Arial" w:eastAsia="Arial" w:hAnsi="Arial"/>
                <w:color w:val="333333"/>
                <w:sz w:val="19"/>
                <w:szCs w:val="19"/>
              </w:rPr>
              <w:t xml:space="preserve">Singles japonaises rares (SAR, SIR, SR, AR) issues de 26 éditions officielles</w:t>
            </w:r>
          </w:p>
          <w:p>
            <w:pPr>
              <w:pStyle w:val="ListParagraph"/>
              <w:numPr>
                <w:ilvl w:val="0"/>
                <w:numId w:val="2"/>
              </w:numPr>
              <w:spacing w:after="40" w:before="40"/>
            </w:pPr>
            <w:r>
              <w:rPr>
                <w:rFonts w:ascii="Arial" w:cs="Arial" w:eastAsia="Arial" w:hAnsi="Arial"/>
                <w:color w:val="333333"/>
                <w:sz w:val="19"/>
                <w:szCs w:val="19"/>
              </w:rPr>
              <w:t xml:space="preserve">Cartes phares : Rugit-lune ex, Terapagos ex, Iron Leaves ex, Munkidori ex (Scarlet &amp; Violet)</w:t>
            </w:r>
          </w:p>
          <w:p>
            <w:pPr>
              <w:pStyle w:val="ListParagraph"/>
              <w:numPr>
                <w:ilvl w:val="0"/>
                <w:numId w:val="2"/>
              </w:numPr>
              <w:spacing w:after="40" w:before="40"/>
            </w:pPr>
            <w:r>
              <w:rPr>
                <w:rFonts w:ascii="Arial" w:cs="Arial" w:eastAsia="Arial" w:hAnsi="Arial"/>
                <w:color w:val="333333"/>
                <w:sz w:val="19"/>
                <w:szCs w:val="19"/>
              </w:rPr>
              <w:t xml:space="preserve">Authenticité garantie — sourcing exclusif via Hikaru Distribution (importateur officiel)</w:t>
            </w:r>
          </w:p>
          <w:p>
            <w:pPr>
              <w:pStyle w:val="ListParagraph"/>
              <w:numPr>
                <w:ilvl w:val="0"/>
                <w:numId w:val="2"/>
              </w:numPr>
              <w:spacing w:after="40" w:before="40"/>
            </w:pPr>
            <w:r>
              <w:rPr>
                <w:rFonts w:ascii="Arial" w:cs="Arial" w:eastAsia="Arial" w:hAnsi="Arial"/>
                <w:color w:val="333333"/>
                <w:sz w:val="19"/>
                <w:szCs w:val="19"/>
              </w:rPr>
              <w:t xml:space="preserve">Extension dropshipping : displays, ETB, boosters japonais (Pokémon, One Piece, Dragon Ball)</w:t>
            </w:r>
          </w:p>
          <w:p>
            <w:pPr>
              <w:pStyle w:val="ListParagraph"/>
              <w:numPr>
                <w:ilvl w:val="0"/>
                <w:numId w:val="2"/>
              </w:numPr>
              <w:spacing w:after="40" w:before="40"/>
            </w:pPr>
            <w:r>
              <w:rPr>
                <w:rFonts w:ascii="Arial" w:cs="Arial" w:eastAsia="Arial" w:hAnsi="Arial"/>
                <w:color w:val="333333"/>
                <w:sz w:val="19"/>
                <w:szCs w:val="19"/>
              </w:rPr>
              <w:t xml:space="preserve">Qualité photo produit soignée avec images HD des cartes sur fiches produit</w:t>
            </w:r>
          </w:p>
        </w:tc>
      </w:tr>
      <w:tr>
        <w:tc>
          <w:tcPr>
            <w:tcW w:type="dxa" w:w="1600"/>
            <w:tcBorders>
              <w:top w:val="single" w:color="DDDDDD" w:sz="4"/>
              <w:left w:val="single" w:color="DDDDDD" w:sz="4"/>
              <w:bottom w:val="single" w:color="DDDDDD" w:sz="4"/>
              <w:right w:val="single" w:color="DDDDDD" w:sz="4"/>
            </w:tcBorders>
            <w:shd w:fill="1A1A2E" w:val="clear"/>
            <w:tcMar>
              <w:top w:type="dxa" w:w="120"/>
              <w:left w:type="dxa" w:w="160"/>
              <w:bottom w:type="dxa" w:w="120"/>
              <w:right w:type="dxa" w:w="160"/>
            </w:tcMar>
            <w:vAlign w:val="center"/>
          </w:tcPr>
          <w:p>
            <w:pPr>
              <w:jc w:val="center"/>
            </w:pPr>
            <w:r>
              <w:rPr>
                <w:rFonts w:ascii="Arial" w:cs="Arial" w:eastAsia="Arial" w:hAnsi="Arial"/>
                <w:sz w:val="32"/>
                <w:szCs w:val="32"/>
              </w:rPr>
              <w:t xml:space="preserve">💶</w:t>
            </w:r>
          </w:p>
          <w:p>
            <w:pPr>
              <w:jc w:val="center"/>
            </w:pPr>
            <w:r>
              <w:rPr>
                <w:rFonts w:ascii="Arial" w:cs="Arial" w:eastAsia="Arial" w:hAnsi="Arial"/>
                <w:b/>
                <w:bCs/>
                <w:color w:val="FFFFFF"/>
                <w:sz w:val="22"/>
                <w:szCs w:val="22"/>
              </w:rPr>
              <w:t xml:space="preserve">PRIX</w:t>
            </w:r>
          </w:p>
        </w:tc>
        <w:tc>
          <w:tcPr>
            <w:tcW w:type="dxa" w:w="7426"/>
            <w:tcBorders>
              <w:top w:val="single" w:color="DDDDDD" w:sz="4"/>
              <w:left w:val="single" w:color="DDDDDD" w:sz="4"/>
              <w:bottom w:val="single" w:color="DDDDDD" w:sz="4"/>
              <w:right w:val="single" w:color="DDDDDD" w:sz="4"/>
            </w:tcBorders>
            <w:shd w:fill="F9F9F9" w:val="clear"/>
            <w:tcMar>
              <w:top w:type="dxa" w:w="100"/>
              <w:left w:type="dxa" w:w="180"/>
              <w:bottom w:type="dxa" w:w="100"/>
              <w:right w:type="dxa" w:w="160"/>
            </w:tcMar>
            <w:vAlign w:val="top"/>
          </w:tcPr>
          <w:p>
            <w:pPr>
              <w:pStyle w:val="ListParagraph"/>
              <w:numPr>
                <w:ilvl w:val="0"/>
                <w:numId w:val="2"/>
              </w:numPr>
              <w:spacing w:after="40" w:before="40"/>
            </w:pPr>
            <w:r>
              <w:rPr>
                <w:rFonts w:ascii="Arial" w:cs="Arial" w:eastAsia="Arial" w:hAnsi="Arial"/>
                <w:color w:val="333333"/>
                <w:sz w:val="19"/>
                <w:szCs w:val="19"/>
              </w:rPr>
              <w:t xml:space="preserve">Positionnement marché : aligné sur les prix Cardmarket JP (référence internationale)</w:t>
            </w:r>
          </w:p>
          <w:p>
            <w:pPr>
              <w:pStyle w:val="ListParagraph"/>
              <w:numPr>
                <w:ilvl w:val="0"/>
                <w:numId w:val="2"/>
              </w:numPr>
              <w:spacing w:after="40" w:before="40"/>
            </w:pPr>
            <w:r>
              <w:rPr>
                <w:rFonts w:ascii="Arial" w:cs="Arial" w:eastAsia="Arial" w:hAnsi="Arial"/>
                <w:color w:val="333333"/>
                <w:sz w:val="19"/>
                <w:szCs w:val="19"/>
              </w:rPr>
              <w:t xml:space="preserve">Marge sur les singles rares : 20-40% selon la rareté et la demande</w:t>
            </w:r>
          </w:p>
          <w:p>
            <w:pPr>
              <w:pStyle w:val="ListParagraph"/>
              <w:numPr>
                <w:ilvl w:val="0"/>
                <w:numId w:val="2"/>
              </w:numPr>
              <w:spacing w:after="40" w:before="40"/>
            </w:pPr>
            <w:r>
              <w:rPr>
                <w:rFonts w:ascii="Arial" w:cs="Arial" w:eastAsia="Arial" w:hAnsi="Arial"/>
                <w:color w:val="333333"/>
                <w:sz w:val="19"/>
                <w:szCs w:val="19"/>
              </w:rPr>
              <w:t xml:space="preserve">Produits scellés dropshipping : marge 15-25% (prix Hikaru gros + frais logistique)</w:t>
            </w:r>
          </w:p>
          <w:p>
            <w:pPr>
              <w:pStyle w:val="ListParagraph"/>
              <w:numPr>
                <w:ilvl w:val="0"/>
                <w:numId w:val="2"/>
              </w:numPr>
              <w:spacing w:after="40" w:before="40"/>
            </w:pPr>
            <w:r>
              <w:rPr>
                <w:rFonts w:ascii="Arial" w:cs="Arial" w:eastAsia="Arial" w:hAnsi="Arial"/>
                <w:color w:val="333333"/>
                <w:sz w:val="19"/>
                <w:szCs w:val="19"/>
              </w:rPr>
              <w:t xml:space="preserve">Livraison offerte au-dessus d'un seuil (ex. : 50 €) pour favoriser les paniers plus élevés</w:t>
            </w:r>
          </w:p>
          <w:p>
            <w:pPr>
              <w:pStyle w:val="ListParagraph"/>
              <w:numPr>
                <w:ilvl w:val="0"/>
                <w:numId w:val="2"/>
              </w:numPr>
              <w:spacing w:after="40" w:before="40"/>
            </w:pPr>
            <w:r>
              <w:rPr>
                <w:rFonts w:ascii="Arial" w:cs="Arial" w:eastAsia="Arial" w:hAnsi="Arial"/>
                <w:color w:val="333333"/>
                <w:sz w:val="19"/>
                <w:szCs w:val="19"/>
              </w:rPr>
              <w:t xml:space="preserve">Offres ponctuelles : promos lors des sorties de nouveaux sets japonais</w:t>
            </w:r>
          </w:p>
          <w:p>
            <w:pPr>
              <w:pStyle w:val="ListParagraph"/>
              <w:numPr>
                <w:ilvl w:val="0"/>
                <w:numId w:val="2"/>
              </w:numPr>
              <w:spacing w:after="40" w:before="40"/>
            </w:pPr>
            <w:r>
              <w:rPr>
                <w:rFonts w:ascii="Arial" w:cs="Arial" w:eastAsia="Arial" w:hAnsi="Arial"/>
                <w:color w:val="333333"/>
                <w:sz w:val="19"/>
                <w:szCs w:val="19"/>
              </w:rPr>
              <w:t xml:space="preserve">Pas de guerre des prix — valeur perçue sur la spécialisation et l'authenticité</w:t>
            </w:r>
          </w:p>
        </w:tc>
      </w:tr>
      <w:tr>
        <w:tc>
          <w:tcPr>
            <w:tcW w:type="dxa" w:w="1600"/>
            <w:tcBorders>
              <w:top w:val="single" w:color="DDDDDD" w:sz="4"/>
              <w:left w:val="single" w:color="DDDDDD" w:sz="4"/>
              <w:bottom w:val="single" w:color="DDDDDD" w:sz="4"/>
              <w:right w:val="single" w:color="DDDDDD" w:sz="4"/>
            </w:tcBorders>
            <w:shd w:fill="1A1A2E" w:val="clear"/>
            <w:tcMar>
              <w:top w:type="dxa" w:w="120"/>
              <w:left w:type="dxa" w:w="160"/>
              <w:bottom w:type="dxa" w:w="120"/>
              <w:right w:type="dxa" w:w="160"/>
            </w:tcMar>
            <w:vAlign w:val="center"/>
          </w:tcPr>
          <w:p>
            <w:pPr>
              <w:jc w:val="center"/>
            </w:pPr>
            <w:r>
              <w:rPr>
                <w:rFonts w:ascii="Arial" w:cs="Arial" w:eastAsia="Arial" w:hAnsi="Arial"/>
                <w:sz w:val="32"/>
                <w:szCs w:val="32"/>
              </w:rPr>
              <w:t xml:space="preserve">🚚</w:t>
            </w:r>
          </w:p>
          <w:p>
            <w:pPr>
              <w:jc w:val="center"/>
            </w:pPr>
            <w:r>
              <w:rPr>
                <w:rFonts w:ascii="Arial" w:cs="Arial" w:eastAsia="Arial" w:hAnsi="Arial"/>
                <w:b/>
                <w:bCs/>
                <w:color w:val="FFFFFF"/>
                <w:sz w:val="22"/>
                <w:szCs w:val="22"/>
              </w:rPr>
              <w:t xml:space="preserve">PLACE</w:t>
            </w:r>
          </w:p>
        </w:tc>
        <w:tc>
          <w:tcPr>
            <w:tcW w:type="dxa" w:w="7426"/>
            <w:tcBorders>
              <w:top w:val="single" w:color="DDDDDD" w:sz="4"/>
              <w:left w:val="single" w:color="DDDDDD" w:sz="4"/>
              <w:bottom w:val="single" w:color="DDDDDD" w:sz="4"/>
              <w:right w:val="single" w:color="DDDDDD" w:sz="4"/>
            </w:tcBorders>
            <w:shd w:fill="F9F9F9" w:val="clear"/>
            <w:tcMar>
              <w:top w:type="dxa" w:w="100"/>
              <w:left w:type="dxa" w:w="180"/>
              <w:bottom w:type="dxa" w:w="100"/>
              <w:right w:type="dxa" w:w="160"/>
            </w:tcMar>
            <w:vAlign w:val="top"/>
          </w:tcPr>
          <w:p>
            <w:pPr>
              <w:pStyle w:val="ListParagraph"/>
              <w:numPr>
                <w:ilvl w:val="0"/>
                <w:numId w:val="2"/>
              </w:numPr>
              <w:spacing w:after="40" w:before="40"/>
            </w:pPr>
            <w:r>
              <w:rPr>
                <w:rFonts w:ascii="Arial" w:cs="Arial" w:eastAsia="Arial" w:hAnsi="Arial"/>
                <w:color w:val="333333"/>
                <w:sz w:val="19"/>
                <w:szCs w:val="19"/>
              </w:rPr>
              <w:t xml:space="preserve">100% e-commerce via pokejap.fr — livraison nationale (France métropolitaine + DOM)</w:t>
            </w:r>
          </w:p>
          <w:p>
            <w:pPr>
              <w:pStyle w:val="ListParagraph"/>
              <w:numPr>
                <w:ilvl w:val="0"/>
                <w:numId w:val="2"/>
              </w:numPr>
              <w:spacing w:after="40" w:before="40"/>
            </w:pPr>
            <w:r>
              <w:rPr>
                <w:rFonts w:ascii="Arial" w:cs="Arial" w:eastAsia="Arial" w:hAnsi="Arial"/>
                <w:color w:val="333333"/>
                <w:sz w:val="19"/>
                <w:szCs w:val="19"/>
              </w:rPr>
              <w:t xml:space="preserve">Paiement Stripe (CB, Apple Pay, Google Pay) — expérience d'achat fluide et sécurisée</w:t>
            </w:r>
          </w:p>
          <w:p>
            <w:pPr>
              <w:pStyle w:val="ListParagraph"/>
              <w:numPr>
                <w:ilvl w:val="0"/>
                <w:numId w:val="2"/>
              </w:numPr>
              <w:spacing w:after="40" w:before="40"/>
            </w:pPr>
            <w:r>
              <w:rPr>
                <w:rFonts w:ascii="Arial" w:cs="Arial" w:eastAsia="Arial" w:hAnsi="Arial"/>
                <w:color w:val="333333"/>
                <w:sz w:val="19"/>
                <w:szCs w:val="19"/>
              </w:rPr>
              <w:t xml:space="preserve">Délai expédition : J+1 pour les singles en stock / délai Hikaru pour le dropshipping</w:t>
            </w:r>
          </w:p>
          <w:p>
            <w:pPr>
              <w:pStyle w:val="ListParagraph"/>
              <w:numPr>
                <w:ilvl w:val="0"/>
                <w:numId w:val="2"/>
              </w:numPr>
              <w:spacing w:after="40" w:before="40"/>
            </w:pPr>
            <w:r>
              <w:rPr>
                <w:rFonts w:ascii="Arial" w:cs="Arial" w:eastAsia="Arial" w:hAnsi="Arial"/>
                <w:color w:val="333333"/>
                <w:sz w:val="19"/>
                <w:szCs w:val="19"/>
              </w:rPr>
              <w:t xml:space="preserve">Futur : présence sur Cardmarket (marketplace de référence) pour capter du trafic qualifié</w:t>
            </w:r>
          </w:p>
          <w:p>
            <w:pPr>
              <w:pStyle w:val="ListParagraph"/>
              <w:numPr>
                <w:ilvl w:val="0"/>
                <w:numId w:val="2"/>
              </w:numPr>
              <w:spacing w:after="40" w:before="40"/>
            </w:pPr>
            <w:r>
              <w:rPr>
                <w:rFonts w:ascii="Arial" w:cs="Arial" w:eastAsia="Arial" w:hAnsi="Arial"/>
                <w:color w:val="333333"/>
                <w:sz w:val="19"/>
                <w:szCs w:val="19"/>
              </w:rPr>
              <w:t xml:space="preserve">Packaging soigné (protection cartes, pochettes, toploader) = facteur différenciant</w:t>
            </w:r>
          </w:p>
        </w:tc>
      </w:tr>
      <w:tr>
        <w:tc>
          <w:tcPr>
            <w:tcW w:type="dxa" w:w="1600"/>
            <w:tcBorders>
              <w:top w:val="single" w:color="DDDDDD" w:sz="4"/>
              <w:left w:val="single" w:color="DDDDDD" w:sz="4"/>
              <w:bottom w:val="single" w:color="DDDDDD" w:sz="4"/>
              <w:right w:val="single" w:color="DDDDDD" w:sz="4"/>
            </w:tcBorders>
            <w:shd w:fill="1A1A2E" w:val="clear"/>
            <w:tcMar>
              <w:top w:type="dxa" w:w="120"/>
              <w:left w:type="dxa" w:w="160"/>
              <w:bottom w:type="dxa" w:w="120"/>
              <w:right w:type="dxa" w:w="160"/>
            </w:tcMar>
            <w:vAlign w:val="center"/>
          </w:tcPr>
          <w:p>
            <w:pPr>
              <w:jc w:val="center"/>
            </w:pPr>
            <w:r>
              <w:rPr>
                <w:rFonts w:ascii="Arial" w:cs="Arial" w:eastAsia="Arial" w:hAnsi="Arial"/>
                <w:sz w:val="32"/>
                <w:szCs w:val="32"/>
              </w:rPr>
              <w:t xml:space="preserve">📣</w:t>
            </w:r>
          </w:p>
          <w:p>
            <w:pPr>
              <w:jc w:val="center"/>
            </w:pPr>
            <w:r>
              <w:rPr>
                <w:rFonts w:ascii="Arial" w:cs="Arial" w:eastAsia="Arial" w:hAnsi="Arial"/>
                <w:b/>
                <w:bCs/>
                <w:color w:val="FFFFFF"/>
                <w:sz w:val="22"/>
                <w:szCs w:val="22"/>
              </w:rPr>
              <w:t xml:space="preserve">PROMOTION</w:t>
            </w:r>
          </w:p>
        </w:tc>
        <w:tc>
          <w:tcPr>
            <w:tcW w:type="dxa" w:w="7426"/>
            <w:tcBorders>
              <w:top w:val="single" w:color="DDDDDD" w:sz="4"/>
              <w:left w:val="single" w:color="DDDDDD" w:sz="4"/>
              <w:bottom w:val="single" w:color="DDDDDD" w:sz="4"/>
              <w:right w:val="single" w:color="DDDDDD" w:sz="4"/>
            </w:tcBorders>
            <w:shd w:fill="F9F9F9" w:val="clear"/>
            <w:tcMar>
              <w:top w:type="dxa" w:w="100"/>
              <w:left w:type="dxa" w:w="180"/>
              <w:bottom w:type="dxa" w:w="100"/>
              <w:right w:type="dxa" w:w="160"/>
            </w:tcMar>
            <w:vAlign w:val="top"/>
          </w:tcPr>
          <w:p>
            <w:pPr>
              <w:pStyle w:val="ListParagraph"/>
              <w:numPr>
                <w:ilvl w:val="0"/>
                <w:numId w:val="2"/>
              </w:numPr>
              <w:spacing w:after="40" w:before="40"/>
            </w:pPr>
            <w:r>
              <w:rPr>
                <w:rFonts w:ascii="Arial" w:cs="Arial" w:eastAsia="Arial" w:hAnsi="Arial"/>
                <w:color w:val="333333"/>
                <w:sz w:val="19"/>
                <w:szCs w:val="19"/>
              </w:rPr>
              <w:t xml:space="preserve">Google Ads Search : mots-clés japonais ciblés, budget 7,10 €/jour, ciblage France entière</w:t>
            </w:r>
          </w:p>
          <w:p>
            <w:pPr>
              <w:pStyle w:val="ListParagraph"/>
              <w:numPr>
                <w:ilvl w:val="0"/>
                <w:numId w:val="2"/>
              </w:numPr>
              <w:spacing w:after="40" w:before="40"/>
            </w:pPr>
            <w:r>
              <w:rPr>
                <w:rFonts w:ascii="Arial" w:cs="Arial" w:eastAsia="Arial" w:hAnsi="Arial"/>
                <w:color w:val="333333"/>
                <w:sz w:val="19"/>
                <w:szCs w:val="19"/>
              </w:rPr>
              <w:t xml:space="preserve">SEO organique : pages produits et éditions optimisées (mots-clés JP longue traîne)</w:t>
            </w:r>
          </w:p>
          <w:p>
            <w:pPr>
              <w:pStyle w:val="ListParagraph"/>
              <w:numPr>
                <w:ilvl w:val="0"/>
                <w:numId w:val="2"/>
              </w:numPr>
              <w:spacing w:after="40" w:before="40"/>
            </w:pPr>
            <w:r>
              <w:rPr>
                <w:rFonts w:ascii="Arial" w:cs="Arial" w:eastAsia="Arial" w:hAnsi="Arial"/>
                <w:color w:val="333333"/>
                <w:sz w:val="19"/>
                <w:szCs w:val="19"/>
              </w:rPr>
              <w:t xml:space="preserve">Instagram &amp; TikTok : ouvertures de boosters, pulls de cartes, présentation des SAR</w:t>
            </w:r>
          </w:p>
          <w:p>
            <w:pPr>
              <w:pStyle w:val="ListParagraph"/>
              <w:numPr>
                <w:ilvl w:val="0"/>
                <w:numId w:val="2"/>
              </w:numPr>
              <w:spacing w:after="40" w:before="40"/>
            </w:pPr>
            <w:r>
              <w:rPr>
                <w:rFonts w:ascii="Arial" w:cs="Arial" w:eastAsia="Arial" w:hAnsi="Arial"/>
                <w:color w:val="333333"/>
                <w:sz w:val="19"/>
                <w:szCs w:val="19"/>
              </w:rPr>
              <w:t xml:space="preserve">Communautés Discord et Reddit Pokémon FR : présence et partage organique</w:t>
            </w:r>
          </w:p>
          <w:p>
            <w:pPr>
              <w:pStyle w:val="ListParagraph"/>
              <w:numPr>
                <w:ilvl w:val="0"/>
                <w:numId w:val="2"/>
              </w:numPr>
              <w:spacing w:after="40" w:before="40"/>
            </w:pPr>
            <w:r>
              <w:rPr>
                <w:rFonts w:ascii="Arial" w:cs="Arial" w:eastAsia="Arial" w:hAnsi="Arial"/>
                <w:color w:val="333333"/>
                <w:sz w:val="19"/>
                <w:szCs w:val="19"/>
              </w:rPr>
              <w:t xml:space="preserve">Influence marketing : envois de cartes à des créateurs Pokémon FR (micro-influenceurs)</w:t>
            </w:r>
          </w:p>
          <w:p>
            <w:pPr>
              <w:pStyle w:val="ListParagraph"/>
              <w:numPr>
                <w:ilvl w:val="0"/>
                <w:numId w:val="2"/>
              </w:numPr>
              <w:spacing w:after="40" w:before="40"/>
            </w:pPr>
            <w:r>
              <w:rPr>
                <w:rFonts w:ascii="Arial" w:cs="Arial" w:eastAsia="Arial" w:hAnsi="Arial"/>
                <w:color w:val="333333"/>
                <w:sz w:val="19"/>
                <w:szCs w:val="19"/>
              </w:rPr>
              <w:t xml:space="preserve">Email marketing : newsletter pour les sorties de nouveaux sets et promos exclusives</w:t>
            </w:r>
          </w:p>
        </w:tc>
      </w:tr>
    </w:tbl>
    <w:p>
      <w:r>
        <w:rPr>
          <w:sz w:val="20"/>
          <w:szCs w:val="20"/>
        </w:rPr>
        <w:t xml:space="preserve"/>
      </w:r>
    </w:p>
    <w:p>
      <w:r>
        <w:br w:type="page"/>
      </w:r>
    </w:p>
    <w:p>
      <w:pPr>
        <w:pStyle w:val="Heading1"/>
        <w:pBdr>
          <w:bottom w:val="single" w:color="CC0000" w:sz="8" w:space="6"/>
        </w:pBdr>
        <w:spacing w:after="160" w:before="360"/>
      </w:pPr>
      <w:r>
        <w:rPr>
          <w:rFonts w:ascii="Arial" w:cs="Arial" w:eastAsia="Arial" w:hAnsi="Arial"/>
          <w:b/>
          <w:bCs/>
          <w:color w:val="CC0000"/>
          <w:sz w:val="30"/>
          <w:szCs w:val="30"/>
        </w:rPr>
        <w:t xml:space="preserve">4. Plan de Communication</w:t>
      </w:r>
    </w:p>
    <w:p>
      <w:pPr>
        <w:spacing w:after="60" w:before="60"/>
      </w:pPr>
      <w:r>
        <w:rPr>
          <w:rFonts w:ascii="Arial" w:cs="Arial" w:eastAsia="Arial" w:hAnsi="Arial"/>
          <w:color w:val="333333"/>
          <w:sz w:val="20"/>
          <w:szCs w:val="20"/>
        </w:rPr>
        <w:t xml:space="preserve">Déploiement structuré sur 12 mois pour construire la notoriété, acquérir les premiers clients et fidéliser la communauté.</w:t>
      </w:r>
    </w:p>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4000"/>
        <w:gridCol w:w="2426"/>
      </w:tblGrid>
      <w:tr>
        <w:trPr>
          <w:tblHeader/>
        </w:trPr>
        <w:tc>
          <w:tcPr>
            <w:tcW w:type="dxa" w:w="1400"/>
            <w:tcBorders>
              <w:top w:val="single" w:color="DDDDDD" w:sz="4"/>
              <w:left w:val="single" w:color="DDDDDD" w:sz="4"/>
              <w:bottom w:val="single" w:color="DDDDDD" w:sz="4"/>
              <w:right w:val="single" w:color="DDDDDD" w:sz="4"/>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Phase</w:t>
            </w:r>
          </w:p>
        </w:tc>
        <w:tc>
          <w:tcPr>
            <w:tcW w:type="dxa" w:w="1200"/>
            <w:tcBorders>
              <w:top w:val="single" w:color="DDDDDD" w:sz="4"/>
              <w:left w:val="single" w:color="DDDDDD" w:sz="4"/>
              <w:bottom w:val="single" w:color="DDDDDD" w:sz="4"/>
              <w:right w:val="single" w:color="DDDDDD" w:sz="4"/>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Période</w:t>
            </w:r>
          </w:p>
        </w:tc>
        <w:tc>
          <w:tcPr>
            <w:tcW w:type="dxa" w:w="4000"/>
            <w:tcBorders>
              <w:top w:val="single" w:color="DDDDDD" w:sz="4"/>
              <w:left w:val="single" w:color="DDDDDD" w:sz="4"/>
              <w:bottom w:val="single" w:color="DDDDDD" w:sz="4"/>
              <w:right w:val="single" w:color="DDDDDD" w:sz="4"/>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Actions prioritaires</w:t>
            </w:r>
          </w:p>
        </w:tc>
        <w:tc>
          <w:tcPr>
            <w:tcW w:type="dxa" w:w="2426"/>
            <w:tcBorders>
              <w:top w:val="single" w:color="DDDDDD" w:sz="4"/>
              <w:left w:val="single" w:color="DDDDDD" w:sz="4"/>
              <w:bottom w:val="single" w:color="DDDDDD" w:sz="4"/>
              <w:right w:val="single" w:color="DDDDDD" w:sz="4"/>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KPIs &amp; Objectifs</w:t>
            </w:r>
          </w:p>
        </w:tc>
      </w:tr>
      <w:tr>
        <w:tc>
          <w:tcPr>
            <w:tcW w:type="dxa" w:w="1400"/>
            <w:tcBorders>
              <w:top w:val="single" w:color="DDDDDD" w:sz="4"/>
              <w:left w:val="single" w:color="DDDDDD" w:sz="4"/>
              <w:bottom w:val="single" w:color="DDDDDD" w:sz="4"/>
              <w:right w:val="single" w:color="DDDDDD" w:sz="4"/>
            </w:tcBorders>
            <w:shd w:fill="EAF8E9" w:val="clear"/>
            <w:tcMar>
              <w:top w:type="dxa" w:w="80"/>
              <w:left w:type="dxa" w:w="120"/>
              <w:bottom w:type="dxa" w:w="80"/>
              <w:right w:type="dxa" w:w="120"/>
            </w:tcMar>
            <w:vAlign w:val="top"/>
          </w:tcPr>
          <w:p>
            <w:pPr>
              <w:spacing w:after="30" w:before="30"/>
            </w:pPr>
            <w:r>
              <w:rPr>
                <w:rFonts w:ascii="Arial" w:cs="Arial" w:eastAsia="Arial" w:hAnsi="Arial"/>
                <w:b/>
                <w:bCs/>
                <w:color w:val="FFFFFF"/>
                <w:sz w:val="18"/>
                <w:szCs w:val="18"/>
              </w:rPr>
              <w:t xml:space="preserve">🟢 Phase 1</w:t>
            </w:r>
          </w:p>
          <w:p>
            <w:pPr>
              <w:spacing w:after="30" w:before="30"/>
            </w:pPr>
            <w:r>
              <w:rPr>
                <w:rFonts w:ascii="Arial" w:cs="Arial" w:eastAsia="Arial" w:hAnsi="Arial"/>
                <w:b/>
                <w:bCs/>
                <w:color w:val="FFFFFF"/>
                <w:sz w:val="18"/>
                <w:szCs w:val="18"/>
              </w:rPr>
              <w:t xml:space="preserve">Lancement</w:t>
            </w:r>
          </w:p>
        </w:tc>
        <w:tc>
          <w:tcPr>
            <w:tcW w:type="dxa" w:w="1200"/>
            <w:tcBorders>
              <w:top w:val="single" w:color="DDDDDD" w:sz="4"/>
              <w:left w:val="single" w:color="DDDDDD" w:sz="4"/>
              <w:bottom w:val="single" w:color="DDDDDD" w:sz="4"/>
              <w:right w:val="single" w:color="DDDDDD" w:sz="4"/>
            </w:tcBorders>
            <w:shd w:fill="EAF8E9" w:val="clear"/>
            <w:tcMar>
              <w:top w:type="dxa" w:w="80"/>
              <w:left w:type="dxa" w:w="120"/>
              <w:bottom w:type="dxa" w:w="80"/>
              <w:right w:type="dxa" w:w="120"/>
            </w:tcMar>
            <w:vAlign w:val="top"/>
          </w:tcPr>
          <w:p>
            <w:pPr>
              <w:spacing w:after="30" w:before="30"/>
            </w:pPr>
            <w:r>
              <w:rPr>
                <w:rFonts w:ascii="Arial" w:cs="Arial" w:eastAsia="Arial" w:hAnsi="Arial"/>
                <w:b w:val="false"/>
                <w:bCs w:val="false"/>
                <w:color w:val="333333"/>
                <w:sz w:val="18"/>
                <w:szCs w:val="18"/>
              </w:rPr>
              <w:t xml:space="preserve">Mois 1-3</w:t>
            </w:r>
          </w:p>
        </w:tc>
        <w:tc>
          <w:tcPr>
            <w:tcW w:type="dxa" w:w="4000"/>
            <w:tcBorders>
              <w:top w:val="single" w:color="DDDDDD" w:sz="4"/>
              <w:left w:val="single" w:color="DDDDDD" w:sz="4"/>
              <w:bottom w:val="single" w:color="DDDDDD" w:sz="4"/>
              <w:right w:val="single" w:color="DDDDDD" w:sz="4"/>
            </w:tcBorders>
            <w:shd w:fill="EAF8E9" w:val="clear"/>
            <w:tcMar>
              <w:top w:type="dxa" w:w="80"/>
              <w:left w:type="dxa" w:w="120"/>
              <w:bottom w:type="dxa" w:w="80"/>
              <w:right w:type="dxa" w:w="120"/>
            </w:tcMar>
            <w:vAlign w:val="top"/>
          </w:tcPr>
          <w:p>
            <w:pPr>
              <w:spacing w:after="30" w:before="30"/>
            </w:pPr>
            <w:r>
              <w:rPr>
                <w:rFonts w:ascii="Arial" w:cs="Arial" w:eastAsia="Arial" w:hAnsi="Arial"/>
                <w:b w:val="false"/>
                <w:bCs w:val="false"/>
                <w:color w:val="1A1A1A"/>
                <w:sz w:val="18"/>
                <w:szCs w:val="18"/>
              </w:rPr>
              <w:t xml:space="preserve">• Activer Google Ads (400 € crédit) — mots-clés JP ciblés</w:t>
            </w:r>
          </w:p>
          <w:p>
            <w:pPr>
              <w:spacing w:after="30" w:before="30"/>
            </w:pPr>
            <w:r>
              <w:rPr>
                <w:rFonts w:ascii="Arial" w:cs="Arial" w:eastAsia="Arial" w:hAnsi="Arial"/>
                <w:b w:val="false"/>
                <w:bCs w:val="false"/>
                <w:color w:val="1A1A1A"/>
                <w:sz w:val="18"/>
                <w:szCs w:val="18"/>
              </w:rPr>
              <w:t xml:space="preserve">• Créer comptes Instagram et TikTok @pokejap</w:t>
            </w:r>
          </w:p>
          <w:p>
            <w:pPr>
              <w:spacing w:after="30" w:before="30"/>
            </w:pPr>
            <w:r>
              <w:rPr>
                <w:rFonts w:ascii="Arial" w:cs="Arial" w:eastAsia="Arial" w:hAnsi="Arial"/>
                <w:b w:val="false"/>
                <w:bCs w:val="false"/>
                <w:color w:val="1A1A1A"/>
                <w:sz w:val="18"/>
                <w:szCs w:val="18"/>
              </w:rPr>
              <w:t xml:space="preserve">• Publier 3x/semaine : photos cartes, pulls, unboxings</w:t>
            </w:r>
          </w:p>
          <w:p>
            <w:pPr>
              <w:spacing w:after="30" w:before="30"/>
            </w:pPr>
            <w:r>
              <w:rPr>
                <w:rFonts w:ascii="Arial" w:cs="Arial" w:eastAsia="Arial" w:hAnsi="Arial"/>
                <w:b w:val="false"/>
                <w:bCs w:val="false"/>
                <w:color w:val="1A1A1A"/>
                <w:sz w:val="18"/>
                <w:szCs w:val="18"/>
              </w:rPr>
              <w:t xml:space="preserve">• Optimiser le SEO on-page des fiches produit</w:t>
            </w:r>
          </w:p>
          <w:p>
            <w:pPr>
              <w:spacing w:after="30" w:before="30"/>
            </w:pPr>
            <w:r>
              <w:rPr>
                <w:rFonts w:ascii="Arial" w:cs="Arial" w:eastAsia="Arial" w:hAnsi="Arial"/>
                <w:b w:val="false"/>
                <w:bCs w:val="false"/>
                <w:color w:val="1A1A1A"/>
                <w:sz w:val="18"/>
                <w:szCs w:val="18"/>
              </w:rPr>
              <w:t xml:space="preserve">• Soumettre sitemap Google Search Console</w:t>
            </w:r>
          </w:p>
          <w:p>
            <w:pPr>
              <w:spacing w:after="30" w:before="30"/>
            </w:pPr>
            <w:r>
              <w:rPr>
                <w:rFonts w:ascii="Arial" w:cs="Arial" w:eastAsia="Arial" w:hAnsi="Arial"/>
                <w:b w:val="false"/>
                <w:bCs w:val="false"/>
                <w:color w:val="1A1A1A"/>
                <w:sz w:val="18"/>
                <w:szCs w:val="18"/>
              </w:rPr>
              <w:t xml:space="preserve">• Ouvrir compte Hikaru Pro et TCGdirect</w:t>
            </w:r>
          </w:p>
          <w:p>
            <w:pPr>
              <w:spacing w:after="30" w:before="30"/>
            </w:pPr>
            <w:r>
              <w:rPr>
                <w:rFonts w:ascii="Arial" w:cs="Arial" w:eastAsia="Arial" w:hAnsi="Arial"/>
                <w:b w:val="false"/>
                <w:bCs w:val="false"/>
                <w:color w:val="1A1A1A"/>
                <w:sz w:val="18"/>
                <w:szCs w:val="18"/>
              </w:rPr>
              <w:t xml:space="preserve">• Ajouter section dropshipping scellés sur le site</w:t>
            </w:r>
          </w:p>
        </w:tc>
        <w:tc>
          <w:tcPr>
            <w:tcW w:type="dxa" w:w="2426"/>
            <w:tcBorders>
              <w:top w:val="single" w:color="DDDDDD" w:sz="4"/>
              <w:left w:val="single" w:color="DDDDDD" w:sz="4"/>
              <w:bottom w:val="single" w:color="DDDDDD" w:sz="4"/>
              <w:right w:val="single" w:color="DDDDDD" w:sz="4"/>
            </w:tcBorders>
            <w:shd w:fill="EAF8E9" w:val="clear"/>
            <w:tcMar>
              <w:top w:type="dxa" w:w="80"/>
              <w:left w:type="dxa" w:w="120"/>
              <w:bottom w:type="dxa" w:w="80"/>
              <w:right w:type="dxa" w:w="120"/>
            </w:tcMar>
            <w:vAlign w:val="top"/>
          </w:tcPr>
          <w:p>
            <w:pPr>
              <w:spacing w:after="30" w:before="30"/>
            </w:pPr>
            <w:r>
              <w:rPr>
                <w:rFonts w:ascii="Arial" w:cs="Arial" w:eastAsia="Arial" w:hAnsi="Arial"/>
                <w:b w:val="false"/>
                <w:bCs w:val="false"/>
                <w:color w:val="1A1A1A"/>
                <w:sz w:val="18"/>
                <w:szCs w:val="18"/>
              </w:rPr>
              <w:t xml:space="preserve">50+ commandes</w:t>
            </w:r>
          </w:p>
          <w:p>
            <w:pPr>
              <w:spacing w:after="30" w:before="30"/>
            </w:pPr>
            <w:r>
              <w:rPr>
                <w:rFonts w:ascii="Arial" w:cs="Arial" w:eastAsia="Arial" w:hAnsi="Arial"/>
                <w:b w:val="false"/>
                <w:bCs w:val="false"/>
                <w:color w:val="1A1A1A"/>
                <w:sz w:val="18"/>
                <w:szCs w:val="18"/>
              </w:rPr>
              <w:t xml:space="preserve">200+ abonnés IG/TT</w:t>
            </w:r>
          </w:p>
          <w:p>
            <w:pPr>
              <w:spacing w:after="30" w:before="30"/>
            </w:pPr>
            <w:r>
              <w:rPr>
                <w:rFonts w:ascii="Arial" w:cs="Arial" w:eastAsia="Arial" w:hAnsi="Arial"/>
                <w:b w:val="false"/>
                <w:bCs w:val="false"/>
                <w:color w:val="1A1A1A"/>
                <w:sz w:val="18"/>
                <w:szCs w:val="18"/>
              </w:rPr>
              <w:t xml:space="preserve">CTR Google Ads &gt; 5%</w:t>
            </w:r>
          </w:p>
          <w:p>
            <w:pPr>
              <w:spacing w:after="30" w:before="30"/>
            </w:pPr>
            <w:r>
              <w:rPr>
                <w:rFonts w:ascii="Arial" w:cs="Arial" w:eastAsia="Arial" w:hAnsi="Arial"/>
                <w:b w:val="false"/>
                <w:bCs w:val="false"/>
                <w:color w:val="1A1A1A"/>
                <w:sz w:val="18"/>
                <w:szCs w:val="18"/>
              </w:rPr>
              <w:t xml:space="preserve">10+ avis clients</w:t>
            </w:r>
          </w:p>
          <w:p>
            <w:pPr>
              <w:spacing w:after="30" w:before="30"/>
            </w:pPr>
            <w:r>
              <w:rPr>
                <w:rFonts w:ascii="Arial" w:cs="Arial" w:eastAsia="Arial" w:hAnsi="Arial"/>
                <w:b w:val="false"/>
                <w:bCs w:val="false"/>
                <w:color w:val="1A1A1A"/>
                <w:sz w:val="18"/>
                <w:szCs w:val="18"/>
              </w:rPr>
              <w:t xml:space="preserve">Top 10 Google sur 5 mots-clés</w:t>
            </w:r>
          </w:p>
        </w:tc>
      </w:tr>
      <w:tr>
        <w:tc>
          <w:tcPr>
            <w:tcW w:type="dxa" w:w="1400"/>
            <w:tcBorders>
              <w:top w:val="single" w:color="DDDDDD" w:sz="4"/>
              <w:left w:val="single" w:color="DDDDDD" w:sz="4"/>
              <w:bottom w:val="single" w:color="DDDDDD" w:sz="4"/>
              <w:right w:val="single" w:color="DDDDDD" w:sz="4"/>
            </w:tcBorders>
            <w:shd w:fill="EBF5FB" w:val="clear"/>
            <w:tcMar>
              <w:top w:type="dxa" w:w="80"/>
              <w:left w:type="dxa" w:w="120"/>
              <w:bottom w:type="dxa" w:w="80"/>
              <w:right w:type="dxa" w:w="120"/>
            </w:tcMar>
            <w:vAlign w:val="top"/>
          </w:tcPr>
          <w:p>
            <w:pPr>
              <w:spacing w:after="30" w:before="30"/>
            </w:pPr>
            <w:r>
              <w:rPr>
                <w:rFonts w:ascii="Arial" w:cs="Arial" w:eastAsia="Arial" w:hAnsi="Arial"/>
                <w:b/>
                <w:bCs/>
                <w:color w:val="FFFFFF"/>
                <w:sz w:val="18"/>
                <w:szCs w:val="18"/>
              </w:rPr>
              <w:t xml:space="preserve">🔵 Phase 2</w:t>
            </w:r>
          </w:p>
          <w:p>
            <w:pPr>
              <w:spacing w:after="30" w:before="30"/>
            </w:pPr>
            <w:r>
              <w:rPr>
                <w:rFonts w:ascii="Arial" w:cs="Arial" w:eastAsia="Arial" w:hAnsi="Arial"/>
                <w:b/>
                <w:bCs/>
                <w:color w:val="FFFFFF"/>
                <w:sz w:val="18"/>
                <w:szCs w:val="18"/>
              </w:rPr>
              <w:t xml:space="preserve">Croissance</w:t>
            </w:r>
          </w:p>
        </w:tc>
        <w:tc>
          <w:tcPr>
            <w:tcW w:type="dxa" w:w="1200"/>
            <w:tcBorders>
              <w:top w:val="single" w:color="DDDDDD" w:sz="4"/>
              <w:left w:val="single" w:color="DDDDDD" w:sz="4"/>
              <w:bottom w:val="single" w:color="DDDDDD" w:sz="4"/>
              <w:right w:val="single" w:color="DDDDDD" w:sz="4"/>
            </w:tcBorders>
            <w:shd w:fill="EBF5FB" w:val="clear"/>
            <w:tcMar>
              <w:top w:type="dxa" w:w="80"/>
              <w:left w:type="dxa" w:w="120"/>
              <w:bottom w:type="dxa" w:w="80"/>
              <w:right w:type="dxa" w:w="120"/>
            </w:tcMar>
            <w:vAlign w:val="top"/>
          </w:tcPr>
          <w:p>
            <w:pPr>
              <w:spacing w:after="30" w:before="30"/>
            </w:pPr>
            <w:r>
              <w:rPr>
                <w:rFonts w:ascii="Arial" w:cs="Arial" w:eastAsia="Arial" w:hAnsi="Arial"/>
                <w:b w:val="false"/>
                <w:bCs w:val="false"/>
                <w:color w:val="333333"/>
                <w:sz w:val="18"/>
                <w:szCs w:val="18"/>
              </w:rPr>
              <w:t xml:space="preserve">Mois 4-6</w:t>
            </w:r>
          </w:p>
        </w:tc>
        <w:tc>
          <w:tcPr>
            <w:tcW w:type="dxa" w:w="4000"/>
            <w:tcBorders>
              <w:top w:val="single" w:color="DDDDDD" w:sz="4"/>
              <w:left w:val="single" w:color="DDDDDD" w:sz="4"/>
              <w:bottom w:val="single" w:color="DDDDDD" w:sz="4"/>
              <w:right w:val="single" w:color="DDDDDD" w:sz="4"/>
            </w:tcBorders>
            <w:shd w:fill="EBF5FB" w:val="clear"/>
            <w:tcMar>
              <w:top w:type="dxa" w:w="80"/>
              <w:left w:type="dxa" w:w="120"/>
              <w:bottom w:type="dxa" w:w="80"/>
              <w:right w:type="dxa" w:w="120"/>
            </w:tcMar>
            <w:vAlign w:val="top"/>
          </w:tcPr>
          <w:p>
            <w:pPr>
              <w:spacing w:after="30" w:before="30"/>
            </w:pPr>
            <w:r>
              <w:rPr>
                <w:rFonts w:ascii="Arial" w:cs="Arial" w:eastAsia="Arial" w:hAnsi="Arial"/>
                <w:b w:val="false"/>
                <w:bCs w:val="false"/>
                <w:color w:val="1A1A1A"/>
                <w:sz w:val="18"/>
                <w:szCs w:val="18"/>
              </w:rPr>
              <w:t xml:space="preserve">• Identifier 5 micro-influenceurs Pokémon FR (5K-50K abonnés)</w:t>
            </w:r>
          </w:p>
          <w:p>
            <w:pPr>
              <w:spacing w:after="30" w:before="30"/>
            </w:pPr>
            <w:r>
              <w:rPr>
                <w:rFonts w:ascii="Arial" w:cs="Arial" w:eastAsia="Arial" w:hAnsi="Arial"/>
                <w:b w:val="false"/>
                <w:bCs w:val="false"/>
                <w:color w:val="1A1A1A"/>
                <w:sz w:val="18"/>
                <w:szCs w:val="18"/>
              </w:rPr>
              <w:t xml:space="preserve">• Envoyer cartes gratuites en échange de contenu</w:t>
            </w:r>
          </w:p>
          <w:p>
            <w:pPr>
              <w:spacing w:after="30" w:before="30"/>
            </w:pPr>
            <w:r>
              <w:rPr>
                <w:rFonts w:ascii="Arial" w:cs="Arial" w:eastAsia="Arial" w:hAnsi="Arial"/>
                <w:b w:val="false"/>
                <w:bCs w:val="false"/>
                <w:color w:val="1A1A1A"/>
                <w:sz w:val="18"/>
                <w:szCs w:val="18"/>
              </w:rPr>
              <w:t xml:space="preserve">• Lancer newsletter mensuelle (sorties de sets, promos)</w:t>
            </w:r>
          </w:p>
          <w:p>
            <w:pPr>
              <w:spacing w:after="30" w:before="30"/>
            </w:pPr>
            <w:r>
              <w:rPr>
                <w:rFonts w:ascii="Arial" w:cs="Arial" w:eastAsia="Arial" w:hAnsi="Arial"/>
                <w:b w:val="false"/>
                <w:bCs w:val="false"/>
                <w:color w:val="1A1A1A"/>
                <w:sz w:val="18"/>
                <w:szCs w:val="18"/>
              </w:rPr>
              <w:t xml:space="preserve">• Créer une page Facebook + groupe communautaire</w:t>
            </w:r>
          </w:p>
          <w:p>
            <w:pPr>
              <w:spacing w:after="30" w:before="30"/>
            </w:pPr>
            <w:r>
              <w:rPr>
                <w:rFonts w:ascii="Arial" w:cs="Arial" w:eastAsia="Arial" w:hAnsi="Arial"/>
                <w:b w:val="false"/>
                <w:bCs w:val="false"/>
                <w:color w:val="1A1A1A"/>
                <w:sz w:val="18"/>
                <w:szCs w:val="18"/>
              </w:rPr>
              <w:t xml:space="preserve">• Tester Meta Ads (ciblage collectionneurs 18-35 ans)</w:t>
            </w:r>
          </w:p>
          <w:p>
            <w:pPr>
              <w:spacing w:after="30" w:before="30"/>
            </w:pPr>
            <w:r>
              <w:rPr>
                <w:rFonts w:ascii="Arial" w:cs="Arial" w:eastAsia="Arial" w:hAnsi="Arial"/>
                <w:b w:val="false"/>
                <w:bCs w:val="false"/>
                <w:color w:val="1A1A1A"/>
                <w:sz w:val="18"/>
                <w:szCs w:val="18"/>
              </w:rPr>
              <w:t xml:space="preserve">• Ajouter programme parrainage (remise 5 % par filleul)</w:t>
            </w:r>
          </w:p>
          <w:p>
            <w:pPr>
              <w:spacing w:after="30" w:before="30"/>
            </w:pPr>
            <w:r>
              <w:rPr>
                <w:rFonts w:ascii="Arial" w:cs="Arial" w:eastAsia="Arial" w:hAnsi="Arial"/>
                <w:b w:val="false"/>
                <w:bCs w:val="false"/>
                <w:color w:val="1A1A1A"/>
                <w:sz w:val="18"/>
                <w:szCs w:val="18"/>
              </w:rPr>
              <w:t xml:space="preserve">• Développer le catalogue dropshipping (One Piece, Dragon Ball)</w:t>
            </w:r>
          </w:p>
        </w:tc>
        <w:tc>
          <w:tcPr>
            <w:tcW w:type="dxa" w:w="2426"/>
            <w:tcBorders>
              <w:top w:val="single" w:color="DDDDDD" w:sz="4"/>
              <w:left w:val="single" w:color="DDDDDD" w:sz="4"/>
              <w:bottom w:val="single" w:color="DDDDDD" w:sz="4"/>
              <w:right w:val="single" w:color="DDDDDD" w:sz="4"/>
            </w:tcBorders>
            <w:shd w:fill="EBF5FB" w:val="clear"/>
            <w:tcMar>
              <w:top w:type="dxa" w:w="80"/>
              <w:left w:type="dxa" w:w="120"/>
              <w:bottom w:type="dxa" w:w="80"/>
              <w:right w:type="dxa" w:w="120"/>
            </w:tcMar>
            <w:vAlign w:val="top"/>
          </w:tcPr>
          <w:p>
            <w:pPr>
              <w:spacing w:after="30" w:before="30"/>
            </w:pPr>
            <w:r>
              <w:rPr>
                <w:rFonts w:ascii="Arial" w:cs="Arial" w:eastAsia="Arial" w:hAnsi="Arial"/>
                <w:b w:val="false"/>
                <w:bCs w:val="false"/>
                <w:color w:val="1A1A1A"/>
                <w:sz w:val="18"/>
                <w:szCs w:val="18"/>
              </w:rPr>
              <w:t xml:space="preserve">200+ commandes</w:t>
            </w:r>
          </w:p>
          <w:p>
            <w:pPr>
              <w:spacing w:after="30" w:before="30"/>
            </w:pPr>
            <w:r>
              <w:rPr>
                <w:rFonts w:ascii="Arial" w:cs="Arial" w:eastAsia="Arial" w:hAnsi="Arial"/>
                <w:b w:val="false"/>
                <w:bCs w:val="false"/>
                <w:color w:val="1A1A1A"/>
                <w:sz w:val="18"/>
                <w:szCs w:val="18"/>
              </w:rPr>
              <w:t xml:space="preserve">1 000+ abonnés IG</w:t>
            </w:r>
          </w:p>
          <w:p>
            <w:pPr>
              <w:spacing w:after="30" w:before="30"/>
            </w:pPr>
            <w:r>
              <w:rPr>
                <w:rFonts w:ascii="Arial" w:cs="Arial" w:eastAsia="Arial" w:hAnsi="Arial"/>
                <w:b w:val="false"/>
                <w:bCs w:val="false"/>
                <w:color w:val="1A1A1A"/>
                <w:sz w:val="18"/>
                <w:szCs w:val="18"/>
              </w:rPr>
              <w:t xml:space="preserve">500+ inscrits newsletter</w:t>
            </w:r>
          </w:p>
          <w:p>
            <w:pPr>
              <w:spacing w:after="30" w:before="30"/>
            </w:pPr>
            <w:r>
              <w:rPr>
                <w:rFonts w:ascii="Arial" w:cs="Arial" w:eastAsia="Arial" w:hAnsi="Arial"/>
                <w:b w:val="false"/>
                <w:bCs w:val="false"/>
                <w:color w:val="1A1A1A"/>
                <w:sz w:val="18"/>
                <w:szCs w:val="18"/>
              </w:rPr>
              <w:t xml:space="preserve">CAC &lt; 8 €</w:t>
            </w:r>
          </w:p>
          <w:p>
            <w:pPr>
              <w:spacing w:after="30" w:before="30"/>
            </w:pPr>
            <w:r>
              <w:rPr>
                <w:rFonts w:ascii="Arial" w:cs="Arial" w:eastAsia="Arial" w:hAnsi="Arial"/>
                <w:b w:val="false"/>
                <w:bCs w:val="false"/>
                <w:color w:val="1A1A1A"/>
                <w:sz w:val="18"/>
                <w:szCs w:val="18"/>
              </w:rPr>
              <w:t xml:space="preserve">Taux retour client &gt; 25%</w:t>
            </w:r>
          </w:p>
        </w:tc>
      </w:tr>
      <w:tr>
        <w:tc>
          <w:tcPr>
            <w:tcW w:type="dxa" w:w="1400"/>
            <w:tcBorders>
              <w:top w:val="single" w:color="DDDDDD" w:sz="4"/>
              <w:left w:val="single" w:color="DDDDDD" w:sz="4"/>
              <w:bottom w:val="single" w:color="DDDDDD" w:sz="4"/>
              <w:right w:val="single" w:color="DDDDDD" w:sz="4"/>
            </w:tcBorders>
            <w:shd w:fill="FEF9E7" w:val="clear"/>
            <w:tcMar>
              <w:top w:type="dxa" w:w="80"/>
              <w:left w:type="dxa" w:w="120"/>
              <w:bottom w:type="dxa" w:w="80"/>
              <w:right w:type="dxa" w:w="120"/>
            </w:tcMar>
            <w:vAlign w:val="top"/>
          </w:tcPr>
          <w:p>
            <w:pPr>
              <w:spacing w:after="30" w:before="30"/>
            </w:pPr>
            <w:r>
              <w:rPr>
                <w:rFonts w:ascii="Arial" w:cs="Arial" w:eastAsia="Arial" w:hAnsi="Arial"/>
                <w:b/>
                <w:bCs/>
                <w:color w:val="FFFFFF"/>
                <w:sz w:val="18"/>
                <w:szCs w:val="18"/>
              </w:rPr>
              <w:t xml:space="preserve">🟡 Phase 3</w:t>
            </w:r>
          </w:p>
          <w:p>
            <w:pPr>
              <w:spacing w:after="30" w:before="30"/>
            </w:pPr>
            <w:r>
              <w:rPr>
                <w:rFonts w:ascii="Arial" w:cs="Arial" w:eastAsia="Arial" w:hAnsi="Arial"/>
                <w:b/>
                <w:bCs/>
                <w:color w:val="FFFFFF"/>
                <w:sz w:val="18"/>
                <w:szCs w:val="18"/>
              </w:rPr>
              <w:t xml:space="preserve">Fidélisation</w:t>
            </w:r>
          </w:p>
        </w:tc>
        <w:tc>
          <w:tcPr>
            <w:tcW w:type="dxa" w:w="1200"/>
            <w:tcBorders>
              <w:top w:val="single" w:color="DDDDDD" w:sz="4"/>
              <w:left w:val="single" w:color="DDDDDD" w:sz="4"/>
              <w:bottom w:val="single" w:color="DDDDDD" w:sz="4"/>
              <w:right w:val="single" w:color="DDDDDD" w:sz="4"/>
            </w:tcBorders>
            <w:shd w:fill="FEF9E7" w:val="clear"/>
            <w:tcMar>
              <w:top w:type="dxa" w:w="80"/>
              <w:left w:type="dxa" w:w="120"/>
              <w:bottom w:type="dxa" w:w="80"/>
              <w:right w:type="dxa" w:w="120"/>
            </w:tcMar>
            <w:vAlign w:val="top"/>
          </w:tcPr>
          <w:p>
            <w:pPr>
              <w:spacing w:after="30" w:before="30"/>
            </w:pPr>
            <w:r>
              <w:rPr>
                <w:rFonts w:ascii="Arial" w:cs="Arial" w:eastAsia="Arial" w:hAnsi="Arial"/>
                <w:b w:val="false"/>
                <w:bCs w:val="false"/>
                <w:color w:val="333333"/>
                <w:sz w:val="18"/>
                <w:szCs w:val="18"/>
              </w:rPr>
              <w:t xml:space="preserve">Mois 7-12</w:t>
            </w:r>
          </w:p>
        </w:tc>
        <w:tc>
          <w:tcPr>
            <w:tcW w:type="dxa" w:w="4000"/>
            <w:tcBorders>
              <w:top w:val="single" w:color="DDDDDD" w:sz="4"/>
              <w:left w:val="single" w:color="DDDDDD" w:sz="4"/>
              <w:bottom w:val="single" w:color="DDDDDD" w:sz="4"/>
              <w:right w:val="single" w:color="DDDDDD" w:sz="4"/>
            </w:tcBorders>
            <w:shd w:fill="FEF9E7" w:val="clear"/>
            <w:tcMar>
              <w:top w:type="dxa" w:w="80"/>
              <w:left w:type="dxa" w:w="120"/>
              <w:bottom w:type="dxa" w:w="80"/>
              <w:right w:type="dxa" w:w="120"/>
            </w:tcMar>
            <w:vAlign w:val="top"/>
          </w:tcPr>
          <w:p>
            <w:pPr>
              <w:spacing w:after="30" w:before="30"/>
            </w:pPr>
            <w:r>
              <w:rPr>
                <w:rFonts w:ascii="Arial" w:cs="Arial" w:eastAsia="Arial" w:hAnsi="Arial"/>
                <w:b w:val="false"/>
                <w:bCs w:val="false"/>
                <w:color w:val="1A1A1A"/>
                <w:sz w:val="18"/>
                <w:szCs w:val="18"/>
              </w:rPr>
              <w:t xml:space="preserve">• Lancer un programme de fidélité (points par commande)</w:t>
            </w:r>
          </w:p>
          <w:p>
            <w:pPr>
              <w:spacing w:after="30" w:before="30"/>
            </w:pPr>
            <w:r>
              <w:rPr>
                <w:rFonts w:ascii="Arial" w:cs="Arial" w:eastAsia="Arial" w:hAnsi="Arial"/>
                <w:b w:val="false"/>
                <w:bCs w:val="false"/>
                <w:color w:val="1A1A1A"/>
                <w:sz w:val="18"/>
                <w:szCs w:val="18"/>
              </w:rPr>
              <w:t xml:space="preserve">• Créer du contenu YouTube : guides d'achat cartes japonaises</w:t>
            </w:r>
          </w:p>
          <w:p>
            <w:pPr>
              <w:spacing w:after="30" w:before="30"/>
            </w:pPr>
            <w:r>
              <w:rPr>
                <w:rFonts w:ascii="Arial" w:cs="Arial" w:eastAsia="Arial" w:hAnsi="Arial"/>
                <w:b w:val="false"/>
                <w:bCs w:val="false"/>
                <w:color w:val="1A1A1A"/>
                <w:sz w:val="18"/>
                <w:szCs w:val="18"/>
              </w:rPr>
              <w:t xml:space="preserve">• Partenariats avec boutiques physiques / events Pokémon FR</w:t>
            </w:r>
          </w:p>
          <w:p>
            <w:pPr>
              <w:spacing w:after="30" w:before="30"/>
            </w:pPr>
            <w:r>
              <w:rPr>
                <w:rFonts w:ascii="Arial" w:cs="Arial" w:eastAsia="Arial" w:hAnsi="Arial"/>
                <w:b w:val="false"/>
                <w:bCs w:val="false"/>
                <w:color w:val="1A1A1A"/>
                <w:sz w:val="18"/>
                <w:szCs w:val="18"/>
              </w:rPr>
              <w:t xml:space="preserve">• Ouvrir boutique Cardmarket pour capter un marché supplémentaire</w:t>
            </w:r>
          </w:p>
          <w:p>
            <w:pPr>
              <w:spacing w:after="30" w:before="30"/>
            </w:pPr>
            <w:r>
              <w:rPr>
                <w:rFonts w:ascii="Arial" w:cs="Arial" w:eastAsia="Arial" w:hAnsi="Arial"/>
                <w:b w:val="false"/>
                <w:bCs w:val="false"/>
                <w:color w:val="1A1A1A"/>
                <w:sz w:val="18"/>
                <w:szCs w:val="18"/>
              </w:rPr>
              <w:t xml:space="preserve">• Campagnes Google Ads shopping (PLAs) pour les scellés</w:t>
            </w:r>
          </w:p>
          <w:p>
            <w:pPr>
              <w:spacing w:after="30" w:before="30"/>
            </w:pPr>
            <w:r>
              <w:rPr>
                <w:rFonts w:ascii="Arial" w:cs="Arial" w:eastAsia="Arial" w:hAnsi="Arial"/>
                <w:b w:val="false"/>
                <w:bCs w:val="false"/>
                <w:color w:val="1A1A1A"/>
                <w:sz w:val="18"/>
                <w:szCs w:val="18"/>
              </w:rPr>
              <w:t xml:space="preserve">• Automatiser les emails post-achat et relances panier abandonné</w:t>
            </w:r>
          </w:p>
          <w:p>
            <w:pPr>
              <w:spacing w:after="30" w:before="30"/>
            </w:pPr>
            <w:r>
              <w:rPr>
                <w:rFonts w:ascii="Arial" w:cs="Arial" w:eastAsia="Arial" w:hAnsi="Arial"/>
                <w:b w:val="false"/>
                <w:bCs w:val="false"/>
                <w:color w:val="1A1A1A"/>
                <w:sz w:val="18"/>
                <w:szCs w:val="18"/>
              </w:rPr>
              <w:t xml:space="preserve">• Analyser et couper les mots-clés Google Ads peu rentables</w:t>
            </w:r>
          </w:p>
        </w:tc>
        <w:tc>
          <w:tcPr>
            <w:tcW w:type="dxa" w:w="2426"/>
            <w:tcBorders>
              <w:top w:val="single" w:color="DDDDDD" w:sz="4"/>
              <w:left w:val="single" w:color="DDDDDD" w:sz="4"/>
              <w:bottom w:val="single" w:color="DDDDDD" w:sz="4"/>
              <w:right w:val="single" w:color="DDDDDD" w:sz="4"/>
            </w:tcBorders>
            <w:shd w:fill="FEF9E7" w:val="clear"/>
            <w:tcMar>
              <w:top w:type="dxa" w:w="80"/>
              <w:left w:type="dxa" w:w="120"/>
              <w:bottom w:type="dxa" w:w="80"/>
              <w:right w:type="dxa" w:w="120"/>
            </w:tcMar>
            <w:vAlign w:val="top"/>
          </w:tcPr>
          <w:p>
            <w:pPr>
              <w:spacing w:after="30" w:before="30"/>
            </w:pPr>
            <w:r>
              <w:rPr>
                <w:rFonts w:ascii="Arial" w:cs="Arial" w:eastAsia="Arial" w:hAnsi="Arial"/>
                <w:b w:val="false"/>
                <w:bCs w:val="false"/>
                <w:color w:val="1A1A1A"/>
                <w:sz w:val="18"/>
                <w:szCs w:val="18"/>
              </w:rPr>
              <w:t xml:space="preserve">500+ commandes/mois</w:t>
            </w:r>
          </w:p>
          <w:p>
            <w:pPr>
              <w:spacing w:after="30" w:before="30"/>
            </w:pPr>
            <w:r>
              <w:rPr>
                <w:rFonts w:ascii="Arial" w:cs="Arial" w:eastAsia="Arial" w:hAnsi="Arial"/>
                <w:b w:val="false"/>
                <w:bCs w:val="false"/>
                <w:color w:val="1A1A1A"/>
                <w:sz w:val="18"/>
                <w:szCs w:val="18"/>
              </w:rPr>
              <w:t xml:space="preserve">CA mensuel &gt; 5 000 €</w:t>
            </w:r>
          </w:p>
          <w:p>
            <w:pPr>
              <w:spacing w:after="30" w:before="30"/>
            </w:pPr>
            <w:r>
              <w:rPr>
                <w:rFonts w:ascii="Arial" w:cs="Arial" w:eastAsia="Arial" w:hAnsi="Arial"/>
                <w:b w:val="false"/>
                <w:bCs w:val="false"/>
                <w:color w:val="1A1A1A"/>
                <w:sz w:val="18"/>
                <w:szCs w:val="18"/>
              </w:rPr>
              <w:t xml:space="preserve">5 000+ abonnés IG/TT</w:t>
            </w:r>
          </w:p>
          <w:p>
            <w:pPr>
              <w:spacing w:after="30" w:before="30"/>
            </w:pPr>
            <w:r>
              <w:rPr>
                <w:rFonts w:ascii="Arial" w:cs="Arial" w:eastAsia="Arial" w:hAnsi="Arial"/>
                <w:b w:val="false"/>
                <w:bCs w:val="false"/>
                <w:color w:val="1A1A1A"/>
                <w:sz w:val="18"/>
                <w:szCs w:val="18"/>
              </w:rPr>
              <w:t xml:space="preserve">Taux rétention &gt; 40%</w:t>
            </w:r>
          </w:p>
          <w:p>
            <w:pPr>
              <w:spacing w:after="30" w:before="30"/>
            </w:pPr>
            <w:r>
              <w:rPr>
                <w:rFonts w:ascii="Arial" w:cs="Arial" w:eastAsia="Arial" w:hAnsi="Arial"/>
                <w:b w:val="false"/>
                <w:bCs w:val="false"/>
                <w:color w:val="1A1A1A"/>
                <w:sz w:val="18"/>
                <w:szCs w:val="18"/>
              </w:rPr>
              <w:t xml:space="preserve">Note Trustpilot &gt; 4,5/5</w:t>
            </w:r>
          </w:p>
        </w:tc>
      </w:tr>
    </w:tbl>
    <w:p>
      <w:r>
        <w:rPr>
          <w:sz w:val="20"/>
          <w:szCs w:val="20"/>
        </w:rPr>
        <w:t xml:space="preserve"/>
      </w:r>
    </w:p>
    <w:p>
      <w:pPr>
        <w:pStyle w:val="Heading2"/>
        <w:spacing w:after="120" w:before="280"/>
      </w:pPr>
      <w:r>
        <w:rPr>
          <w:rFonts w:ascii="Arial" w:cs="Arial" w:eastAsia="Arial" w:hAnsi="Arial"/>
          <w:b/>
          <w:bCs/>
          <w:color w:val="1A1A2E"/>
          <w:sz w:val="24"/>
          <w:szCs w:val="24"/>
        </w:rPr>
        <w:t xml:space="preserve">Canaux de communication prioritaires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2826"/>
      </w:tblGrid>
      <w:tr>
        <w:tc>
          <w:tcPr>
            <w:tcW w:type="dxa" w:w="2200"/>
            <w:tcBorders>
              <w:top w:val="single" w:color="DDDDDD" w:sz="4"/>
              <w:left w:val="single" w:color="DDDDDD" w:sz="4"/>
              <w:bottom w:val="single" w:color="DDDDDD" w:sz="4"/>
              <w:right w:val="single" w:color="DDDDDD" w:sz="4"/>
            </w:tcBorders>
            <w:shd w:fill="CC0000" w:val="clear"/>
            <w:tcMar>
              <w:top w:type="dxa" w:w="100"/>
              <w:left w:type="dxa" w:w="160"/>
              <w:bottom w:type="dxa" w:w="100"/>
              <w:right w:type="dxa" w:w="160"/>
            </w:tcMar>
            <w:vAlign w:val="top"/>
          </w:tcPr>
          <w:p>
            <w:pPr>
              <w:spacing w:after="40" w:before="40"/>
            </w:pPr>
            <w:r>
              <w:rPr>
                <w:rFonts w:ascii="Arial" w:cs="Arial" w:eastAsia="Arial" w:hAnsi="Arial"/>
                <w:b/>
                <w:bCs/>
                <w:color w:val="FFFFFF"/>
                <w:sz w:val="22"/>
                <w:szCs w:val="22"/>
              </w:rPr>
              <w:t xml:space="preserve">Canal</w:t>
            </w:r>
          </w:p>
        </w:tc>
        <w:tc>
          <w:tcPr>
            <w:tcW w:type="dxa" w:w="2000"/>
            <w:tcBorders>
              <w:top w:val="single" w:color="DDDDDD" w:sz="4"/>
              <w:left w:val="single" w:color="DDDDDD" w:sz="4"/>
              <w:bottom w:val="single" w:color="DDDDDD" w:sz="4"/>
              <w:right w:val="single" w:color="DDDDDD" w:sz="4"/>
            </w:tcBorders>
            <w:shd w:fill="CC0000" w:val="clear"/>
            <w:tcMar>
              <w:top w:type="dxa" w:w="100"/>
              <w:left w:type="dxa" w:w="160"/>
              <w:bottom w:type="dxa" w:w="100"/>
              <w:right w:type="dxa" w:w="160"/>
            </w:tcMar>
            <w:vAlign w:val="top"/>
          </w:tcPr>
          <w:p>
            <w:pPr>
              <w:spacing w:after="40" w:before="40"/>
            </w:pPr>
            <w:r>
              <w:rPr>
                <w:rFonts w:ascii="Arial" w:cs="Arial" w:eastAsia="Arial" w:hAnsi="Arial"/>
                <w:b/>
                <w:bCs/>
                <w:color w:val="FFFFFF"/>
                <w:sz w:val="22"/>
                <w:szCs w:val="22"/>
              </w:rPr>
              <w:t xml:space="preserve">Priorité</w:t>
            </w:r>
          </w:p>
        </w:tc>
        <w:tc>
          <w:tcPr>
            <w:tcW w:type="dxa" w:w="2000"/>
            <w:tcBorders>
              <w:top w:val="single" w:color="DDDDDD" w:sz="4"/>
              <w:left w:val="single" w:color="DDDDDD" w:sz="4"/>
              <w:bottom w:val="single" w:color="DDDDDD" w:sz="4"/>
              <w:right w:val="single" w:color="DDDDDD" w:sz="4"/>
            </w:tcBorders>
            <w:shd w:fill="CC0000" w:val="clear"/>
            <w:tcMar>
              <w:top w:type="dxa" w:w="100"/>
              <w:left w:type="dxa" w:w="160"/>
              <w:bottom w:type="dxa" w:w="100"/>
              <w:right w:type="dxa" w:w="160"/>
            </w:tcMar>
            <w:vAlign w:val="top"/>
          </w:tcPr>
          <w:p>
            <w:pPr>
              <w:spacing w:after="40" w:before="40"/>
            </w:pPr>
            <w:r>
              <w:rPr>
                <w:rFonts w:ascii="Arial" w:cs="Arial" w:eastAsia="Arial" w:hAnsi="Arial"/>
                <w:b/>
                <w:bCs/>
                <w:color w:val="FFFFFF"/>
                <w:sz w:val="22"/>
                <w:szCs w:val="22"/>
              </w:rPr>
              <w:t xml:space="preserve">Budget mensuel</w:t>
            </w:r>
          </w:p>
        </w:tc>
        <w:tc>
          <w:tcPr>
            <w:tcW w:type="dxa" w:w="2826"/>
            <w:tcBorders>
              <w:top w:val="single" w:color="DDDDDD" w:sz="4"/>
              <w:left w:val="single" w:color="DDDDDD" w:sz="4"/>
              <w:bottom w:val="single" w:color="DDDDDD" w:sz="4"/>
              <w:right w:val="single" w:color="DDDDDD" w:sz="4"/>
            </w:tcBorders>
            <w:shd w:fill="CC0000" w:val="clear"/>
            <w:tcMar>
              <w:top w:type="dxa" w:w="100"/>
              <w:left w:type="dxa" w:w="160"/>
              <w:bottom w:type="dxa" w:w="100"/>
              <w:right w:type="dxa" w:w="160"/>
            </w:tcMar>
            <w:vAlign w:val="top"/>
          </w:tcPr>
          <w:p>
            <w:pPr>
              <w:spacing w:after="40" w:before="40"/>
            </w:pPr>
            <w:r>
              <w:rPr>
                <w:rFonts w:ascii="Arial" w:cs="Arial" w:eastAsia="Arial" w:hAnsi="Arial"/>
                <w:b/>
                <w:bCs/>
                <w:color w:val="FFFFFF"/>
                <w:sz w:val="22"/>
                <w:szCs w:val="22"/>
              </w:rPr>
              <w:t xml:space="preserve">Objectif principal</w:t>
            </w:r>
          </w:p>
        </w:tc>
      </w:tr>
      <w:tr>
        <w:tc>
          <w:tcPr>
            <w:tcW w:type="dxa" w:w="22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vAlign w:val="top"/>
          </w:tcPr>
          <w:p>
            <w:pPr>
              <w:spacing w:after="40" w:before="40"/>
            </w:pPr>
            <w:r>
              <w:rPr>
                <w:rFonts w:ascii="Arial" w:cs="Arial" w:eastAsia="Arial" w:hAnsi="Arial"/>
                <w:b w:val="false"/>
                <w:bCs w:val="false"/>
                <w:color w:val="1A1A1A"/>
                <w:sz w:val="20"/>
                <w:szCs w:val="20"/>
              </w:rPr>
              <w:t xml:space="preserve">Google Ads Search</w:t>
            </w:r>
          </w:p>
        </w:tc>
        <w:tc>
          <w:tcPr>
            <w:tcW w:type="dxa" w:w="20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vAlign w:val="top"/>
          </w:tcPr>
          <w:p>
            <w:pPr>
              <w:spacing w:after="40" w:before="40"/>
            </w:pPr>
            <w:r>
              <w:rPr>
                <w:rFonts w:ascii="Arial" w:cs="Arial" w:eastAsia="Arial" w:hAnsi="Arial"/>
                <w:b w:val="false"/>
                <w:bCs w:val="false"/>
                <w:color w:val="1A1A1A"/>
                <w:sz w:val="20"/>
                <w:szCs w:val="20"/>
              </w:rPr>
              <w:t xml:space="preserve">⭐⭐⭐⭐⭐ Haute</w:t>
            </w:r>
          </w:p>
        </w:tc>
        <w:tc>
          <w:tcPr>
            <w:tcW w:type="dxa" w:w="2000"/>
            <w:tcBorders>
              <w:top w:val="single" w:color="DDDDDD" w:sz="4"/>
              <w:left w:val="single" w:color="DDDDDD" w:sz="4"/>
              <w:bottom w:val="single" w:color="DDDDDD" w:sz="4"/>
              <w:right w:val="single" w:color="DDDDDD" w:sz="4"/>
            </w:tcBorders>
            <w:shd w:fill="EEEEEE" w:val="clear"/>
            <w:tcMar>
              <w:top w:type="dxa" w:w="100"/>
              <w:left w:type="dxa" w:w="160"/>
              <w:bottom w:type="dxa" w:w="100"/>
              <w:right w:type="dxa" w:w="160"/>
            </w:tcMar>
            <w:vAlign w:val="top"/>
          </w:tcPr>
          <w:p>
            <w:pPr>
              <w:spacing w:after="40" w:before="40"/>
            </w:pPr>
            <w:r>
              <w:rPr>
                <w:rFonts w:ascii="Arial" w:cs="Arial" w:eastAsia="Arial" w:hAnsi="Arial"/>
                <w:b w:val="false"/>
                <w:bCs w:val="false"/>
                <w:color w:val="1A1A1A"/>
                <w:sz w:val="20"/>
                <w:szCs w:val="20"/>
              </w:rPr>
              <w:t xml:space="preserve">210 € (7,10 €/j)</w:t>
            </w:r>
          </w:p>
        </w:tc>
        <w:tc>
          <w:tcPr>
            <w:tcW w:type="dxa" w:w="2826"/>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vAlign w:val="top"/>
          </w:tcPr>
          <w:p>
            <w:pPr>
              <w:spacing w:after="40" w:before="40"/>
            </w:pPr>
            <w:r>
              <w:rPr>
                <w:rFonts w:ascii="Arial" w:cs="Arial" w:eastAsia="Arial" w:hAnsi="Arial"/>
                <w:b w:val="false"/>
                <w:bCs w:val="false"/>
                <w:color w:val="1A1A1A"/>
                <w:sz w:val="20"/>
                <w:szCs w:val="20"/>
              </w:rPr>
              <w:t xml:space="preserve">Acquisition directe — acheteurs actifs</w:t>
            </w:r>
          </w:p>
        </w:tc>
      </w:tr>
      <w:tr>
        <w:tc>
          <w:tcPr>
            <w:tcW w:type="dxa" w:w="2200"/>
            <w:tcBorders>
              <w:top w:val="single" w:color="DDDDDD" w:sz="4"/>
              <w:left w:val="single" w:color="DDDDDD" w:sz="4"/>
              <w:bottom w:val="single" w:color="DDDDDD" w:sz="4"/>
              <w:right w:val="single" w:color="DDDDDD" w:sz="4"/>
            </w:tcBorders>
            <w:shd w:fill="EEEEEE" w:val="clear"/>
            <w:tcMar>
              <w:top w:type="dxa" w:w="100"/>
              <w:left w:type="dxa" w:w="160"/>
              <w:bottom w:type="dxa" w:w="100"/>
              <w:right w:type="dxa" w:w="160"/>
            </w:tcMar>
            <w:vAlign w:val="top"/>
          </w:tcPr>
          <w:p>
            <w:pPr>
              <w:spacing w:after="40" w:before="40"/>
            </w:pPr>
            <w:r>
              <w:rPr>
                <w:rFonts w:ascii="Arial" w:cs="Arial" w:eastAsia="Arial" w:hAnsi="Arial"/>
                <w:b w:val="false"/>
                <w:bCs w:val="false"/>
                <w:color w:val="1A1A1A"/>
                <w:sz w:val="20"/>
                <w:szCs w:val="20"/>
              </w:rPr>
              <w:t xml:space="preserve">TikTok / Reels Instagram</w:t>
            </w:r>
          </w:p>
        </w:tc>
        <w:tc>
          <w:tcPr>
            <w:tcW w:type="dxa" w:w="2000"/>
            <w:tcBorders>
              <w:top w:val="single" w:color="DDDDDD" w:sz="4"/>
              <w:left w:val="single" w:color="DDDDDD" w:sz="4"/>
              <w:bottom w:val="single" w:color="DDDDDD" w:sz="4"/>
              <w:right w:val="single" w:color="DDDDDD" w:sz="4"/>
            </w:tcBorders>
            <w:shd w:fill="EEEEEE" w:val="clear"/>
            <w:tcMar>
              <w:top w:type="dxa" w:w="100"/>
              <w:left w:type="dxa" w:w="160"/>
              <w:bottom w:type="dxa" w:w="100"/>
              <w:right w:type="dxa" w:w="160"/>
            </w:tcMar>
            <w:vAlign w:val="top"/>
          </w:tcPr>
          <w:p>
            <w:pPr>
              <w:spacing w:after="40" w:before="40"/>
            </w:pPr>
            <w:r>
              <w:rPr>
                <w:rFonts w:ascii="Arial" w:cs="Arial" w:eastAsia="Arial" w:hAnsi="Arial"/>
                <w:b w:val="false"/>
                <w:bCs w:val="false"/>
                <w:color w:val="1A1A1A"/>
                <w:sz w:val="20"/>
                <w:szCs w:val="20"/>
              </w:rPr>
              <w:t xml:space="preserve">⭐⭐⭐⭐⭐ Haute</w:t>
            </w:r>
          </w:p>
        </w:tc>
        <w:tc>
          <w:tcPr>
            <w:tcW w:type="dxa" w:w="20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vAlign w:val="top"/>
          </w:tcPr>
          <w:p>
            <w:pPr>
              <w:spacing w:after="40" w:before="40"/>
            </w:pPr>
            <w:r>
              <w:rPr>
                <w:rFonts w:ascii="Arial" w:cs="Arial" w:eastAsia="Arial" w:hAnsi="Arial"/>
                <w:b w:val="false"/>
                <w:bCs w:val="false"/>
                <w:color w:val="1A1A1A"/>
                <w:sz w:val="20"/>
                <w:szCs w:val="20"/>
              </w:rPr>
              <w:t xml:space="preserve">Organique (0 €)</w:t>
            </w:r>
          </w:p>
        </w:tc>
        <w:tc>
          <w:tcPr>
            <w:tcW w:type="dxa" w:w="2826"/>
            <w:tcBorders>
              <w:top w:val="single" w:color="DDDDDD" w:sz="4"/>
              <w:left w:val="single" w:color="DDDDDD" w:sz="4"/>
              <w:bottom w:val="single" w:color="DDDDDD" w:sz="4"/>
              <w:right w:val="single" w:color="DDDDDD" w:sz="4"/>
            </w:tcBorders>
            <w:shd w:fill="EEEEEE" w:val="clear"/>
            <w:tcMar>
              <w:top w:type="dxa" w:w="100"/>
              <w:left w:type="dxa" w:w="160"/>
              <w:bottom w:type="dxa" w:w="100"/>
              <w:right w:type="dxa" w:w="160"/>
            </w:tcMar>
            <w:vAlign w:val="top"/>
          </w:tcPr>
          <w:p>
            <w:pPr>
              <w:spacing w:after="40" w:before="40"/>
            </w:pPr>
            <w:r>
              <w:rPr>
                <w:rFonts w:ascii="Arial" w:cs="Arial" w:eastAsia="Arial" w:hAnsi="Arial"/>
                <w:b w:val="false"/>
                <w:bCs w:val="false"/>
                <w:color w:val="1A1A1A"/>
                <w:sz w:val="20"/>
                <w:szCs w:val="20"/>
              </w:rPr>
              <w:t xml:space="preserve">Notoriété, viralité, communauté</w:t>
            </w:r>
          </w:p>
        </w:tc>
      </w:tr>
      <w:tr>
        <w:tc>
          <w:tcPr>
            <w:tcW w:type="dxa" w:w="22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vAlign w:val="top"/>
          </w:tcPr>
          <w:p>
            <w:pPr>
              <w:spacing w:after="40" w:before="40"/>
            </w:pPr>
            <w:r>
              <w:rPr>
                <w:rFonts w:ascii="Arial" w:cs="Arial" w:eastAsia="Arial" w:hAnsi="Arial"/>
                <w:b w:val="false"/>
                <w:bCs w:val="false"/>
                <w:color w:val="1A1A1A"/>
                <w:sz w:val="20"/>
                <w:szCs w:val="20"/>
              </w:rPr>
              <w:t xml:space="preserve">SEO organique</w:t>
            </w:r>
          </w:p>
        </w:tc>
        <w:tc>
          <w:tcPr>
            <w:tcW w:type="dxa" w:w="20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vAlign w:val="top"/>
          </w:tcPr>
          <w:p>
            <w:pPr>
              <w:spacing w:after="40" w:before="40"/>
            </w:pPr>
            <w:r>
              <w:rPr>
                <w:rFonts w:ascii="Arial" w:cs="Arial" w:eastAsia="Arial" w:hAnsi="Arial"/>
                <w:b w:val="false"/>
                <w:bCs w:val="false"/>
                <w:color w:val="1A1A1A"/>
                <w:sz w:val="20"/>
                <w:szCs w:val="20"/>
              </w:rPr>
              <w:t xml:space="preserve">⭐⭐⭐⭐ Haute</w:t>
            </w:r>
          </w:p>
        </w:tc>
        <w:tc>
          <w:tcPr>
            <w:tcW w:type="dxa" w:w="2000"/>
            <w:tcBorders>
              <w:top w:val="single" w:color="DDDDDD" w:sz="4"/>
              <w:left w:val="single" w:color="DDDDDD" w:sz="4"/>
              <w:bottom w:val="single" w:color="DDDDDD" w:sz="4"/>
              <w:right w:val="single" w:color="DDDDDD" w:sz="4"/>
            </w:tcBorders>
            <w:shd w:fill="EEEEEE" w:val="clear"/>
            <w:tcMar>
              <w:top w:type="dxa" w:w="100"/>
              <w:left w:type="dxa" w:w="160"/>
              <w:bottom w:type="dxa" w:w="100"/>
              <w:right w:type="dxa" w:w="160"/>
            </w:tcMar>
            <w:vAlign w:val="top"/>
          </w:tcPr>
          <w:p>
            <w:pPr>
              <w:spacing w:after="40" w:before="40"/>
            </w:pPr>
            <w:r>
              <w:rPr>
                <w:rFonts w:ascii="Arial" w:cs="Arial" w:eastAsia="Arial" w:hAnsi="Arial"/>
                <w:b w:val="false"/>
                <w:bCs w:val="false"/>
                <w:color w:val="1A1A1A"/>
                <w:sz w:val="20"/>
                <w:szCs w:val="20"/>
              </w:rPr>
              <w:t xml:space="preserve">Temps (0 € media)</w:t>
            </w:r>
          </w:p>
        </w:tc>
        <w:tc>
          <w:tcPr>
            <w:tcW w:type="dxa" w:w="2826"/>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vAlign w:val="top"/>
          </w:tcPr>
          <w:p>
            <w:pPr>
              <w:spacing w:after="40" w:before="40"/>
            </w:pPr>
            <w:r>
              <w:rPr>
                <w:rFonts w:ascii="Arial" w:cs="Arial" w:eastAsia="Arial" w:hAnsi="Arial"/>
                <w:b w:val="false"/>
                <w:bCs w:val="false"/>
                <w:color w:val="1A1A1A"/>
                <w:sz w:val="20"/>
                <w:szCs w:val="20"/>
              </w:rPr>
              <w:t xml:space="preserve">Trafic durable long terme</w:t>
            </w:r>
          </w:p>
        </w:tc>
      </w:tr>
      <w:tr>
        <w:tc>
          <w:tcPr>
            <w:tcW w:type="dxa" w:w="2200"/>
            <w:tcBorders>
              <w:top w:val="single" w:color="DDDDDD" w:sz="4"/>
              <w:left w:val="single" w:color="DDDDDD" w:sz="4"/>
              <w:bottom w:val="single" w:color="DDDDDD" w:sz="4"/>
              <w:right w:val="single" w:color="DDDDDD" w:sz="4"/>
            </w:tcBorders>
            <w:shd w:fill="EEEEEE" w:val="clear"/>
            <w:tcMar>
              <w:top w:type="dxa" w:w="100"/>
              <w:left w:type="dxa" w:w="160"/>
              <w:bottom w:type="dxa" w:w="100"/>
              <w:right w:type="dxa" w:w="160"/>
            </w:tcMar>
            <w:vAlign w:val="top"/>
          </w:tcPr>
          <w:p>
            <w:pPr>
              <w:spacing w:after="40" w:before="40"/>
            </w:pPr>
            <w:r>
              <w:rPr>
                <w:rFonts w:ascii="Arial" w:cs="Arial" w:eastAsia="Arial" w:hAnsi="Arial"/>
                <w:b w:val="false"/>
                <w:bCs w:val="false"/>
                <w:color w:val="1A1A1A"/>
                <w:sz w:val="20"/>
                <w:szCs w:val="20"/>
              </w:rPr>
              <w:t xml:space="preserve">Influence marketing</w:t>
            </w:r>
          </w:p>
        </w:tc>
        <w:tc>
          <w:tcPr>
            <w:tcW w:type="dxa" w:w="2000"/>
            <w:tcBorders>
              <w:top w:val="single" w:color="DDDDDD" w:sz="4"/>
              <w:left w:val="single" w:color="DDDDDD" w:sz="4"/>
              <w:bottom w:val="single" w:color="DDDDDD" w:sz="4"/>
              <w:right w:val="single" w:color="DDDDDD" w:sz="4"/>
            </w:tcBorders>
            <w:shd w:fill="EEEEEE" w:val="clear"/>
            <w:tcMar>
              <w:top w:type="dxa" w:w="100"/>
              <w:left w:type="dxa" w:w="160"/>
              <w:bottom w:type="dxa" w:w="100"/>
              <w:right w:type="dxa" w:w="160"/>
            </w:tcMar>
            <w:vAlign w:val="top"/>
          </w:tcPr>
          <w:p>
            <w:pPr>
              <w:spacing w:after="40" w:before="40"/>
            </w:pPr>
            <w:r>
              <w:rPr>
                <w:rFonts w:ascii="Arial" w:cs="Arial" w:eastAsia="Arial" w:hAnsi="Arial"/>
                <w:b w:val="false"/>
                <w:bCs w:val="false"/>
                <w:color w:val="1A1A1A"/>
                <w:sz w:val="20"/>
                <w:szCs w:val="20"/>
              </w:rPr>
              <w:t xml:space="preserve">⭐⭐⭐⭐ Haute</w:t>
            </w:r>
          </w:p>
        </w:tc>
        <w:tc>
          <w:tcPr>
            <w:tcW w:type="dxa" w:w="20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vAlign w:val="top"/>
          </w:tcPr>
          <w:p>
            <w:pPr>
              <w:spacing w:after="40" w:before="40"/>
            </w:pPr>
            <w:r>
              <w:rPr>
                <w:rFonts w:ascii="Arial" w:cs="Arial" w:eastAsia="Arial" w:hAnsi="Arial"/>
                <w:b w:val="false"/>
                <w:bCs w:val="false"/>
                <w:color w:val="1A1A1A"/>
                <w:sz w:val="20"/>
                <w:szCs w:val="20"/>
              </w:rPr>
              <w:t xml:space="preserve">~50-100 € (cartes)</w:t>
            </w:r>
          </w:p>
        </w:tc>
        <w:tc>
          <w:tcPr>
            <w:tcW w:type="dxa" w:w="2826"/>
            <w:tcBorders>
              <w:top w:val="single" w:color="DDDDDD" w:sz="4"/>
              <w:left w:val="single" w:color="DDDDDD" w:sz="4"/>
              <w:bottom w:val="single" w:color="DDDDDD" w:sz="4"/>
              <w:right w:val="single" w:color="DDDDDD" w:sz="4"/>
            </w:tcBorders>
            <w:shd w:fill="EEEEEE" w:val="clear"/>
            <w:tcMar>
              <w:top w:type="dxa" w:w="100"/>
              <w:left w:type="dxa" w:w="160"/>
              <w:bottom w:type="dxa" w:w="100"/>
              <w:right w:type="dxa" w:w="160"/>
            </w:tcMar>
            <w:vAlign w:val="top"/>
          </w:tcPr>
          <w:p>
            <w:pPr>
              <w:spacing w:after="40" w:before="40"/>
            </w:pPr>
            <w:r>
              <w:rPr>
                <w:rFonts w:ascii="Arial" w:cs="Arial" w:eastAsia="Arial" w:hAnsi="Arial"/>
                <w:b w:val="false"/>
                <w:bCs w:val="false"/>
                <w:color w:val="1A1A1A"/>
                <w:sz w:val="20"/>
                <w:szCs w:val="20"/>
              </w:rPr>
              <w:t xml:space="preserve">Crédibilité et portée qualifiée</w:t>
            </w:r>
          </w:p>
        </w:tc>
      </w:tr>
      <w:tr>
        <w:tc>
          <w:tcPr>
            <w:tcW w:type="dxa" w:w="22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vAlign w:val="top"/>
          </w:tcPr>
          <w:p>
            <w:pPr>
              <w:spacing w:after="40" w:before="40"/>
            </w:pPr>
            <w:r>
              <w:rPr>
                <w:rFonts w:ascii="Arial" w:cs="Arial" w:eastAsia="Arial" w:hAnsi="Arial"/>
                <w:b w:val="false"/>
                <w:bCs w:val="false"/>
                <w:color w:val="1A1A1A"/>
                <w:sz w:val="20"/>
                <w:szCs w:val="20"/>
              </w:rPr>
              <w:t xml:space="preserve">Newsletter email</w:t>
            </w:r>
          </w:p>
        </w:tc>
        <w:tc>
          <w:tcPr>
            <w:tcW w:type="dxa" w:w="20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vAlign w:val="top"/>
          </w:tcPr>
          <w:p>
            <w:pPr>
              <w:spacing w:after="40" w:before="40"/>
            </w:pPr>
            <w:r>
              <w:rPr>
                <w:rFonts w:ascii="Arial" w:cs="Arial" w:eastAsia="Arial" w:hAnsi="Arial"/>
                <w:b w:val="false"/>
                <w:bCs w:val="false"/>
                <w:color w:val="1A1A1A"/>
                <w:sz w:val="20"/>
                <w:szCs w:val="20"/>
              </w:rPr>
              <w:t xml:space="preserve">⭐⭐⭐ Moyenne</w:t>
            </w:r>
          </w:p>
        </w:tc>
        <w:tc>
          <w:tcPr>
            <w:tcW w:type="dxa" w:w="2000"/>
            <w:tcBorders>
              <w:top w:val="single" w:color="DDDDDD" w:sz="4"/>
              <w:left w:val="single" w:color="DDDDDD" w:sz="4"/>
              <w:bottom w:val="single" w:color="DDDDDD" w:sz="4"/>
              <w:right w:val="single" w:color="DDDDDD" w:sz="4"/>
            </w:tcBorders>
            <w:shd w:fill="EEEEEE" w:val="clear"/>
            <w:tcMar>
              <w:top w:type="dxa" w:w="100"/>
              <w:left w:type="dxa" w:w="160"/>
              <w:bottom w:type="dxa" w:w="100"/>
              <w:right w:type="dxa" w:w="160"/>
            </w:tcMar>
            <w:vAlign w:val="top"/>
          </w:tcPr>
          <w:p>
            <w:pPr>
              <w:spacing w:after="40" w:before="40"/>
            </w:pPr>
            <w:r>
              <w:rPr>
                <w:rFonts w:ascii="Arial" w:cs="Arial" w:eastAsia="Arial" w:hAnsi="Arial"/>
                <w:b w:val="false"/>
                <w:bCs w:val="false"/>
                <w:color w:val="1A1A1A"/>
                <w:sz w:val="20"/>
                <w:szCs w:val="20"/>
              </w:rPr>
              <w:t xml:space="preserve">~10 € (outil email)</w:t>
            </w:r>
          </w:p>
        </w:tc>
        <w:tc>
          <w:tcPr>
            <w:tcW w:type="dxa" w:w="2826"/>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vAlign w:val="top"/>
          </w:tcPr>
          <w:p>
            <w:pPr>
              <w:spacing w:after="40" w:before="40"/>
            </w:pPr>
            <w:r>
              <w:rPr>
                <w:rFonts w:ascii="Arial" w:cs="Arial" w:eastAsia="Arial" w:hAnsi="Arial"/>
                <w:b w:val="false"/>
                <w:bCs w:val="false"/>
                <w:color w:val="1A1A1A"/>
                <w:sz w:val="20"/>
                <w:szCs w:val="20"/>
              </w:rPr>
              <w:t xml:space="preserve">Fidélisation et relances</w:t>
            </w:r>
          </w:p>
        </w:tc>
      </w:tr>
      <w:tr>
        <w:tc>
          <w:tcPr>
            <w:tcW w:type="dxa" w:w="2200"/>
            <w:tcBorders>
              <w:top w:val="single" w:color="DDDDDD" w:sz="4"/>
              <w:left w:val="single" w:color="DDDDDD" w:sz="4"/>
              <w:bottom w:val="single" w:color="DDDDDD" w:sz="4"/>
              <w:right w:val="single" w:color="DDDDDD" w:sz="4"/>
            </w:tcBorders>
            <w:shd w:fill="EEEEEE" w:val="clear"/>
            <w:tcMar>
              <w:top w:type="dxa" w:w="100"/>
              <w:left w:type="dxa" w:w="160"/>
              <w:bottom w:type="dxa" w:w="100"/>
              <w:right w:type="dxa" w:w="160"/>
            </w:tcMar>
            <w:vAlign w:val="top"/>
          </w:tcPr>
          <w:p>
            <w:pPr>
              <w:spacing w:after="40" w:before="40"/>
            </w:pPr>
            <w:r>
              <w:rPr>
                <w:rFonts w:ascii="Arial" w:cs="Arial" w:eastAsia="Arial" w:hAnsi="Arial"/>
                <w:b w:val="false"/>
                <w:bCs w:val="false"/>
                <w:color w:val="1A1A1A"/>
                <w:sz w:val="20"/>
                <w:szCs w:val="20"/>
              </w:rPr>
              <w:t xml:space="preserve">Discord communauté</w:t>
            </w:r>
          </w:p>
        </w:tc>
        <w:tc>
          <w:tcPr>
            <w:tcW w:type="dxa" w:w="2000"/>
            <w:tcBorders>
              <w:top w:val="single" w:color="DDDDDD" w:sz="4"/>
              <w:left w:val="single" w:color="DDDDDD" w:sz="4"/>
              <w:bottom w:val="single" w:color="DDDDDD" w:sz="4"/>
              <w:right w:val="single" w:color="DDDDDD" w:sz="4"/>
            </w:tcBorders>
            <w:shd w:fill="EEEEEE" w:val="clear"/>
            <w:tcMar>
              <w:top w:type="dxa" w:w="100"/>
              <w:left w:type="dxa" w:w="160"/>
              <w:bottom w:type="dxa" w:w="100"/>
              <w:right w:type="dxa" w:w="160"/>
            </w:tcMar>
            <w:vAlign w:val="top"/>
          </w:tcPr>
          <w:p>
            <w:pPr>
              <w:spacing w:after="40" w:before="40"/>
            </w:pPr>
            <w:r>
              <w:rPr>
                <w:rFonts w:ascii="Arial" w:cs="Arial" w:eastAsia="Arial" w:hAnsi="Arial"/>
                <w:b w:val="false"/>
                <w:bCs w:val="false"/>
                <w:color w:val="1A1A1A"/>
                <w:sz w:val="20"/>
                <w:szCs w:val="20"/>
              </w:rPr>
              <w:t xml:space="preserve">⭐⭐⭐ Moyenne</w:t>
            </w:r>
          </w:p>
        </w:tc>
        <w:tc>
          <w:tcPr>
            <w:tcW w:type="dxa" w:w="20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vAlign w:val="top"/>
          </w:tcPr>
          <w:p>
            <w:pPr>
              <w:spacing w:after="40" w:before="40"/>
            </w:pPr>
            <w:r>
              <w:rPr>
                <w:rFonts w:ascii="Arial" w:cs="Arial" w:eastAsia="Arial" w:hAnsi="Arial"/>
                <w:b w:val="false"/>
                <w:bCs w:val="false"/>
                <w:color w:val="1A1A1A"/>
                <w:sz w:val="20"/>
                <w:szCs w:val="20"/>
              </w:rPr>
              <w:t xml:space="preserve">Gratuit</w:t>
            </w:r>
          </w:p>
        </w:tc>
        <w:tc>
          <w:tcPr>
            <w:tcW w:type="dxa" w:w="2826"/>
            <w:tcBorders>
              <w:top w:val="single" w:color="DDDDDD" w:sz="4"/>
              <w:left w:val="single" w:color="DDDDDD" w:sz="4"/>
              <w:bottom w:val="single" w:color="DDDDDD" w:sz="4"/>
              <w:right w:val="single" w:color="DDDDDD" w:sz="4"/>
            </w:tcBorders>
            <w:shd w:fill="EEEEEE" w:val="clear"/>
            <w:tcMar>
              <w:top w:type="dxa" w:w="100"/>
              <w:left w:type="dxa" w:w="160"/>
              <w:bottom w:type="dxa" w:w="100"/>
              <w:right w:type="dxa" w:w="160"/>
            </w:tcMar>
            <w:vAlign w:val="top"/>
          </w:tcPr>
          <w:p>
            <w:pPr>
              <w:spacing w:after="40" w:before="40"/>
            </w:pPr>
            <w:r>
              <w:rPr>
                <w:rFonts w:ascii="Arial" w:cs="Arial" w:eastAsia="Arial" w:hAnsi="Arial"/>
                <w:b w:val="false"/>
                <w:bCs w:val="false"/>
                <w:color w:val="1A1A1A"/>
                <w:sz w:val="20"/>
                <w:szCs w:val="20"/>
              </w:rPr>
              <w:t xml:space="preserve">Engagement et rétention</w:t>
            </w:r>
          </w:p>
        </w:tc>
      </w:tr>
      <w:tr>
        <w:tc>
          <w:tcPr>
            <w:tcW w:type="dxa" w:w="22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vAlign w:val="top"/>
          </w:tcPr>
          <w:p>
            <w:pPr>
              <w:spacing w:after="40" w:before="40"/>
            </w:pPr>
            <w:r>
              <w:rPr>
                <w:rFonts w:ascii="Arial" w:cs="Arial" w:eastAsia="Arial" w:hAnsi="Arial"/>
                <w:b w:val="false"/>
                <w:bCs w:val="false"/>
                <w:color w:val="1A1A1A"/>
                <w:sz w:val="20"/>
                <w:szCs w:val="20"/>
              </w:rPr>
              <w:t xml:space="preserve">Meta Ads (FB/IG)</w:t>
            </w:r>
          </w:p>
        </w:tc>
        <w:tc>
          <w:tcPr>
            <w:tcW w:type="dxa" w:w="20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vAlign w:val="top"/>
          </w:tcPr>
          <w:p>
            <w:pPr>
              <w:spacing w:after="40" w:before="40"/>
            </w:pPr>
            <w:r>
              <w:rPr>
                <w:rFonts w:ascii="Arial" w:cs="Arial" w:eastAsia="Arial" w:hAnsi="Arial"/>
                <w:b w:val="false"/>
                <w:bCs w:val="false"/>
                <w:color w:val="1A1A1A"/>
                <w:sz w:val="20"/>
                <w:szCs w:val="20"/>
              </w:rPr>
              <w:t xml:space="preserve">⭐⭐ Moyen</w:t>
            </w:r>
          </w:p>
        </w:tc>
        <w:tc>
          <w:tcPr>
            <w:tcW w:type="dxa" w:w="2000"/>
            <w:tcBorders>
              <w:top w:val="single" w:color="DDDDDD" w:sz="4"/>
              <w:left w:val="single" w:color="DDDDDD" w:sz="4"/>
              <w:bottom w:val="single" w:color="DDDDDD" w:sz="4"/>
              <w:right w:val="single" w:color="DDDDDD" w:sz="4"/>
            </w:tcBorders>
            <w:shd w:fill="EEEEEE" w:val="clear"/>
            <w:tcMar>
              <w:top w:type="dxa" w:w="100"/>
              <w:left w:type="dxa" w:w="160"/>
              <w:bottom w:type="dxa" w:w="100"/>
              <w:right w:type="dxa" w:w="160"/>
            </w:tcMar>
            <w:vAlign w:val="top"/>
          </w:tcPr>
          <w:p>
            <w:pPr>
              <w:spacing w:after="40" w:before="40"/>
            </w:pPr>
            <w:r>
              <w:rPr>
                <w:rFonts w:ascii="Arial" w:cs="Arial" w:eastAsia="Arial" w:hAnsi="Arial"/>
                <w:b w:val="false"/>
                <w:bCs w:val="false"/>
                <w:color w:val="1A1A1A"/>
                <w:sz w:val="20"/>
                <w:szCs w:val="20"/>
              </w:rPr>
              <w:t xml:space="preserve">50-100 € (phase 2+)</w:t>
            </w:r>
          </w:p>
        </w:tc>
        <w:tc>
          <w:tcPr>
            <w:tcW w:type="dxa" w:w="2826"/>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vAlign w:val="top"/>
          </w:tcPr>
          <w:p>
            <w:pPr>
              <w:spacing w:after="40" w:before="40"/>
            </w:pPr>
            <w:r>
              <w:rPr>
                <w:rFonts w:ascii="Arial" w:cs="Arial" w:eastAsia="Arial" w:hAnsi="Arial"/>
                <w:b w:val="false"/>
                <w:bCs w:val="false"/>
                <w:color w:val="1A1A1A"/>
                <w:sz w:val="20"/>
                <w:szCs w:val="20"/>
              </w:rPr>
              <w:t xml:space="preserve">Retargeting + prospection</w:t>
            </w:r>
          </w:p>
        </w:tc>
      </w:tr>
    </w:tbl>
    <w:p>
      <w:r>
        <w:rPr>
          <w:sz w:val="20"/>
          <w:szCs w:val="20"/>
        </w:rPr>
        <w:t xml:space="preserve"/>
      </w:r>
    </w:p>
    <w:p>
      <w:pPr>
        <w:pStyle w:val="Heading1"/>
        <w:pBdr>
          <w:bottom w:val="single" w:color="CC0000" w:sz="8" w:space="6"/>
        </w:pBdr>
        <w:spacing w:after="160" w:before="360"/>
      </w:pPr>
      <w:r>
        <w:rPr>
          <w:rFonts w:ascii="Arial" w:cs="Arial" w:eastAsia="Arial" w:hAnsi="Arial"/>
          <w:b/>
          <w:bCs/>
          <w:color w:val="CC0000"/>
          <w:sz w:val="30"/>
          <w:szCs w:val="30"/>
        </w:rPr>
        <w:t xml:space="preserve">5. Prochaines étapes immédiates</w:t>
      </w:r>
    </w:p>
    <w:p>
      <w:pPr>
        <w:pStyle w:val="ListParagraph"/>
        <w:numPr>
          <w:ilvl w:val="0"/>
          <w:numId w:val="2"/>
        </w:numPr>
        <w:spacing w:after="40" w:before="40"/>
      </w:pPr>
      <w:r>
        <w:rPr>
          <w:rFonts w:ascii="Arial" w:cs="Arial" w:eastAsia="Arial" w:hAnsi="Arial"/>
          <w:b/>
          <w:bCs/>
          <w:color w:val="333333"/>
          <w:sz w:val="20"/>
          <w:szCs w:val="20"/>
        </w:rPr>
        <w:t xml:space="preserve">Finaliser les comptes pro Hikaru Distribution et TCGdirect</w:t>
      </w:r>
    </w:p>
    <w:p>
      <w:pPr>
        <w:pStyle w:val="ListParagraph"/>
        <w:numPr>
          <w:ilvl w:val="0"/>
          <w:numId w:val="2"/>
        </w:numPr>
        <w:spacing w:after="40" w:before="40"/>
      </w:pPr>
      <w:r>
        <w:rPr>
          <w:rFonts w:ascii="Arial" w:cs="Arial" w:eastAsia="Arial" w:hAnsi="Arial"/>
          <w:b w:val="false"/>
          <w:bCs w:val="false"/>
          <w:color w:val="333333"/>
          <w:sz w:val="20"/>
          <w:szCs w:val="20"/>
        </w:rPr>
        <w:t xml:space="preserve">Activer la campagne Google Ads (400 € de crédit disponible)</w:t>
      </w:r>
    </w:p>
    <w:p>
      <w:pPr>
        <w:pStyle w:val="ListParagraph"/>
        <w:numPr>
          <w:ilvl w:val="0"/>
          <w:numId w:val="2"/>
        </w:numPr>
        <w:spacing w:after="40" w:before="40"/>
      </w:pPr>
      <w:r>
        <w:rPr>
          <w:rFonts w:ascii="Arial" w:cs="Arial" w:eastAsia="Arial" w:hAnsi="Arial"/>
          <w:b w:val="false"/>
          <w:bCs w:val="false"/>
          <w:color w:val="333333"/>
          <w:sz w:val="20"/>
          <w:szCs w:val="20"/>
        </w:rPr>
        <w:t xml:space="preserve">Créer les comptes TikTok et Instagram @pokejap et publier les premières vidéos</w:t>
      </w:r>
    </w:p>
    <w:p>
      <w:pPr>
        <w:pStyle w:val="ListParagraph"/>
        <w:numPr>
          <w:ilvl w:val="0"/>
          <w:numId w:val="2"/>
        </w:numPr>
        <w:spacing w:after="40" w:before="40"/>
      </w:pPr>
      <w:r>
        <w:rPr>
          <w:rFonts w:ascii="Arial" w:cs="Arial" w:eastAsia="Arial" w:hAnsi="Arial"/>
          <w:b w:val="false"/>
          <w:bCs w:val="false"/>
          <w:color w:val="333333"/>
          <w:sz w:val="20"/>
          <w:szCs w:val="20"/>
        </w:rPr>
        <w:t xml:space="preserve">Optimiser les fiches produit pour le SEO (titres, meta descriptions, balises alt)</w:t>
      </w:r>
    </w:p>
    <w:p>
      <w:pPr>
        <w:pStyle w:val="ListParagraph"/>
        <w:numPr>
          <w:ilvl w:val="0"/>
          <w:numId w:val="2"/>
        </w:numPr>
        <w:spacing w:after="40" w:before="40"/>
      </w:pPr>
      <w:r>
        <w:rPr>
          <w:rFonts w:ascii="Arial" w:cs="Arial" w:eastAsia="Arial" w:hAnsi="Arial"/>
          <w:b w:val="false"/>
          <w:bCs w:val="false"/>
          <w:color w:val="333333"/>
          <w:sz w:val="20"/>
          <w:szCs w:val="20"/>
        </w:rPr>
        <w:t xml:space="preserve">Ajouter la section dropshipping scellés sur pokejap.fr</w:t>
      </w:r>
    </w:p>
    <w:p>
      <w:pPr>
        <w:pStyle w:val="ListParagraph"/>
        <w:numPr>
          <w:ilvl w:val="0"/>
          <w:numId w:val="2"/>
        </w:numPr>
        <w:spacing w:after="40" w:before="40"/>
      </w:pPr>
      <w:r>
        <w:rPr>
          <w:rFonts w:ascii="Arial" w:cs="Arial" w:eastAsia="Arial" w:hAnsi="Arial"/>
          <w:b w:val="false"/>
          <w:bCs w:val="false"/>
          <w:color w:val="333333"/>
          <w:sz w:val="20"/>
          <w:szCs w:val="20"/>
        </w:rPr>
        <w:t xml:space="preserve">Collecter les premiers avis clients (email automatique post-commande)</w:t>
      </w:r>
    </w:p>
    <w:p>
      <w:r>
        <w:rPr>
          <w:sz w:val="20"/>
          <w:szCs w:val="20"/>
        </w:rPr>
        <w:t xml:space="preserve"/>
      </w:r>
    </w:p>
    <w:p>
      <w:pPr>
        <w:spacing w:after="60" w:before="60"/>
      </w:pPr>
      <w:r>
        <w:rPr>
          <w:rFonts w:ascii="Arial" w:cs="Arial" w:eastAsia="Arial" w:hAnsi="Arial"/>
          <w:color w:val="555555"/>
          <w:sz w:val="20"/>
          <w:szCs w:val="20"/>
        </w:rPr>
        <w:t xml:space="preserve">Ce plan constitue une base solide pour le lancement et la croissance de pokejap.fr. La priorité absolue est d'activer Google Ads immédiatement (le crédit de 400 € est disponible) en parallèle du déploiement sur TikTok/Instagram, qui reste le levier organique le plus puissant sur le marché des cartes Pokémon en 2026.</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EEE" w:sz="4" w:space="4"/>
      </w:pBdr>
      <w:spacing w:before="80"/>
    </w:pPr>
    <w:r>
      <w:rPr>
        <w:rFonts w:ascii="Arial" w:cs="Arial" w:eastAsia="Arial" w:hAnsi="Arial"/>
        <w:color w:val="AAAAAA"/>
        <w:sz w:val="16"/>
        <w:szCs w:val="16"/>
      </w:rPr>
      <w:t xml:space="preserve">pokejap.fr — Confidentiel</w:t>
    </w:r>
    <w:r>
      <w:rPr>
        <w:rFonts w:ascii="Arial" w:cs="Arial" w:eastAsia="Arial" w:hAnsi="Arial"/>
        <w:color w:val="AAAAAA"/>
        <w:sz w:val="16"/>
        <w:szCs w:val="16"/>
      </w:rPr>
      <w:t xml:space="preserve">   |   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0000" w:sz="6" w:space="4"/>
      </w:pBdr>
      <w:spacing w:after="80"/>
    </w:pPr>
    <w:r>
      <w:rPr>
        <w:rFonts w:ascii="Arial" w:cs="Arial" w:eastAsia="Arial" w:hAnsi="Arial"/>
        <w:b/>
        <w:bCs/>
        <w:color w:val="CC0000"/>
        <w:sz w:val="18"/>
        <w:szCs w:val="18"/>
      </w:rPr>
      <w:t xml:space="preserve">POKEJAP.FR</w:t>
    </w:r>
    <w:r>
      <w:rPr>
        <w:rFonts w:ascii="Arial" w:cs="Arial" w:eastAsia="Arial" w:hAnsi="Arial"/>
        <w:color w:val="555555"/>
        <w:sz w:val="18"/>
        <w:szCs w:val="18"/>
      </w:rPr>
      <w:t xml:space="preserve">   ·   Plan Stratégique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Stratégique pokejap.fr</dc:title>
  <dc:creator>Claude — pokejap.fr</dc:creator>
  <dc:description>SWOT, Marketing Mix 4P et Plan de Communication</dc:description>
  <cp:lastModifiedBy>Un-named</cp:lastModifiedBy>
  <cp:revision>1</cp:revision>
  <dcterms:created xsi:type="dcterms:W3CDTF">2026-07-04T18:39:39.490Z</dcterms:created>
  <dcterms:modified xsi:type="dcterms:W3CDTF">2026-07-04T18:39:39.490Z</dcterms:modified>
</cp:coreProperties>
</file>

<file path=docProps/custom.xml><?xml version="1.0" encoding="utf-8"?>
<Properties xmlns="http://schemas.openxmlformats.org/officeDocument/2006/custom-properties" xmlns:vt="http://schemas.openxmlformats.org/officeDocument/2006/docPropsVTypes"/>
</file>