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ight="0" w:firstLine="0"/>
        <w:rPr/>
      </w:pPr>
      <w:r w:rsidDel="00000000" w:rsidR="00000000" w:rsidRPr="00000000">
        <w:rPr>
          <w:rtl w:val="0"/>
        </w:rPr>
        <w:t xml:space="preserve">Aidan Fischer - Midterm Reading Table Entries (Up to Article 1)</w:t>
        <w:tab/>
        <w:tab/>
        <w:tab/>
        <w:tab/>
        <w:tab/>
        <w:tab/>
        <w:tab/>
        <w:tab/>
        <w:tab/>
      </w:r>
      <w:r w:rsidDel="00000000" w:rsidR="00000000" w:rsidRPr="00000000">
        <w:rPr>
          <w:rtl w:val="0"/>
        </w:rPr>
        <w:t xml:space="preserve">Oct 10, 2022</w:t>
      </w:r>
      <w:r w:rsidDel="00000000" w:rsidR="00000000" w:rsidRPr="00000000">
        <w:rPr>
          <w:rtl w:val="0"/>
        </w:rPr>
      </w:r>
    </w:p>
    <w:tbl>
      <w:tblPr>
        <w:tblStyle w:val="Table1"/>
        <w:tblW w:w="157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860"/>
        <w:gridCol w:w="2070"/>
        <w:gridCol w:w="2820"/>
        <w:gridCol w:w="2865"/>
        <w:gridCol w:w="2235"/>
        <w:gridCol w:w="2190"/>
        <w:tblGridChange w:id="0">
          <w:tblGrid>
            <w:gridCol w:w="1710"/>
            <w:gridCol w:w="1860"/>
            <w:gridCol w:w="2070"/>
            <w:gridCol w:w="2820"/>
            <w:gridCol w:w="2865"/>
            <w:gridCol w:w="2235"/>
            <w:gridCol w:w="2190"/>
          </w:tblGrid>
        </w:tblGridChange>
      </w:tblGrid>
      <w:tr>
        <w:trPr>
          <w:cantSplit w:val="0"/>
          <w:trHeight w:val="1457.4023437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Article Title</w:t>
            </w:r>
          </w:p>
        </w:tc>
        <w:tc>
          <w:tcPr>
            <w:tcMar>
              <w:top w:w="100.0" w:type="dxa"/>
              <w:left w:w="100.0" w:type="dxa"/>
              <w:bottom w:w="100.0" w:type="dxa"/>
              <w:right w:w="100.0" w:type="dxa"/>
            </w:tcMar>
            <w:vAlign w:val="center"/>
          </w:tcPr>
          <w:p w:rsidR="00000000" w:rsidDel="00000000" w:rsidP="00000000" w:rsidRDefault="00000000" w:rsidRPr="00000000" w14:paraId="00000003">
            <w:pPr>
              <w:rPr/>
            </w:pPr>
            <w:r w:rsidDel="00000000" w:rsidR="00000000" w:rsidRPr="00000000">
              <w:rPr>
                <w:rtl w:val="0"/>
              </w:rPr>
              <w:t xml:space="preserve">Author and field</w:t>
            </w:r>
          </w:p>
        </w:tc>
        <w:tc>
          <w:tcPr>
            <w:tcMar>
              <w:top w:w="100.0" w:type="dxa"/>
              <w:left w:w="100.0" w:type="dxa"/>
              <w:bottom w:w="100.0" w:type="dxa"/>
              <w:right w:w="100.0" w:type="dxa"/>
            </w:tcMar>
            <w:vAlign w:val="center"/>
          </w:tcPr>
          <w:p w:rsidR="00000000" w:rsidDel="00000000" w:rsidP="00000000" w:rsidRDefault="00000000" w:rsidRPr="00000000" w14:paraId="00000004">
            <w:pPr>
              <w:rPr/>
            </w:pPr>
            <w:r w:rsidDel="00000000" w:rsidR="00000000" w:rsidRPr="00000000">
              <w:rPr>
                <w:rtl w:val="0"/>
              </w:rPr>
              <w:t xml:space="preserve">Methods/ where did they get their data</w:t>
            </w:r>
          </w:p>
        </w:tc>
        <w:tc>
          <w:tcPr>
            <w:tcMar>
              <w:top w:w="100.0" w:type="dxa"/>
              <w:left w:w="100.0" w:type="dxa"/>
              <w:bottom w:w="100.0" w:type="dxa"/>
              <w:right w:w="100.0" w:type="dxa"/>
            </w:tcMar>
            <w:vAlign w:val="center"/>
          </w:tcPr>
          <w:p w:rsidR="00000000" w:rsidDel="00000000" w:rsidP="00000000" w:rsidRDefault="00000000" w:rsidRPr="00000000" w14:paraId="00000005">
            <w:pPr>
              <w:rPr/>
            </w:pPr>
            <w:r w:rsidDel="00000000" w:rsidR="00000000" w:rsidRPr="00000000">
              <w:rPr>
                <w:rtl w:val="0"/>
              </w:rPr>
              <w:t xml:space="preserve">Are they arguing with anyone?</w:t>
            </w:r>
          </w:p>
        </w:tc>
        <w:tc>
          <w:tcPr>
            <w:tcMar>
              <w:top w:w="100.0" w:type="dxa"/>
              <w:left w:w="100.0" w:type="dxa"/>
              <w:bottom w:w="100.0" w:type="dxa"/>
              <w:right w:w="100.0" w:type="dxa"/>
            </w:tcMar>
            <w:vAlign w:val="center"/>
          </w:tcPr>
          <w:p w:rsidR="00000000" w:rsidDel="00000000" w:rsidP="00000000" w:rsidRDefault="00000000" w:rsidRPr="00000000" w14:paraId="00000006">
            <w:pPr>
              <w:rPr/>
            </w:pPr>
            <w:r w:rsidDel="00000000" w:rsidR="00000000" w:rsidRPr="00000000">
              <w:rPr>
                <w:rtl w:val="0"/>
              </w:rPr>
              <w:t xml:space="preserve">Timeline/geography</w:t>
            </w:r>
          </w:p>
        </w:tc>
        <w:tc>
          <w:tcPr>
            <w:tcMar>
              <w:top w:w="100.0" w:type="dxa"/>
              <w:left w:w="100.0" w:type="dxa"/>
              <w:bottom w:w="100.0" w:type="dxa"/>
              <w:right w:w="100.0" w:type="dxa"/>
            </w:tcMar>
            <w:vAlign w:val="center"/>
          </w:tcPr>
          <w:p w:rsidR="00000000" w:rsidDel="00000000" w:rsidP="00000000" w:rsidRDefault="00000000" w:rsidRPr="00000000" w14:paraId="00000007">
            <w:pPr>
              <w:rPr/>
            </w:pPr>
            <w:r w:rsidDel="00000000" w:rsidR="00000000" w:rsidRPr="00000000">
              <w:rPr>
                <w:rtl w:val="0"/>
              </w:rPr>
              <w:t xml:space="preserve">Thesis and findings</w:t>
            </w:r>
          </w:p>
        </w:tc>
        <w:tc>
          <w:tcPr>
            <w:tcMar>
              <w:top w:w="100.0" w:type="dxa"/>
              <w:left w:w="100.0" w:type="dxa"/>
              <w:bottom w:w="100.0" w:type="dxa"/>
              <w:right w:w="100.0" w:type="dxa"/>
            </w:tcMar>
            <w:vAlign w:val="center"/>
          </w:tcPr>
          <w:p w:rsidR="00000000" w:rsidDel="00000000" w:rsidP="00000000" w:rsidRDefault="00000000" w:rsidRPr="00000000" w14:paraId="00000008">
            <w:pPr>
              <w:rPr/>
            </w:pPr>
            <w:r w:rsidDel="00000000" w:rsidR="00000000" w:rsidRPr="00000000">
              <w:rPr>
                <w:rtl w:val="0"/>
              </w:rPr>
              <w:t xml:space="preserve">Anything else important</w:t>
            </w:r>
          </w:p>
        </w:tc>
      </w:tr>
      <w:tr>
        <w:trPr>
          <w:cantSplit w:val="0"/>
          <w:trHeight w:val="50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09">
            <w:pPr>
              <w:rPr/>
            </w:pPr>
            <w:r w:rsidDel="00000000" w:rsidR="00000000" w:rsidRPr="00000000">
              <w:rPr>
                <w:rtl w:val="0"/>
              </w:rPr>
              <w:t xml:space="preserve">History and Neuroscience: An Integrative Legacy</w:t>
            </w:r>
          </w:p>
        </w:tc>
        <w:tc>
          <w:tcPr>
            <w:tcMar>
              <w:top w:w="100.0" w:type="dxa"/>
              <w:left w:w="100.0" w:type="dxa"/>
              <w:bottom w:w="100.0" w:type="dxa"/>
              <w:right w:w="100.0" w:type="dxa"/>
            </w:tcMar>
            <w:vAlign w:val="center"/>
          </w:tcPr>
          <w:p w:rsidR="00000000" w:rsidDel="00000000" w:rsidP="00000000" w:rsidRDefault="00000000" w:rsidRPr="00000000" w14:paraId="0000000A">
            <w:pPr>
              <w:rPr/>
            </w:pPr>
            <w:r w:rsidDel="00000000" w:rsidR="00000000" w:rsidRPr="00000000">
              <w:rPr>
                <w:rtl w:val="0"/>
              </w:rPr>
              <w:t xml:space="preserve">Stephen T. Casper - Humanities and Social Sciences</w:t>
            </w:r>
          </w:p>
        </w:tc>
        <w:tc>
          <w:tcPr>
            <w:tcMar>
              <w:top w:w="100.0" w:type="dxa"/>
              <w:left w:w="100.0" w:type="dxa"/>
              <w:bottom w:w="100.0" w:type="dxa"/>
              <w:right w:w="100.0" w:type="dxa"/>
            </w:tcMar>
            <w:vAlign w:val="center"/>
          </w:tcPr>
          <w:p w:rsidR="00000000" w:rsidDel="00000000" w:rsidP="00000000" w:rsidRDefault="00000000" w:rsidRPr="00000000" w14:paraId="0000000B">
            <w:pPr>
              <w:rPr/>
            </w:pPr>
            <w:r w:rsidDel="00000000" w:rsidR="00000000" w:rsidRPr="00000000">
              <w:rPr>
                <w:rtl w:val="0"/>
              </w:rPr>
              <w:t xml:space="preserve">Archival - Various essays and books, such as personal papers and biographies</w:t>
            </w:r>
          </w:p>
        </w:tc>
        <w:tc>
          <w:tcPr>
            <w:tcMar>
              <w:top w:w="100.0" w:type="dxa"/>
              <w:left w:w="100.0" w:type="dxa"/>
              <w:bottom w:w="100.0" w:type="dxa"/>
              <w:right w:w="100.0" w:type="dxa"/>
            </w:tcMar>
            <w:vAlign w:val="center"/>
          </w:tcPr>
          <w:p w:rsidR="00000000" w:rsidDel="00000000" w:rsidP="00000000" w:rsidRDefault="00000000" w:rsidRPr="00000000" w14:paraId="0000000C">
            <w:pPr>
              <w:rPr/>
            </w:pPr>
            <w:r w:rsidDel="00000000" w:rsidR="00000000" w:rsidRPr="00000000">
              <w:rPr>
                <w:rtl w:val="0"/>
              </w:rPr>
              <w:t xml:space="preserve">No - Casper is exploring the attitudes that built up neurology and neuroscience, and how those ideas led to the current neuroculture, as well as the interactions between the fields (integrative).</w:t>
            </w:r>
          </w:p>
        </w:tc>
        <w:tc>
          <w:tcPr>
            <w:tcMar>
              <w:top w:w="100.0" w:type="dxa"/>
              <w:left w:w="100.0" w:type="dxa"/>
              <w:bottom w:w="100.0" w:type="dxa"/>
              <w:right w:w="100.0" w:type="dxa"/>
            </w:tcMar>
            <w:vAlign w:val="center"/>
          </w:tcPr>
          <w:p w:rsidR="00000000" w:rsidDel="00000000" w:rsidP="00000000" w:rsidRDefault="00000000" w:rsidRPr="00000000" w14:paraId="0000000D">
            <w:pPr>
              <w:rPr/>
            </w:pPr>
            <w:r w:rsidDel="00000000" w:rsidR="00000000" w:rsidRPr="00000000">
              <w:rPr>
                <w:rtl w:val="0"/>
              </w:rPr>
              <w:t xml:space="preserve">Geography involves a universality of the ideas discussed. As a relatively recently-developed field, neuroscience developed globally. As for timeline, the article mostly discusses how these ideas developed in the late 19th and early 20th centuries.</w:t>
            </w:r>
          </w:p>
        </w:tc>
        <w:tc>
          <w:tcPr>
            <w:tcMar>
              <w:top w:w="100.0" w:type="dxa"/>
              <w:left w:w="100.0" w:type="dxa"/>
              <w:bottom w:w="100.0" w:type="dxa"/>
              <w:right w:w="100.0" w:type="dxa"/>
            </w:tcMar>
            <w:vAlign w:val="center"/>
          </w:tcPr>
          <w:p w:rsidR="00000000" w:rsidDel="00000000" w:rsidP="00000000" w:rsidRDefault="00000000" w:rsidRPr="00000000" w14:paraId="0000000E">
            <w:pPr>
              <w:rPr/>
            </w:pPr>
            <w:r w:rsidDel="00000000" w:rsidR="00000000" w:rsidRPr="00000000">
              <w:rPr>
                <w:rtl w:val="0"/>
              </w:rPr>
              <w:t xml:space="preserve">Thesis: The exploration of the integrative attitudes of workers in the field as the source of the epistemological weight afforded to the “neuro” fields. </w:t>
            </w:r>
          </w:p>
          <w:p w:rsidR="00000000" w:rsidDel="00000000" w:rsidP="00000000" w:rsidRDefault="00000000" w:rsidRPr="00000000" w14:paraId="0000000F">
            <w:pPr>
              <w:rPr/>
            </w:pPr>
            <w:r w:rsidDel="00000000" w:rsidR="00000000" w:rsidRPr="00000000">
              <w:rPr>
                <w:rtl w:val="0"/>
              </w:rPr>
              <w:t xml:space="preserve">Findings: Current proponents of “neuroculture” seem to use “identity-making” efforts” as “actual objects of cognitive science.”</w:t>
            </w:r>
          </w:p>
        </w:tc>
        <w:tc>
          <w:tcPr>
            <w:tcMar>
              <w:top w:w="100.0" w:type="dxa"/>
              <w:left w:w="100.0" w:type="dxa"/>
              <w:bottom w:w="100.0" w:type="dxa"/>
              <w:right w:w="100.0" w:type="dxa"/>
            </w:tcMar>
            <w:vAlign w:val="center"/>
          </w:tcPr>
          <w:p w:rsidR="00000000" w:rsidDel="00000000" w:rsidP="00000000" w:rsidRDefault="00000000" w:rsidRPr="00000000" w14:paraId="00000010">
            <w:pPr>
              <w:rPr/>
            </w:pPr>
            <w:r w:rsidDel="00000000" w:rsidR="00000000" w:rsidRPr="00000000">
              <w:rPr>
                <w:rtl w:val="0"/>
              </w:rPr>
              <w:t xml:space="preserve">It is important to note the difference between neurology and neuroscience. Neurology is the medical field, whereas neuroscience is the general study of the nervous system.</w:t>
            </w:r>
          </w:p>
        </w:tc>
      </w:tr>
      <w:tr>
        <w:trPr>
          <w:cantSplit w:val="0"/>
          <w:trHeight w:val="77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11">
            <w:pPr>
              <w:rPr/>
            </w:pPr>
            <w:r w:rsidDel="00000000" w:rsidR="00000000" w:rsidRPr="00000000">
              <w:rPr>
                <w:rtl w:val="0"/>
              </w:rPr>
              <w:t xml:space="preserve">Neuroscience, neurohistory, and the history of science: A tale of two brain images</w:t>
            </w:r>
          </w:p>
        </w:tc>
        <w:tc>
          <w:tcPr>
            <w:tcMar>
              <w:top w:w="100.0" w:type="dxa"/>
              <w:left w:w="100.0" w:type="dxa"/>
              <w:bottom w:w="100.0" w:type="dxa"/>
              <w:right w:w="100.0" w:type="dxa"/>
            </w:tcMar>
            <w:vAlign w:val="center"/>
          </w:tcPr>
          <w:p w:rsidR="00000000" w:rsidDel="00000000" w:rsidP="00000000" w:rsidRDefault="00000000" w:rsidRPr="00000000" w14:paraId="00000012">
            <w:pPr>
              <w:rPr/>
            </w:pPr>
            <w:r w:rsidDel="00000000" w:rsidR="00000000" w:rsidRPr="00000000">
              <w:rPr>
                <w:rtl w:val="0"/>
              </w:rPr>
              <w:t xml:space="preserve">Steve Fuller - Sociology</w:t>
            </w:r>
          </w:p>
        </w:tc>
        <w:tc>
          <w:tcPr>
            <w:tcMar>
              <w:top w:w="100.0" w:type="dxa"/>
              <w:left w:w="100.0" w:type="dxa"/>
              <w:bottom w:w="100.0" w:type="dxa"/>
              <w:right w:w="100.0" w:type="dxa"/>
            </w:tcMar>
            <w:vAlign w:val="center"/>
          </w:tcPr>
          <w:p w:rsidR="00000000" w:rsidDel="00000000" w:rsidP="00000000" w:rsidRDefault="00000000" w:rsidRPr="00000000" w14:paraId="00000013">
            <w:pPr>
              <w:rPr/>
            </w:pPr>
            <w:r w:rsidDel="00000000" w:rsidR="00000000" w:rsidRPr="00000000">
              <w:rPr>
                <w:rtl w:val="0"/>
              </w:rPr>
              <w:t xml:space="preserve">Archival - Again, various essays and books were used as references in this article. </w:t>
            </w:r>
          </w:p>
          <w:p w:rsidR="00000000" w:rsidDel="00000000" w:rsidP="00000000" w:rsidRDefault="00000000" w:rsidRPr="00000000" w14:paraId="00000014">
            <w:pPr>
              <w:rPr/>
            </w:pPr>
            <w:r w:rsidDel="00000000" w:rsidR="00000000" w:rsidRPr="00000000">
              <w:rPr>
                <w:rtl w:val="0"/>
              </w:rPr>
              <w:t xml:space="preserve">Oral History - There is one instance where the author refers to his experience at a workshop on neurohistory, in which something he discusses in the article was talked about among others in his field at the workshop.</w:t>
            </w:r>
          </w:p>
          <w:p w:rsidR="00000000" w:rsidDel="00000000" w:rsidP="00000000" w:rsidRDefault="00000000" w:rsidRPr="00000000" w14:paraId="00000015">
            <w:pP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16">
            <w:pPr>
              <w:rPr/>
            </w:pPr>
            <w:r w:rsidDel="00000000" w:rsidR="00000000" w:rsidRPr="00000000">
              <w:rPr>
                <w:rtl w:val="0"/>
              </w:rPr>
              <w:t xml:space="preserve">No - Fuller is exploring the “alternate” image of the brain as a transducer, rather than a governor. I say “alternate” in quotes because it is only so to the brain-as-governor view (Fuller shows that the transducer view is largely suppressed, in part due to its theological roots). Fuller explores what the two views’ effect on neurohistory is, and how the two views will affect neurohistory in the future. </w:t>
            </w:r>
          </w:p>
        </w:tc>
        <w:tc>
          <w:tcPr>
            <w:tcMar>
              <w:top w:w="100.0" w:type="dxa"/>
              <w:left w:w="100.0" w:type="dxa"/>
              <w:bottom w:w="100.0" w:type="dxa"/>
              <w:right w:w="100.0" w:type="dxa"/>
            </w:tcMar>
            <w:vAlign w:val="center"/>
          </w:tcPr>
          <w:p w:rsidR="00000000" w:rsidDel="00000000" w:rsidP="00000000" w:rsidRDefault="00000000" w:rsidRPr="00000000" w14:paraId="00000017">
            <w:pPr>
              <w:rPr/>
            </w:pPr>
            <w:r w:rsidDel="00000000" w:rsidR="00000000" w:rsidRPr="00000000">
              <w:rPr>
                <w:rtl w:val="0"/>
              </w:rPr>
              <w:t xml:space="preserve">The article refers to mostly United States and England-published sources, taking from the late 20th to the early 21st century</w:t>
            </w:r>
          </w:p>
        </w:tc>
        <w:tc>
          <w:tcPr>
            <w:tcMar>
              <w:top w:w="100.0" w:type="dxa"/>
              <w:left w:w="100.0" w:type="dxa"/>
              <w:bottom w:w="100.0" w:type="dxa"/>
              <w:right w:w="100.0" w:type="dxa"/>
            </w:tcMar>
            <w:vAlign w:val="center"/>
          </w:tcPr>
          <w:p w:rsidR="00000000" w:rsidDel="00000000" w:rsidP="00000000" w:rsidRDefault="00000000" w:rsidRPr="00000000" w14:paraId="00000018">
            <w:pPr>
              <w:rPr/>
            </w:pPr>
            <w:r w:rsidDel="00000000" w:rsidR="00000000" w:rsidRPr="00000000">
              <w:rPr>
                <w:rtl w:val="0"/>
              </w:rPr>
              <w:t xml:space="preserve">Thesis: The article aims to explore the idea of the human brain as a transducer in the context of its implications on historical practice.</w:t>
            </w:r>
          </w:p>
          <w:p w:rsidR="00000000" w:rsidDel="00000000" w:rsidP="00000000" w:rsidRDefault="00000000" w:rsidRPr="00000000" w14:paraId="00000019">
            <w:pPr>
              <w:rPr/>
            </w:pPr>
            <w:r w:rsidDel="00000000" w:rsidR="00000000" w:rsidRPr="00000000">
              <w:rPr>
                <w:rtl w:val="0"/>
              </w:rPr>
              <w:t xml:space="preserve">Findings: While the “brain-as governor” view has dominated, there are still prevailing “brain-as-transducer” views that persist, and the theological underpinnings have affected neurohistory</w:t>
            </w:r>
          </w:p>
        </w:tc>
        <w:tc>
          <w:tcPr>
            <w:tcMar>
              <w:top w:w="100.0" w:type="dxa"/>
              <w:left w:w="100.0" w:type="dxa"/>
              <w:bottom w:w="100.0" w:type="dxa"/>
              <w:right w:w="100.0" w:type="dxa"/>
            </w:tcMar>
            <w:vAlign w:val="center"/>
          </w:tcPr>
          <w:p w:rsidR="00000000" w:rsidDel="00000000" w:rsidP="00000000" w:rsidRDefault="00000000" w:rsidRPr="00000000" w14:paraId="0000001A">
            <w:pPr>
              <w:rPr/>
            </w:pPr>
            <w:r w:rsidDel="00000000" w:rsidR="00000000" w:rsidRPr="00000000">
              <w:rPr>
                <w:rtl w:val="0"/>
              </w:rPr>
              <w:t xml:space="preserve">The brain-as-transducer idea argues that the brain acts as “an interface between an organism and reality at large “ The brain-as-governor view contends that “the brain [is] the executive control center of the body”</w:t>
            </w:r>
          </w:p>
        </w:tc>
      </w:tr>
      <w:tr>
        <w:trPr>
          <w:cantSplit w:val="0"/>
          <w:trHeight w:val="77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1B">
            <w:pP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1C">
            <w:pPr>
              <w:rPr/>
            </w:pPr>
            <w:r w:rsidDel="00000000" w:rsidR="00000000" w:rsidRPr="00000000">
              <w:rPr>
                <w:rtl w:val="0"/>
              </w:rPr>
              <w:t xml:space="preserve"> </w:t>
            </w:r>
          </w:p>
        </w:tc>
        <w:tc>
          <w:tcPr>
            <w:tcMar>
              <w:top w:w="100.0" w:type="dxa"/>
              <w:left w:w="100.0" w:type="dxa"/>
              <w:bottom w:w="100.0" w:type="dxa"/>
              <w:right w:w="100.0" w:type="dxa"/>
            </w:tcMar>
            <w:vAlign w:val="center"/>
          </w:tcPr>
          <w:p w:rsidR="00000000" w:rsidDel="00000000" w:rsidP="00000000" w:rsidRDefault="00000000" w:rsidRPr="00000000" w14:paraId="0000001D">
            <w:pPr>
              <w:rPr/>
            </w:pPr>
            <w:r w:rsidDel="00000000" w:rsidR="00000000" w:rsidRPr="00000000">
              <w:rPr>
                <w:rtl w:val="0"/>
              </w:rPr>
              <w:t xml:space="preserve"> </w:t>
            </w:r>
          </w:p>
        </w:tc>
        <w:tc>
          <w:tcPr>
            <w:tcMar>
              <w:top w:w="100.0" w:type="dxa"/>
              <w:left w:w="100.0" w:type="dxa"/>
              <w:bottom w:w="100.0" w:type="dxa"/>
              <w:right w:w="100.0" w:type="dxa"/>
            </w:tcMar>
            <w:vAlign w:val="center"/>
          </w:tcPr>
          <w:p w:rsidR="00000000" w:rsidDel="00000000" w:rsidP="00000000" w:rsidRDefault="00000000" w:rsidRPr="00000000" w14:paraId="0000001E">
            <w:pPr>
              <w:rPr/>
            </w:pPr>
            <w:r w:rsidDel="00000000" w:rsidR="00000000" w:rsidRPr="00000000">
              <w:rPr>
                <w:rtl w:val="0"/>
              </w:rPr>
              <w:t xml:space="preserve"> </w:t>
            </w:r>
          </w:p>
        </w:tc>
        <w:tc>
          <w:tcPr>
            <w:tcMar>
              <w:top w:w="100.0" w:type="dxa"/>
              <w:left w:w="100.0" w:type="dxa"/>
              <w:bottom w:w="100.0" w:type="dxa"/>
              <w:right w:w="100.0" w:type="dxa"/>
            </w:tcMar>
            <w:vAlign w:val="center"/>
          </w:tcPr>
          <w:p w:rsidR="00000000" w:rsidDel="00000000" w:rsidP="00000000" w:rsidRDefault="00000000" w:rsidRPr="00000000" w14:paraId="0000001F">
            <w:pPr>
              <w:rPr/>
            </w:pPr>
            <w:r w:rsidDel="00000000" w:rsidR="00000000" w:rsidRPr="00000000">
              <w:rPr>
                <w:rtl w:val="0"/>
              </w:rPr>
              <w:t xml:space="preserve"> </w:t>
            </w:r>
          </w:p>
        </w:tc>
        <w:tc>
          <w:tcPr>
            <w:tcMar>
              <w:top w:w="100.0" w:type="dxa"/>
              <w:left w:w="100.0" w:type="dxa"/>
              <w:bottom w:w="100.0" w:type="dxa"/>
              <w:right w:w="100.0" w:type="dxa"/>
            </w:tcMar>
            <w:vAlign w:val="center"/>
          </w:tcPr>
          <w:p w:rsidR="00000000" w:rsidDel="00000000" w:rsidP="00000000" w:rsidRDefault="00000000" w:rsidRPr="00000000" w14:paraId="00000020">
            <w:pPr>
              <w:rPr/>
            </w:pPr>
            <w:r w:rsidDel="00000000" w:rsidR="00000000" w:rsidRPr="00000000">
              <w:rPr>
                <w:rtl w:val="0"/>
              </w:rPr>
              <w:t xml:space="preserve"> </w:t>
            </w:r>
          </w:p>
        </w:tc>
        <w:tc>
          <w:tcPr>
            <w:tcMar>
              <w:top w:w="100.0" w:type="dxa"/>
              <w:left w:w="100.0" w:type="dxa"/>
              <w:bottom w:w="100.0" w:type="dxa"/>
              <w:right w:w="100.0" w:type="dxa"/>
            </w:tcMar>
            <w:vAlign w:val="center"/>
          </w:tcPr>
          <w:p w:rsidR="00000000" w:rsidDel="00000000" w:rsidP="00000000" w:rsidRDefault="00000000" w:rsidRPr="00000000" w14:paraId="00000021">
            <w:pPr>
              <w:rPr/>
            </w:pPr>
            <w:r w:rsidDel="00000000" w:rsidR="00000000" w:rsidRPr="00000000">
              <w:rPr>
                <w:rtl w:val="0"/>
              </w:rPr>
              <w:t xml:space="preserve"> </w:t>
            </w:r>
          </w:p>
        </w:tc>
      </w:tr>
      <w:tr>
        <w:trPr>
          <w:cantSplit w:val="0"/>
          <w:trHeight w:val="77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22">
            <w:pP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3">
            <w:pPr>
              <w:rPr/>
            </w:pPr>
            <w:r w:rsidDel="00000000" w:rsidR="00000000" w:rsidRPr="00000000">
              <w:rPr>
                <w:rtl w:val="0"/>
              </w:rPr>
              <w:t xml:space="preserve"> </w:t>
            </w:r>
          </w:p>
        </w:tc>
        <w:tc>
          <w:tcPr>
            <w:tcMar>
              <w:top w:w="100.0" w:type="dxa"/>
              <w:left w:w="100.0" w:type="dxa"/>
              <w:bottom w:w="100.0" w:type="dxa"/>
              <w:right w:w="100.0" w:type="dxa"/>
            </w:tcMar>
            <w:vAlign w:val="center"/>
          </w:tcPr>
          <w:p w:rsidR="00000000" w:rsidDel="00000000" w:rsidP="00000000" w:rsidRDefault="00000000" w:rsidRPr="00000000" w14:paraId="00000024">
            <w:pPr>
              <w:rPr/>
            </w:pPr>
            <w:r w:rsidDel="00000000" w:rsidR="00000000" w:rsidRPr="00000000">
              <w:rPr>
                <w:rtl w:val="0"/>
              </w:rPr>
              <w:t xml:space="preserve"> </w:t>
            </w:r>
          </w:p>
        </w:tc>
        <w:tc>
          <w:tcPr>
            <w:tcMar>
              <w:top w:w="100.0" w:type="dxa"/>
              <w:left w:w="100.0" w:type="dxa"/>
              <w:bottom w:w="100.0" w:type="dxa"/>
              <w:right w:w="100.0" w:type="dxa"/>
            </w:tcMar>
            <w:vAlign w:val="center"/>
          </w:tcPr>
          <w:p w:rsidR="00000000" w:rsidDel="00000000" w:rsidP="00000000" w:rsidRDefault="00000000" w:rsidRPr="00000000" w14:paraId="00000025">
            <w:pPr>
              <w:rPr/>
            </w:pPr>
            <w:r w:rsidDel="00000000" w:rsidR="00000000" w:rsidRPr="00000000">
              <w:rPr>
                <w:rtl w:val="0"/>
              </w:rPr>
              <w:t xml:space="preserve"> </w:t>
            </w:r>
          </w:p>
        </w:tc>
        <w:tc>
          <w:tcPr>
            <w:tcMar>
              <w:top w:w="100.0" w:type="dxa"/>
              <w:left w:w="100.0" w:type="dxa"/>
              <w:bottom w:w="100.0" w:type="dxa"/>
              <w:right w:w="100.0" w:type="dxa"/>
            </w:tcMar>
            <w:vAlign w:val="center"/>
          </w:tcPr>
          <w:p w:rsidR="00000000" w:rsidDel="00000000" w:rsidP="00000000" w:rsidRDefault="00000000" w:rsidRPr="00000000" w14:paraId="00000026">
            <w:pPr>
              <w:rPr/>
            </w:pPr>
            <w:r w:rsidDel="00000000" w:rsidR="00000000" w:rsidRPr="00000000">
              <w:rPr>
                <w:rtl w:val="0"/>
              </w:rPr>
              <w:t xml:space="preserv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sectPr>
      <w:pgSz w:h="12240" w:w="15840" w:orient="landscape"/>
      <w:pgMar w:bottom="1440" w:top="1440" w:left="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