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565C0"/>
          <w:sz w:val="30"/>
          <w:szCs w:val="30"/>
        </w:rPr>
        <w:t xml:space="preserve">ExCentro · ООО «РУСМАШ»</w:t>
      </w:r>
    </w:p>
    <w:p>
      <w:pPr>
        <w:spacing w:after="0" w:before="80"/>
        <w:jc w:val="center"/>
      </w:pPr>
      <w:r>
        <w:rPr>
          <w:color w:val="555E73"/>
          <w:sz w:val="20"/>
          <w:szCs w:val="20"/>
        </w:rPr>
        <w:t xml:space="preserve">Эксцентрико-циклоидальные редукторные модули</w:t>
      </w:r>
    </w:p>
    <w:p>
      <w:pPr>
        <w:spacing w:after="0" w:before="900"/>
        <w:jc w:val="center"/>
      </w:pPr>
      <w:r>
        <w:rPr>
          <w:b/>
          <w:bCs/>
          <w:color w:val="222B45"/>
          <w:sz w:val="48"/>
          <w:szCs w:val="48"/>
        </w:rPr>
        <w:t xml:space="preserve">АНАЛИЗ МИРОВОГО РЫНКА</w:t>
      </w:r>
    </w:p>
    <w:p>
      <w:pPr>
        <w:spacing w:after="0" w:before="60"/>
        <w:jc w:val="center"/>
      </w:pPr>
      <w:r>
        <w:rPr>
          <w:b/>
          <w:bCs/>
          <w:color w:val="222B45"/>
          <w:sz w:val="48"/>
          <w:szCs w:val="48"/>
        </w:rPr>
        <w:t xml:space="preserve">ТЯЖЁЛЫХ ПРОМЫШЛЕННЫХ РЕДУКТОРОВ</w:t>
      </w:r>
    </w:p>
    <w:p>
      <w:pPr>
        <w:spacing w:after="0" w:before="240"/>
        <w:jc w:val="center"/>
      </w:pPr>
      <w:r>
        <w:rPr>
          <w:i/>
          <w:iCs/>
          <w:color w:val="1565C0"/>
          <w:sz w:val="24"/>
          <w:szCs w:val="24"/>
        </w:rPr>
        <w:t xml:space="preserve">Обоснование технического задания на разработку</w:t>
      </w:r>
    </w:p>
    <w:p>
      <w:pPr>
        <w:spacing w:after="0" w:before="20"/>
        <w:jc w:val="center"/>
      </w:pPr>
      <w:r>
        <w:rPr>
          <w:i/>
          <w:iCs/>
          <w:color w:val="1565C0"/>
          <w:sz w:val="24"/>
          <w:szCs w:val="24"/>
        </w:rPr>
        <w:t xml:space="preserve">базового модуля серии ВМ</w:t>
      </w:r>
    </w:p>
    <w:p>
      <w:pPr>
        <w:spacing w:after="0" w:before="1200"/>
        <w:jc w:val="center"/>
      </w:pPr>
      <w:r>
        <w:rPr>
          <w:color w:val="555E73"/>
          <w:sz w:val="18"/>
          <w:szCs w:val="18"/>
        </w:rPr>
        <w:t xml:space="preserve">Конкуренты: Flender · SEW-Eurodrive · Bosch Rexroth · Bonfiglioli · Brevini/Dana</w:t>
      </w:r>
    </w:p>
    <w:p>
      <w:pPr>
        <w:spacing w:after="0" w:before="600"/>
        <w:jc w:val="center"/>
      </w:pPr>
      <w:r>
        <w:rPr>
          <w:i/>
          <w:iCs/>
          <w:color w:val="555E73"/>
          <w:sz w:val="16"/>
          <w:szCs w:val="16"/>
        </w:rPr>
        <w:t xml:space="preserve">Конфиденциально · Подготовлено для внутреннего использования</w:t>
      </w:r>
    </w:p>
    <w:p>
      <w:pPr>
        <w:spacing w:after="0" w:before="40"/>
        <w:jc w:val="center"/>
      </w:pPr>
      <w:r>
        <w:rPr>
          <w:color w:val="555E73"/>
          <w:sz w:val="16"/>
          <w:szCs w:val="16"/>
        </w:rPr>
        <w:t xml:space="preserve">Июнь 2026</w:t>
      </w:r>
    </w:p>
    <w:p>
      <w:r>
        <w:br w:type="page"/>
      </w:r>
    </w:p>
    <w:p>
      <w:pPr>
        <w:pStyle w:val="Heading1"/>
        <w:spacing w:after="20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Резюме для руководства</w:t>
      </w:r>
    </w:p>
    <w:p>
      <w:pPr>
        <w:spacing w:after="120" w:line="276"/>
      </w:pPr>
      <w:r>
        <w:rPr>
          <w:b/>
          <w:bCs/>
        </w:rPr>
        <w:t xml:space="preserve">Цель документа. </w:t>
      </w:r>
      <w:r>
        <w:t xml:space="preserve">Сформировать рыночно-техническое обоснование для технического задания (ТЗ) на разработку базового модуля редуктора серии ВМ на основе эксцентрико-циклоидального (ЭЦ) зацепления. Документ систематизирует типоразмерные ряды и технические параметры пяти ключевых мировых производителей, определяет рыночные ниши и спрос по странам и отраслям, а также выявляет незанятые сегменты — «окна возможностей» для продукта ВМ.</w:t>
      </w:r>
    </w:p>
    <w:p>
      <w:pPr>
        <w:spacing w:after="120" w:line="276"/>
      </w:pPr>
      <w:r>
        <w:rPr>
          <w:b/>
          <w:bCs/>
        </w:rPr>
        <w:t xml:space="preserve">Объём рынка. </w:t>
      </w:r>
      <w:r>
        <w:t xml:space="preserve">Мировой рынок промышленных редукторов оценивается в </w:t>
      </w:r>
      <w:r>
        <w:rPr>
          <w:b/>
          <w:bCs/>
        </w:rPr>
        <w:t xml:space="preserve">31,7–33 млрд долл. США в 2026 году</w:t>
      </w:r>
      <w:r>
        <w:t xml:space="preserve"> с прогнозом роста до 38–46 млрд долл. к 2031–2033 гг. при среднегодовом темпе роста (CAGR) </w:t>
      </w:r>
      <w:r>
        <w:rPr>
          <w:b/>
          <w:bCs/>
        </w:rPr>
        <w:t xml:space="preserve">4,0–4,8%</w:t>
      </w:r>
      <w:r>
        <w:t xml:space="preserve">. Лидирует Азиатско-Тихоокеанский регион — около </w:t>
      </w:r>
      <w:r>
        <w:rPr>
          <w:b/>
          <w:bCs/>
        </w:rPr>
        <w:t xml:space="preserve">40–44% мировой выручки</w:t>
      </w:r>
      <w:r>
        <w:t xml:space="preserve">. Наиболее быстрорастущие сегменты: энергетика и ветроэнергетика (CAGR до 4,9%) и планетарные редукторы (CAGR 4,7%), что напрямую релевантно позиционированию ВМ.</w:t>
      </w:r>
    </w:p>
    <w:p>
      <w:pPr>
        <w:spacing w:after="120" w:line="276"/>
      </w:pPr>
      <w:r>
        <w:rPr>
          <w:b/>
          <w:bCs/>
        </w:rPr>
        <w:t xml:space="preserve">Ключевой вывод. </w:t>
      </w:r>
      <w:r>
        <w:t xml:space="preserve">Ни один из пяти проанализированных производителей в классе момента ~100 кН·м не предлагает решения с входной скоростью 7 000 об/мин. Конкуренты делятся на два лагеря: промышленные редукторы (Flender, SEW) с входом 1 500–4 500 об/мин и мобильно-гидравлические приводы (Bosch Rexroth, Bonfiglioli, частично Brevini) с приводом от гидромоторов на средних оборотах. Сочетание «высокий момент + высокая входная скорость + минимальная удельная масса» остаётся незакрытой нишей, которую и должен занять базовый модуль ВМ.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rPr>
          <w:tblHeader/>
        </w:trPr>
        <w:tc>
          <w:tcPr>
            <w:tcW w:type="dxa" w:w="31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Параметр рынка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Значение 2026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Динамика / прогноз</w:t>
            </w:r>
          </w:p>
        </w:tc>
      </w:tr>
      <w:tr>
        <w:tc>
          <w:tcPr>
            <w:tcW w:type="dxa" w:w="31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Объём мирового рынка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31,7–33 млрд USD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→ 38–46 млрд к 2031–2033</w:t>
            </w:r>
          </w:p>
        </w:tc>
      </w:tr>
      <w:tr>
        <w:tc>
          <w:tcPr>
            <w:tcW w:type="dxa" w:w="31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CAGR (2026–2033)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4,0–4,8%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устойчивый рост</w:t>
            </w:r>
          </w:p>
        </w:tc>
      </w:tr>
      <w:tr>
        <w:tc>
          <w:tcPr>
            <w:tcW w:type="dxa" w:w="31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Доля Asia-Pacific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40–44%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CAGR 4,7% — лидер</w:t>
            </w:r>
          </w:p>
        </w:tc>
      </w:tr>
      <w:tr>
        <w:tc>
          <w:tcPr>
            <w:tcW w:type="dxa" w:w="31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Самый быстрый сегмент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Энергетика/ВЭУ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CAGR 4,9%</w:t>
            </w:r>
          </w:p>
        </w:tc>
      </w:tr>
      <w:tr>
        <w:tc>
          <w:tcPr>
            <w:tcW w:type="dxa" w:w="31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Планетарные редукторы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CAGR 4,7%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робототехника, прецизионные станки</w:t>
            </w:r>
          </w:p>
        </w:tc>
      </w:tr>
      <w:tr>
        <w:tc>
          <w:tcPr>
            <w:tcW w:type="dxa" w:w="31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Окно для ВМ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 xml:space="preserve">100 кН·м @ 7 000 об/мин</w:t>
            </w:r>
          </w:p>
        </w:tc>
        <w:tc>
          <w:tcPr>
            <w:tcW w:type="dxa" w:w="313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нет у конкурентов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i/>
          <w:iCs/>
        </w:rPr>
        <w:t xml:space="preserve">Примечание об источниках. </w:t>
      </w:r>
      <w:r>
        <w:rPr>
          <w:i/>
          <w:iCs/>
          <w:color w:val="555E73"/>
          <w:sz w:val="18"/>
          <w:szCs w:val="18"/>
        </w:rPr>
        <w:t xml:space="preserve">Все количественные данные собраны из открытых источников (официальные сайты производителей, опубликованные обзоры рынка, технические бюллетени). Документ носит аналитический характер и не воспроизводит закрытую конструкторскую документацию конкурентов. Точные значения параметров подлежат верификации по актуальным каталогам перед финализацией ТЗ.</w:t>
      </w:r>
    </w:p>
    <w:p>
      <w:r>
        <w:br w:type="page"/>
      </w:r>
    </w:p>
    <w:p>
      <w:pPr>
        <w:pStyle w:val="Heading1"/>
      </w:pPr>
      <w:r>
        <w:t xml:space="preserve">2. Обзор мирового рынка промышленных редукторов</w:t>
      </w:r>
    </w:p>
    <w:p>
      <w:pPr>
        <w:pStyle w:val="Heading2"/>
      </w:pPr>
      <w:r>
        <w:t xml:space="preserve">2.1. Объём, динамика и структура</w:t>
      </w:r>
    </w:p>
    <w:p>
      <w:pPr>
        <w:spacing w:after="120" w:line="276"/>
      </w:pPr>
      <w:r>
        <w:t xml:space="preserve">По консолидированным данным ведущих аналитических агентств (Mordor Intelligence, Grand View Research, Maximize Market Research, SNS Insider, Precedence Research), объём мирового рынка промышленных редукторов в 2026 году составляет </w:t>
      </w:r>
      <w:r>
        <w:rPr>
          <w:b/>
          <w:bCs/>
        </w:rPr>
        <w:t xml:space="preserve">31,7–33 млрд долл. США</w:t>
      </w:r>
      <w:r>
        <w:t xml:space="preserve">. Расхождение оценок связано с различиями в методологии (включение/исключение мотор-редукторов и автомобильных трансмиссий). Консенсус-прогноз — рост до </w:t>
      </w:r>
      <w:r>
        <w:rPr>
          <w:b/>
          <w:bCs/>
        </w:rPr>
        <w:t xml:space="preserve">38–46 млрд долл. к 2031–2033 гг.</w:t>
      </w:r>
      <w:r>
        <w:t xml:space="preserve"> при CAGR </w:t>
      </w:r>
      <w:r>
        <w:rPr>
          <w:b/>
          <w:bCs/>
        </w:rPr>
        <w:t xml:space="preserve">4,0–4,8%</w:t>
      </w:r>
      <w:r>
        <w:t xml:space="preserve">.</w:t>
      </w:r>
    </w:p>
    <w:p>
      <w:pPr>
        <w:spacing w:after="120" w:line="276"/>
      </w:pPr>
      <w:r>
        <w:t xml:space="preserve">Основные драйверы спроса: промышленная автоматизация (мировые инвестиции в автоматизацию достигли 215 млрд долл. в 2024 г.), развитие возобновляемой энергетики, рост горнодобычи и инфраструктурного строительства, а также цифровизация (превращение редукторов в «интеллектуальные узлы» с датчиками вибрации, температуры и нагрузки, что снижает внеплановые простои на 20–25%).</w:t>
      </w:r>
    </w:p>
    <w:p>
      <w:pPr>
        <w:pStyle w:val="Heading2"/>
      </w:pPr>
      <w:r>
        <w:t xml:space="preserve">2.2. Региональная структура спроса</w:t>
      </w:r>
    </w:p>
    <w:p>
      <w:pPr>
        <w:spacing w:after="120" w:line="276"/>
      </w:pPr>
      <w:r>
        <w:t xml:space="preserve">Распределение мирового спроса по регионам в 2025–2026 гг. показывает устойчивое доминирование Азиатско-Тихоокеанского региона: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Регион</w:t>
            </w:r>
          </w:p>
        </w:tc>
        <w:tc>
          <w:tcPr>
            <w:tcW w:type="dxa" w:w="1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Доля рынка</w:t>
            </w:r>
          </w:p>
        </w:tc>
        <w:tc>
          <w:tcPr>
            <w:tcW w:type="dxa" w:w="5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Характеристика спроса</w:t>
            </w:r>
          </w:p>
        </w:tc>
      </w:tr>
      <w:tr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Азиатско-Тихоокеанский</w:t>
            </w:r>
          </w:p>
        </w:tc>
        <w:tc>
          <w:tcPr>
            <w:tcW w:type="dxa" w:w="1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40–44%</w:t>
            </w:r>
          </w:p>
        </w:tc>
        <w:tc>
          <w:tcPr>
            <w:tcW w:type="dxa" w:w="5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Лидер. Китай, Индия, Япония, Корея. Быстрая индустриализация, обрабатывающая промышленность, инфраструктура. CAGR 4,7%.</w:t>
            </w:r>
          </w:p>
        </w:tc>
      </w:tr>
      <w:tr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Северная Америка</w:t>
            </w:r>
          </w:p>
        </w:tc>
        <w:tc>
          <w:tcPr>
            <w:tcW w:type="dxa" w:w="1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~40% (по части оценок)</w:t>
            </w:r>
          </w:p>
        </w:tc>
        <w:tc>
          <w:tcPr>
            <w:tcW w:type="dxa" w:w="5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Развитая обрабатывающая промышленность, энергетика, высокий спрос на энергоэффективные решения. CAGR 4,8%.</w:t>
            </w:r>
          </w:p>
        </w:tc>
      </w:tr>
      <w:tr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Европа</w:t>
            </w:r>
          </w:p>
        </w:tc>
        <w:tc>
          <w:tcPr>
            <w:tcW w:type="dxa" w:w="1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Высокая</w:t>
            </w:r>
          </w:p>
        </w:tc>
        <w:tc>
          <w:tcPr>
            <w:tcW w:type="dxa" w:w="5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Возобновляемая энергетика, промышленная автоматизация, прецизионное производство.</w:t>
            </w:r>
          </w:p>
        </w:tc>
      </w:tr>
      <w:tr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Ближний Восток и Африка</w:t>
            </w:r>
          </w:p>
        </w:tc>
        <w:tc>
          <w:tcPr>
            <w:tcW w:type="dxa" w:w="1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Растущая</w:t>
            </w:r>
          </w:p>
        </w:tc>
        <w:tc>
          <w:tcPr>
            <w:tcW w:type="dxa" w:w="5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Нефтегаз, инфраструктура, опреснение, портовое хозяйство.</w:t>
            </w:r>
          </w:p>
        </w:tc>
      </w:tr>
      <w:tr>
        <w:tc>
          <w:tcPr>
            <w:tcW w:type="dxa" w:w="2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Латинская Америка</w:t>
            </w:r>
          </w:p>
        </w:tc>
        <w:tc>
          <w:tcPr>
            <w:tcW w:type="dxa" w:w="1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Растущая</w:t>
            </w:r>
          </w:p>
        </w:tc>
        <w:tc>
          <w:tcPr>
            <w:tcW w:type="dxa" w:w="52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Горнодобыча, нефтегаз, агропереработка, офсетные программы.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Вывод для ВМ: </w:t>
      </w:r>
      <w:r>
        <w:t xml:space="preserve">целевые экспортные рынки ВМ (Asia-Pacific, Ближний Восток, Латинская Америка) совпадают с зонами наибольшего и наиболее быстрорастущего спроса. Это подтверждает рыночную обоснованность разработки.</w:t>
      </w:r>
    </w:p>
    <w:p>
      <w:pPr>
        <w:pStyle w:val="Heading2"/>
      </w:pPr>
      <w:r>
        <w:t xml:space="preserve">2.3. Структура по типам передач</w:t>
      </w:r>
    </w:p>
    <w:p>
      <w:pPr>
        <w:spacing w:after="120" w:line="276"/>
      </w:pPr>
      <w:r>
        <w:t xml:space="preserve">В структуре рынка по типам передач цилиндрические (helical) редукторы удерживают около </w:t>
      </w:r>
      <w:r>
        <w:rPr>
          <w:b/>
          <w:bCs/>
        </w:rPr>
        <w:t xml:space="preserve">36,9%</w:t>
      </w:r>
      <w:r>
        <w:t xml:space="preserve"> выручки благодаря плавности, КПД и нагрузочной способности. Однако </w:t>
      </w:r>
      <w:r>
        <w:rPr>
          <w:b/>
          <w:bCs/>
        </w:rPr>
        <w:t xml:space="preserve">планетарные редукторы — самый быстрорастущий сегмент</w:t>
      </w:r>
      <w:r>
        <w:t xml:space="preserve"> (CAGR 4,7%), что обусловлено спросом со стороны робототехники, прецизионных станков и компактных высокомоментных приводов. ЭЦ-зацепление ВМ конкурирует именно с планетарным сегментом по соотношению «момент/масса/габарит», но добавляет уникальное преимущество по входной скорости.</w:t>
      </w:r>
    </w:p>
    <w:p>
      <w:r>
        <w:br w:type="page"/>
      </w:r>
    </w:p>
    <w:p>
      <w:pPr>
        <w:pStyle w:val="Heading1"/>
      </w:pPr>
      <w:r>
        <w:t xml:space="preserve">3. Анализ конкурентов: типоразмерные ряды и технические параметры</w:t>
      </w:r>
    </w:p>
    <w:p>
      <w:pPr>
        <w:spacing w:after="120" w:line="276"/>
      </w:pPr>
      <w:r>
        <w:t xml:space="preserve">В разделе систематизированы продуктовые портфели пяти мировых лидеров. Для каждого приведены серии, диапазоны моментов и передаточных отношений, конструктивный тип и рыночное позиционирование.</w:t>
      </w:r>
    </w:p>
    <w:p>
      <w:pPr>
        <w:pStyle w:val="Heading2"/>
      </w:pPr>
      <w:r>
        <w:t xml:space="preserve">3.1. Flender (Siemens) — Германия</w:t>
      </w:r>
    </w:p>
    <w:p>
      <w:pPr>
        <w:spacing w:after="120" w:line="276"/>
      </w:pPr>
      <w:r>
        <w:t xml:space="preserve">Крупнейший в мире производитель промышленных редукторов с самым широким модельным рядом. Портфель охватывает практически все отрасли тяжёлой промышленности.</w:t>
      </w:r>
    </w:p>
    <w:p>
      <w:pPr>
        <w:spacing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350"/>
        <w:gridCol w:w="1600"/>
        <w:gridCol w:w="2660"/>
      </w:tblGrid>
      <w:tr>
        <w:trPr>
          <w:tblHeader/>
        </w:trP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Серия</w:t>
            </w:r>
          </w:p>
        </w:tc>
        <w:tc>
          <w:tcPr>
            <w:tcW w:type="dxa" w:w="23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Момент, Н·м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Кол-во типоразм.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Применение / отношения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Helical / bevel-helical</w:t>
            </w:r>
          </w:p>
        </w:tc>
        <w:tc>
          <w:tcPr>
            <w:tcW w:type="dxa" w:w="23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3 300 – 1 400 000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28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Универсальный ряд, i = 1,25–450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FLENDER SIP (планетарн.)</w:t>
            </w:r>
          </w:p>
        </w:tc>
        <w:tc>
          <w:tcPr>
            <w:tcW w:type="dxa" w:w="23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10 000 – 80 000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8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6 отношений, 5 исполнений вала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PLANUREX / DP (планетарн.)</w:t>
            </w:r>
          </w:p>
        </w:tc>
        <w:tc>
          <w:tcPr>
            <w:tcW w:type="dxa" w:w="23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117 000 – 2 600 000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22–27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Горное, цемент, краны; i до 4 000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CHG (подъём/изменение вылета)</w:t>
            </w:r>
          </w:p>
        </w:tc>
        <w:tc>
          <w:tcPr>
            <w:tcW w:type="dxa" w:w="23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10 000 – 1 400 000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Краны контейнерные, мостовые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FLENDER ONE (платформа)</w:t>
            </w:r>
          </w:p>
        </w:tc>
        <w:tc>
          <w:tcPr>
            <w:tcW w:type="dxa" w:w="23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одно/многоступ.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100+ применений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Новая универсальная платформа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Полный модульный ряд</w:t>
            </w:r>
          </w:p>
        </w:tc>
        <w:tc>
          <w:tcPr>
            <w:tcW w:type="dxa" w:w="23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 xml:space="preserve">3 300 – 5 450 000</w:t>
            </w:r>
          </w:p>
        </w:tc>
        <w:tc>
          <w:tcPr>
            <w:tcW w:type="dxa" w:w="1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B45"/>
                <w:sz w:val="17"/>
                <w:szCs w:val="17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B45"/>
                <w:sz w:val="17"/>
                <w:szCs w:val="17"/>
              </w:rPr>
              <w:t xml:space="preserve">Самый широкий в мире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Позиционирование: </w:t>
      </w:r>
      <w:r>
        <w:t xml:space="preserve">эталон премиум-сегмента, максимальная широта ряда, короткие сроки поставки за счёт модульности (в обычных условиях). Слабые места для рынков РФ/СНГ и санкционных зон — недоступность прямых поставок, отсутствие кастомизации вне каталога.</w:t>
      </w:r>
    </w:p>
    <w:p>
      <w:pPr>
        <w:pStyle w:val="Heading2"/>
      </w:pPr>
      <w:r>
        <w:t xml:space="preserve">3.2. SEW-Eurodrive — Германия</w:t>
      </w:r>
    </w:p>
    <w:p>
      <w:pPr>
        <w:spacing w:after="120" w:line="276"/>
      </w:pPr>
      <w:r>
        <w:t xml:space="preserve">Второй по широте ряда мировой производитель, известный модульной концепцией и сильной линейкой серворешений.</w:t>
      </w:r>
    </w:p>
    <w:p>
      <w:pPr>
        <w:spacing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1500"/>
        <w:gridCol w:w="2560"/>
      </w:tblGrid>
      <w:tr>
        <w:trPr>
          <w:tblHeader/>
        </w:trP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Серия</w:t>
            </w:r>
          </w:p>
        </w:tc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Момент</w:t>
            </w:r>
          </w:p>
        </w:tc>
        <w:tc>
          <w:tcPr>
            <w:tcW w:type="dxa" w:w="1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Отношения i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Особенности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Планетарные (общий ряд)</w:t>
            </w:r>
          </w:p>
        </w:tc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2,3 – 9 000 кН·м</w:t>
            </w:r>
          </w:p>
        </w:tc>
        <w:tc>
          <w:tcPr>
            <w:tcW w:type="dxa" w:w="1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61 – 10 700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масса до 75 000 кг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X (helical/bevel)</w:t>
            </w:r>
          </w:p>
        </w:tc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0,5 – 1 603 кН·м</w:t>
            </w:r>
          </w:p>
        </w:tc>
        <w:tc>
          <w:tcPr>
            <w:tcW w:type="dxa" w:w="1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 – 450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масса до 24 000 кг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P (планетарные)</w:t>
            </w:r>
          </w:p>
        </w:tc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24,8 – 124 кН·м</w:t>
            </w:r>
          </w:p>
        </w:tc>
        <w:tc>
          <w:tcPr>
            <w:tcW w:type="dxa" w:w="1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15,2 – 332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компактные, встроенный вентилятор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P-X</w:t>
            </w:r>
          </w:p>
        </w:tc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25 – 631 кН·м</w:t>
            </w:r>
          </w:p>
        </w:tc>
        <w:tc>
          <w:tcPr>
            <w:tcW w:type="dxa" w:w="1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100 – 4 000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гибрид planetary+helical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XP (высокомоментные)</w:t>
            </w:r>
          </w:p>
        </w:tc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600 – 5 200 кН·м</w:t>
            </w:r>
          </w:p>
        </w:tc>
        <w:tc>
          <w:tcPr>
            <w:tcW w:type="dxa" w:w="1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22 – 3 600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13 типоразм., stand-alone</w:t>
            </w:r>
          </w:p>
        </w:tc>
      </w:tr>
      <w:tr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MGS (bulk handling)</w:t>
            </w:r>
          </w:p>
        </w:tc>
        <w:tc>
          <w:tcPr>
            <w:tcW w:type="dxa" w:w="25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100 – 500 кН·м</w:t>
            </w:r>
          </w:p>
        </w:tc>
        <w:tc>
          <w:tcPr>
            <w:tcW w:type="dxa" w:w="1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160 – 560</w:t>
            </w:r>
          </w:p>
        </w:tc>
        <w:tc>
          <w:tcPr>
            <w:tcW w:type="dxa" w:w="2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для сыпучих материалов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Позиционирование: </w:t>
      </w:r>
      <w:r>
        <w:t xml:space="preserve">лидер модульности и интеграции с сервоприводами. Класс 100 кН·м закрывается сериями P-X, MGS и нижней частью XP — но во всех случаях вход ограничен скоростями промышленных электродвигателей (до ~3 000–4 500 об/мин).</w:t>
      </w:r>
    </w:p>
    <w:p>
      <w:pPr>
        <w:pStyle w:val="Heading2"/>
      </w:pPr>
      <w:r>
        <w:t xml:space="preserve">3.3. Bosch Rexroth — Германия</w:t>
      </w:r>
    </w:p>
    <w:p>
      <w:pPr>
        <w:spacing w:after="120" w:line="276"/>
      </w:pPr>
      <w:r>
        <w:t xml:space="preserve">Специализируется на приводах для мобильной гидравлики: ходовые, поворотные и лебёдочные приводы для строительной, дорожной и спецтехники. Привод преимущественно от гидромоторов.</w:t>
      </w:r>
    </w:p>
    <w:p>
      <w:pPr>
        <w:spacing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3860"/>
      </w:tblGrid>
      <w:tr>
        <w:trPr>
          <w:tblHeader/>
        </w:trP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Серия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Момент, Н·м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Применение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GFT 8000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7 000 – 130 000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Ходовые приводы гусеничной/колёсной техники, 2–3 ступени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GFT Large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160 000 – 620 000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Тяжёлые ходовые приводы, 3–4 ступени, &gt; 130 кН·м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eGFT (eLION)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электропривод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Электрифицированные приводы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MOBILEX GFT-W (лебёдки)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усилие 50 – 595 кН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Лебёдки кранов, судовые, контейнерные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Позиционирование: </w:t>
      </w:r>
      <w:r>
        <w:t xml:space="preserve">доминирует в мобильной гидравлике. Класс 100+ кН·м закрывается GFT Large, но это решения под гидропривод, не под высокооборотный электродвигатель. Прямая замена GFT — одна из ниш ВМ в нефтегазе (буровые СВП).</w:t>
      </w:r>
    </w:p>
    <w:p>
      <w:pPr>
        <w:pStyle w:val="Heading2"/>
      </w:pPr>
      <w:r>
        <w:t xml:space="preserve">3.4. Bonfiglioli — Италия</w:t>
      </w:r>
    </w:p>
    <w:p>
      <w:pPr>
        <w:spacing w:after="120" w:line="276"/>
      </w:pPr>
      <w:r>
        <w:t xml:space="preserve">Сильные позиции в мобильных и «severe-duty» применениях с ударными нагрузками.</w:t>
      </w:r>
    </w:p>
    <w:p>
      <w:pPr>
        <w:spacing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3860"/>
      </w:tblGrid>
      <w:tr>
        <w:trPr>
          <w:tblHeader/>
        </w:trP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Серия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Момент, Н·м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Применение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300 Series (mobile)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1 000 – 1 100 000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20 типоразмеров, ударные нагрузки, ходовые/поворотные приводы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HDP / 300M (industrial)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высокомоментн.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Биомиксеры, агитаторы, сепараторы, шредеры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Slewing drives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Краны судовые, портовые, манипуляторы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Позиционирование: </w:t>
      </w:r>
      <w:r>
        <w:t xml:space="preserve">конёк — стойкость к ударным нагрузкам и компактность для мобильной техники. 20 типоразмеров 300-й серии дают тонкую градацию. Вход — преимущественно гидромоторы и фланцевые электродвигатели на средних оборотах.</w:t>
      </w:r>
    </w:p>
    <w:p>
      <w:pPr>
        <w:pStyle w:val="Heading2"/>
      </w:pPr>
      <w:r>
        <w:t xml:space="preserve">3.5. Brevini / Dana — Италия / США</w:t>
      </w:r>
    </w:p>
    <w:p>
      <w:pPr>
        <w:spacing w:after="120" w:line="276"/>
      </w:pPr>
      <w:r>
        <w:t xml:space="preserve">Эпициклические (планетарные) редукторы с сильной морской сертификацией (DNV). Объединение с Dana усилило глобальное присутствие.</w:t>
      </w:r>
    </w:p>
    <w:p>
      <w:pPr>
        <w:spacing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3860"/>
      </w:tblGrid>
      <w:tr>
        <w:trPr>
          <w:tblHeader/>
        </w:trP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Серия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Момент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Применение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S-Series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ном. 16 – 2 170 кН·м; макс. 75 – 5 170 кН·м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13 типоразм. Порты, миксеры, экструдеры, мельницы, ЦБК, металлургия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S-Series High Power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до ~2 000 000 Н·м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+ коническо-цилиндрическая ступень</w:t>
            </w:r>
          </w:p>
        </w:tc>
      </w:tr>
      <w:tr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Slewing Drives</w:t>
            </w:r>
          </w:p>
        </w:tc>
        <w:tc>
          <w:tcPr>
            <w:tcW w:type="dxa" w:w="26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3 400 – 100 000 Н·м</w:t>
            </w:r>
          </w:p>
        </w:tc>
        <w:tc>
          <w:tcPr>
            <w:tcW w:type="dxa" w:w="38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Экскаваторы, башенные/судовые/портовые краны, ВЭУ, рулевые приводы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Позиционирование: </w:t>
      </w:r>
      <w:r>
        <w:t xml:space="preserve">экономия массы и габарита 40–60% против цилиндрических решений, морская сертификация DNV — сильное преимущество в судостроении. Прямой конкурент ВМ по соотношению «момент/масса», но без преимущества по входной скорости и с ограничением доступности (параллельный импорт для РФ).</w:t>
      </w:r>
    </w:p>
    <w:p>
      <w:pPr>
        <w:pStyle w:val="Heading1"/>
      </w:pPr>
      <w:r>
        <w:t xml:space="preserve">4. Сводное сравнение и позиционирование ВМ</w:t>
      </w:r>
    </w:p>
    <w:p>
      <w:pPr>
        <w:pStyle w:val="Heading2"/>
      </w:pPr>
      <w:r>
        <w:t xml:space="preserve">4.1. Сводная таблица диапазонов</w:t>
      </w:r>
    </w:p>
    <w:p>
      <w:pPr>
        <w:spacing w:after="120" w:line="276"/>
      </w:pPr>
      <w:r>
        <w:t xml:space="preserve">Консолидация продуктовых рядов всех пяти производителей в сравнении с целевым позиционированием базового модуля ВМ:</w:t>
      </w:r>
    </w:p>
    <w:p>
      <w:pPr>
        <w:spacing w:after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700"/>
        <w:gridCol w:w="1850"/>
        <w:gridCol w:w="2160"/>
      </w:tblGrid>
      <w:tr>
        <w:trPr>
          <w:tblHeader/>
        </w:trPr>
        <w:tc>
          <w:tcPr>
            <w:tcW w:type="dxa" w:w="21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Производитель</w:t>
            </w:r>
          </w:p>
        </w:tc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Диапазон момента</w:t>
            </w:r>
          </w:p>
        </w:tc>
        <w:tc>
          <w:tcPr>
            <w:tcW w:type="dxa" w:w="18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Вх. скорость*</w:t>
            </w:r>
          </w:p>
        </w:tc>
        <w:tc>
          <w:tcPr>
            <w:tcW w:type="dxa" w:w="2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Тип передачи</w:t>
            </w:r>
          </w:p>
        </w:tc>
      </w:tr>
      <w:tr>
        <w:tc>
          <w:tcPr>
            <w:tcW w:type="dxa" w:w="21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Flender</w:t>
            </w:r>
          </w:p>
        </w:tc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3,3 кН·м – 5 450 кН·м</w:t>
            </w:r>
          </w:p>
        </w:tc>
        <w:tc>
          <w:tcPr>
            <w:tcW w:type="dxa" w:w="18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до ~4 500 об/мин</w:t>
            </w:r>
          </w:p>
        </w:tc>
        <w:tc>
          <w:tcPr>
            <w:tcW w:type="dxa" w:w="2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Helical / планетарная</w:t>
            </w:r>
          </w:p>
        </w:tc>
      </w:tr>
      <w:tr>
        <w:tc>
          <w:tcPr>
            <w:tcW w:type="dxa" w:w="21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SEW-Eurodrive</w:t>
            </w:r>
          </w:p>
        </w:tc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0,5 кН·м – 9 000 кН·м</w:t>
            </w:r>
          </w:p>
        </w:tc>
        <w:tc>
          <w:tcPr>
            <w:tcW w:type="dxa" w:w="18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до ~4 500 об/мин</w:t>
            </w:r>
          </w:p>
        </w:tc>
        <w:tc>
          <w:tcPr>
            <w:tcW w:type="dxa" w:w="2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Helical / планетарная</w:t>
            </w:r>
          </w:p>
        </w:tc>
      </w:tr>
      <w:tr>
        <w:tc>
          <w:tcPr>
            <w:tcW w:type="dxa" w:w="21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Bosch Rexroth</w:t>
            </w:r>
          </w:p>
        </w:tc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7 кН·м – 620 кН·м</w:t>
            </w:r>
          </w:p>
        </w:tc>
        <w:tc>
          <w:tcPr>
            <w:tcW w:type="dxa" w:w="18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гидропривод</w:t>
            </w:r>
          </w:p>
        </w:tc>
        <w:tc>
          <w:tcPr>
            <w:tcW w:type="dxa" w:w="2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Планетарная (мобильн.)</w:t>
            </w:r>
          </w:p>
        </w:tc>
      </w:tr>
      <w:tr>
        <w:tc>
          <w:tcPr>
            <w:tcW w:type="dxa" w:w="21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Bonfiglioli</w:t>
            </w:r>
          </w:p>
        </w:tc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 кН·м – 1 100 кН·м</w:t>
            </w:r>
          </w:p>
        </w:tc>
        <w:tc>
          <w:tcPr>
            <w:tcW w:type="dxa" w:w="18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средние об/мин</w:t>
            </w:r>
          </w:p>
        </w:tc>
        <w:tc>
          <w:tcPr>
            <w:tcW w:type="dxa" w:w="2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Планетарная (mobile)</w:t>
            </w:r>
          </w:p>
        </w:tc>
      </w:tr>
      <w:tr>
        <w:tc>
          <w:tcPr>
            <w:tcW w:type="dxa" w:w="21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Brevini / Dana</w:t>
            </w:r>
          </w:p>
        </w:tc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16 кН·м – 5 170 кН·м</w:t>
            </w:r>
          </w:p>
        </w:tc>
        <w:tc>
          <w:tcPr>
            <w:tcW w:type="dxa" w:w="18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средние об/мин</w:t>
            </w:r>
          </w:p>
        </w:tc>
        <w:tc>
          <w:tcPr>
            <w:tcW w:type="dxa" w:w="2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Планетарная (эпицикл.)</w:t>
            </w:r>
          </w:p>
        </w:tc>
      </w:tr>
      <w:tr>
        <w:tc>
          <w:tcPr>
            <w:tcW w:type="dxa" w:w="21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ВМ (ExCentro)</w:t>
            </w:r>
          </w:p>
        </w:tc>
        <w:tc>
          <w:tcPr>
            <w:tcW w:type="dxa" w:w="27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 xml:space="preserve">50 – 200+ кН·м (базовый 100)</w:t>
            </w:r>
          </w:p>
        </w:tc>
        <w:tc>
          <w:tcPr>
            <w:tcW w:type="dxa" w:w="18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7 000 об/мин</w:t>
            </w:r>
          </w:p>
        </w:tc>
        <w:tc>
          <w:tcPr>
            <w:tcW w:type="dxa" w:w="21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 xml:space="preserve">ЭЦ-зацепление</w:t>
            </w:r>
          </w:p>
        </w:tc>
      </w:tr>
    </w:tbl>
    <w:p>
      <w:pPr>
        <w:spacing w:after="120" w:before="60"/>
      </w:pPr>
      <w:r>
        <w:rPr>
          <w:i/>
          <w:iCs/>
          <w:color w:val="555E73"/>
          <w:sz w:val="16"/>
          <w:szCs w:val="16"/>
        </w:rPr>
        <w:t xml:space="preserve">* В классе момента ~100 кН·м. Указаны типовые предельные входные скорости для данного класса, а не абсолютные максимумы лёгких серий.</w:t>
      </w:r>
    </w:p>
    <w:p>
      <w:pPr>
        <w:pStyle w:val="Heading2"/>
      </w:pPr>
      <w:r>
        <w:t xml:space="preserve">4.2. Карта незанятых ниш — «окна» для ВМ</w:t>
      </w:r>
    </w:p>
    <w:p>
      <w:pPr>
        <w:spacing w:after="120" w:line="276"/>
      </w:pPr>
      <w:r>
        <w:t xml:space="preserve">Сопоставление продуктовых рядов выявляет четыре системных пробела, формирующих рыночное окно для базового модуля ВМ: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Высокая входная скорость при высоком моменте. </w:t>
      </w:r>
      <w:r>
        <w:t xml:space="preserve">Ни один конкурент в классе 100 кН·м не предлагает вход 7 000 об/мин. Промышленные серии (Flender, SEW) ограничены скоростью электродвигателей, мобильные (Bosch Rexroth, Bonfiglioli) — гидроприводом. ЭЦ-зацепление позволяет ВМ работать с компактными высокооборотными ВЧ-двигателями.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Минимальная удельная масса. </w:t>
      </w:r>
      <w:r>
        <w:t xml:space="preserve">Лучшие планетарные решения (Brevini, SEW XP) дают экономию массы 40–60% против цилиндрических. ВМ с удельной массой 0,0035 кг/Н·м нацелен на верхнюю границу этого диапазона при большей входной скорости.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Поддержка зацепления Новикова. </w:t>
      </w:r>
      <w:r>
        <w:t xml:space="preserve">Отсутствует во всех основных коммерческих CAD-инструментах (KISSsoft, GWJ, Romax, Dassault) и в продуктовых платформах конкурентов. Сильнейший аргумент новизны для патентной защиты и платформы ExCentro.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Глубокая кастомизация через цифровую платформу. </w:t>
      </w:r>
      <w:r>
        <w:t xml:space="preserve">Flender и SEW предлагают только каталожные серии; кастомизация Bonfiglioli и Brevini ограничена. Платформа ExCentro обеспечивает параметрическую адаптацию под ТЗ заказчика (присоединительные размеры, отношения, момент, уплотнения) без изменения ядра конструкции.</w:t>
      </w:r>
    </w:p>
    <w:p>
      <w:r>
        <w:br w:type="page"/>
      </w:r>
    </w:p>
    <w:p>
      <w:pPr>
        <w:pStyle w:val="Heading1"/>
      </w:pPr>
      <w:r>
        <w:t xml:space="preserve">5. Спрос по отраслям и странам</w:t>
      </w:r>
    </w:p>
    <w:p>
      <w:pPr>
        <w:spacing w:after="120" w:line="276"/>
      </w:pPr>
      <w:r>
        <w:t xml:space="preserve">Раздел соотносит отрасли применения базового модуля ВМ с географией спроса и потенциальными заказчиками. Приоритизация выполнена с учётом размера рынка, темпов роста и доступности ниши для нового поставщика.</w:t>
      </w:r>
    </w:p>
    <w:p>
      <w:pPr>
        <w:spacing w:after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500"/>
        <w:gridCol w:w="2750"/>
        <w:gridCol w:w="1560"/>
      </w:tblGrid>
      <w:tr>
        <w:trPr>
          <w:tblHeader/>
        </w:trPr>
        <w:tc>
          <w:tcPr>
            <w:tcW w:type="dxa" w:w="20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Отрасль</w:t>
            </w:r>
          </w:p>
        </w:tc>
        <w:tc>
          <w:tcPr>
            <w:tcW w:type="dxa" w:w="2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Оборудование</w:t>
            </w:r>
          </w:p>
        </w:tc>
        <w:tc>
          <w:tcPr>
            <w:tcW w:type="dxa" w:w="27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География спроса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Приоритет</w:t>
            </w:r>
          </w:p>
        </w:tc>
      </w:tr>
      <w:tr>
        <w:tc>
          <w:tcPr>
            <w:tcW w:type="dxa" w:w="20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Нефтегаз и химия</w:t>
            </w:r>
          </w:p>
        </w:tc>
        <w:tc>
          <w:tcPr>
            <w:tcW w:type="dxa" w:w="2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Буровые СВП, насосы, лебёдки, экструдеры</w:t>
            </w:r>
          </w:p>
        </w:tc>
        <w:tc>
          <w:tcPr>
            <w:tcW w:type="dxa" w:w="27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Ближний Восток, РФ, Латам, Азия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20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Горнодобыча</w:t>
            </w:r>
          </w:p>
        </w:tc>
        <w:tc>
          <w:tcPr>
            <w:tcW w:type="dxa" w:w="2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Экскаваторы, конвейеры, мельницы, дробилки</w:t>
            </w:r>
          </w:p>
        </w:tc>
        <w:tc>
          <w:tcPr>
            <w:tcW w:type="dxa" w:w="27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Азия, Латам, Африка, РФ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Очень высокий</w:t>
            </w:r>
          </w:p>
        </w:tc>
      </w:tr>
      <w:tr>
        <w:tc>
          <w:tcPr>
            <w:tcW w:type="dxa" w:w="20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Судостроение / порты</w:t>
            </w:r>
          </w:p>
        </w:tc>
        <w:tc>
          <w:tcPr>
            <w:tcW w:type="dxa" w:w="2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Лебёдки, краны, подруливающие устройства</w:t>
            </w:r>
          </w:p>
        </w:tc>
        <w:tc>
          <w:tcPr>
            <w:tcW w:type="dxa" w:w="27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Азия, Европа, Ближний Восток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20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Энергетика / ВЭУ</w:t>
            </w:r>
          </w:p>
        </w:tc>
        <w:tc>
          <w:tcPr>
            <w:tcW w:type="dxa" w:w="2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Мельницы ТЭЦ, приводы АЭС, ветроустановки</w:t>
            </w:r>
          </w:p>
        </w:tc>
        <w:tc>
          <w:tcPr>
            <w:tcW w:type="dxa" w:w="27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Глобально (CAGR 4,9%)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20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Станкостроение</w:t>
            </w:r>
          </w:p>
        </w:tc>
        <w:tc>
          <w:tcPr>
            <w:tcW w:type="dxa" w:w="2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Шпиндельные приводы, обрабатывающие центры</w:t>
            </w:r>
          </w:p>
        </w:tc>
        <w:tc>
          <w:tcPr>
            <w:tcW w:type="dxa" w:w="27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Азия, Европа, РФ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Средне-высокий</w:t>
            </w:r>
          </w:p>
        </w:tc>
      </w:tr>
      <w:tr>
        <w:tc>
          <w:tcPr>
            <w:tcW w:type="dxa" w:w="20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Инфраструктура / ЖКХ</w:t>
            </w:r>
          </w:p>
        </w:tc>
        <w:tc>
          <w:tcPr>
            <w:tcW w:type="dxa" w:w="25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Эскалаторы, очистные, водоканалы</w:t>
            </w:r>
          </w:p>
        </w:tc>
        <w:tc>
          <w:tcPr>
            <w:tcW w:type="dxa" w:w="275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Глобально, региональные офсеты</w:t>
            </w:r>
          </w:p>
        </w:tc>
        <w:tc>
          <w:tcPr>
            <w:tcW w:type="dxa" w:w="15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Средний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5.1. Приоритетные страны и логика выхода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Азиатско-Тихоокеанский регион (Китай, Индия, Юго-Восточная Азия). </w:t>
      </w:r>
      <w:r>
        <w:t xml:space="preserve">40–44% мирового спроса, самый быстрый рост. Точка входа — горнодобыча и нефтехимия, где ценится соотношение «момент/масса» и независимость от западных поставщиков.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Ближний Восток (ОАЭ, Саудовская Аравия, Кувейт, Малайзия). </w:t>
      </w:r>
      <w:r>
        <w:t xml:space="preserve">Крупные EPC-проекты в нефтегазе, требование диверсификации поставщиков. Прямая замена Bosch Rexroth GFT и Flender на буровых.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Латинская Америка (Мексика, Бразилия, Колумбия, Чили). </w:t>
      </w:r>
      <w:r>
        <w:t xml:space="preserve">Горнодобыча и нефтегаз, требования локального содержания и офсетные контракты (PEMEX, Petrobras, Ecopetrol). Растущий рынок с низкой представленностью западных премиум-брендов из-за цены.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Россия и ЕАЭС. </w:t>
      </w:r>
      <w:r>
        <w:t xml:space="preserve">Импортозамещение премиум-сегмента (Flender, SEW, Bosch Rexroth недоступны напрямую). Офсетные контракты 223-ФЗ / 44-ФЗ. Базовый рынок для отработки продукта и референсов.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Африка. </w:t>
      </w:r>
      <w:r>
        <w:t xml:space="preserve">Горнодобыча, инфраструктура, портовое хозяйство. Долгосрочный рынок с растущим спросом и слабой привязкой к конкретному поставщику.</w:t>
      </w:r>
    </w:p>
    <w:p>
      <w:r>
        <w:br w:type="page"/>
      </w:r>
    </w:p>
    <w:p>
      <w:pPr>
        <w:pStyle w:val="Heading1"/>
      </w:pPr>
      <w:r>
        <w:t xml:space="preserve">6. Выводы и требования к базовому модулю ВМ (вход в ТЗ)</w:t>
      </w:r>
    </w:p>
    <w:p>
      <w:pPr>
        <w:spacing w:after="120" w:line="276"/>
      </w:pPr>
      <w:r>
        <w:t xml:space="preserve">На основе проведённого анализа сформулированы целевые требования к базовому модулю ВМ, которые должны лечь в основу технического задания на разработку.</w:t>
      </w:r>
    </w:p>
    <w:p>
      <w:pPr>
        <w:pStyle w:val="Heading2"/>
      </w:pPr>
      <w:r>
        <w:t xml:space="preserve">6.1. Целевые технические параметры базового модуля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2660"/>
      </w:tblGrid>
      <w:tr>
        <w:trPr>
          <w:tblHeader/>
        </w:trP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Целевое значение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Обоснование (рыночное окно)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Номинальный выходной момент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100 кН·м (базовый)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Самый ёмкий сегмент тяжёлого класса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Максимальный момент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140 кН·м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Запас под пиковые нагрузки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Масштабируемость ряда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50 – 200+ кН·м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Покрытие смежных типоразмеров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Максимальная входная скорость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7 000 об/мин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Уникальное окно — нет у конкурентов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Передаточное отношение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U = 20 – 80+ (база 50)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Одна ступень вместо двух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Удельная масса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≤ 0,0035 кг/Н·м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Верхняя граница лучших планетарных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КПД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93–95%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На уровне планетарных решений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Ресурс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≥ 10 000 ч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F4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Выше типовых 8 000 ч у аналогов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Класс защиты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IP65+ / ATEX / морское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222B45"/>
                <w:sz w:val="17"/>
                <w:szCs w:val="17"/>
              </w:rPr>
              <w:t xml:space="preserve">Требования нефтегаза и судостроения</w:t>
            </w:r>
          </w:p>
        </w:tc>
      </w:tr>
      <w:tr>
        <w:tc>
          <w:tcPr>
            <w:tcW w:type="dxa" w:w="34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B45"/>
                <w:sz w:val="17"/>
                <w:szCs w:val="17"/>
              </w:rPr>
              <w:t xml:space="preserve">Зацепление Новикова</w:t>
            </w:r>
          </w:p>
        </w:tc>
        <w:tc>
          <w:tcPr>
            <w:tcW w:type="dxa" w:w="290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565C0"/>
                <w:sz w:val="17"/>
                <w:szCs w:val="17"/>
              </w:rPr>
              <w:t xml:space="preserve">поддержка в платформе</w:t>
            </w:r>
          </w:p>
        </w:tc>
        <w:tc>
          <w:tcPr>
            <w:tcW w:type="dxa" w:w="2660"/>
            <w:tcBorders>
              <w:top w:val="single" w:color="C5CEE0" w:sz="1"/>
              <w:left w:val="single" w:color="C5CEE0" w:sz="1"/>
              <w:bottom w:val="single" w:color="C5CEE0" w:sz="1"/>
              <w:right w:val="single" w:color="C5CEE0" w:sz="1"/>
            </w:tcBorders>
            <w:shd w:fill="E9F2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B45"/>
                <w:sz w:val="17"/>
                <w:szCs w:val="17"/>
              </w:rPr>
              <w:t xml:space="preserve">уникальная новизна для патента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6.2. Требования к продуктовой архитектуре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Модульность ряда. </w:t>
      </w:r>
      <w:r>
        <w:t xml:space="preserve">Базовый модуль должен быть ядром масштабируемой серии (по образцу 13–28 типоразмеров у конкурентов), а не единичным изделием. Минимальная стартовая линейка — 3–5 типоразмеров вокруг 100 кН·м.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Параметрическая кастомизация. </w:t>
      </w:r>
      <w:r>
        <w:t xml:space="preserve">Платформа ExCentro должна обеспечивать адаптацию присоединительных размеров, передаточных отношений, момента и уплотнений под ТЗ заказчика без переработки ядра — это закрывает нишу, где Flender/SEW дают только каталог.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Совместимость интерфейсов. </w:t>
      </w:r>
      <w:r>
        <w:t xml:space="preserve">Возможность прямой замены Bosch Rexroth GFT и Flender по присоединительным размерам — ключ к нефтегазовым и крановым применениям.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Сертификация. </w:t>
      </w:r>
      <w:r>
        <w:t xml:space="preserve">Морская сертификация (аналог DNV) как условие выхода в судостроение; ATEX — для нефтегаза и химии.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Защита ИС. </w:t>
      </w:r>
      <w:r>
        <w:t xml:space="preserve">Ядро ЭЦ-зацепления и поддержка передачи Новикова — выносятся в патентную защиту (Роспатент + PCT). Публичные деплои платформы не содержат расчётного ядра ЭЦ.</w:t>
      </w:r>
    </w:p>
    <w:p>
      <w:pPr>
        <w:pStyle w:val="Heading2"/>
      </w:pPr>
      <w:r>
        <w:t xml:space="preserve">6.3. Резюме рыночного обоснования</w:t>
      </w:r>
    </w:p>
    <w:p>
      <w:pPr>
        <w:spacing w:after="120" w:line="276"/>
      </w:pPr>
      <w:r>
        <w:t xml:space="preserve">Базовый модуль ВМ адресует растущий (</w:t>
      </w:r>
      <w:r>
        <w:rPr>
          <w:b/>
          <w:bCs/>
        </w:rPr>
        <w:t xml:space="preserve">CAGR 4–4,9%</w:t>
      </w:r>
      <w:r>
        <w:t xml:space="preserve">), ёмкий (</w:t>
      </w:r>
      <w:r>
        <w:rPr>
          <w:b/>
          <w:bCs/>
        </w:rPr>
        <w:t xml:space="preserve">31–46 млрд долл.</w:t>
      </w:r>
      <w:r>
        <w:t xml:space="preserve">) и географически благоприятный рынок. Продукт занимает незакрытую конкурентами нишу по сочетанию входной скорости, удельной массы и кастомизации, усиленную уникальной поддержкой зацепления Новикова. Целевые рынки (Asia-Pacific, Ближний Восток, Латам, ЕАЭС) совпадают с зонами наибольшего спроса и пониженной доступности западных премиум-брендов. Совокупность факторов формирует обоснованную базу для запуска разработки базового модуля ВМ.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Следующий шаг: </w:t>
      </w:r>
      <w:r>
        <w:t xml:space="preserve">на основе раздела 6 настоящего документа сформировать детальное техническое задание (ТЗ) с конкретными конструктивными, расчётными и испытательными требованиями, верифицировав целевые параметры по актуальным каталогам конкурентов.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EE0" w:sz="4" w:space="4"/>
      </w:pBdr>
      <w:jc w:val="center"/>
    </w:pPr>
    <w:r>
      <w:rPr>
        <w:color w:val="555E73"/>
        <w:sz w:val="15"/>
        <w:szCs w:val="15"/>
      </w:rPr>
      <w:t xml:space="preserve">Конфиденциально · info@rusmashgroup.ru · </w:t>
    </w:r>
    <w:r>
      <w:rPr>
        <w:color w:val="555E73"/>
        <w:sz w:val="15"/>
        <w:szCs w:val="15"/>
      </w:rPr>
      <w:t xml:space="preserve">с.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EE0" w:sz="4" w:space="4"/>
      </w:pBdr>
      <w:tabs>
        <w:tab w:val="right" w:pos="9840"/>
      </w:tabs>
    </w:pPr>
    <w:r>
      <w:rPr>
        <w:b/>
        <w:bCs/>
        <w:color w:val="555E73"/>
        <w:sz w:val="16"/>
        <w:szCs w:val="16"/>
      </w:rPr>
      <w:t xml:space="preserve">ExCentro · РУСМАШ</w:t>
    </w:r>
    <w:r>
      <w:rPr>
        <w:color w:val="555E73"/>
        <w:sz w:val="16"/>
        <w:szCs w:val="16"/>
      </w:rPr>
      <w:t xml:space="preserve">	Анализ рынка · обоснование ТЗ на базовый модуль ВМ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4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6" w:space="6"/>
      </w:pBdr>
      <w:spacing w:after="160" w:before="28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565C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B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мирового рынка тяжёлых промышленных редукторов</dc:title>
  <dc:creator>ExCentro · РУСМАШ</dc:creator>
  <cp:lastModifiedBy>Un-named</cp:lastModifiedBy>
  <cp:revision>1</cp:revision>
  <dcterms:created xsi:type="dcterms:W3CDTF">2026-06-14T06:51:16.347Z</dcterms:created>
  <dcterms:modified xsi:type="dcterms:W3CDTF">2026-06-14T06:51:16.348Z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