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120" w:before="480"/>
        <w:jc w:val="center"/>
      </w:pPr>
      <w:r>
        <w:rPr>
          <w:rFonts w:ascii="Arial" w:cs="Arial" w:eastAsia="Arial" w:hAnsi="Arial"/>
          <w:b/>
          <w:bCs/>
          <w:caps/>
          <w:color w:val="2E5497"/>
          <w:sz w:val="20"/>
          <w:szCs w:val="20"/>
        </w:rPr>
        <w:t xml:space="preserve">RESEARCH PROPOSAL</w:t>
      </w:r>
    </w:p>
    <w:p>
      <w:pPr>
        <w:pBdr>
          <w:bottom w:val="single" w:color="2E5497" w:sz="4"/>
        </w:pBdr>
        <w:spacing w:after="280" w:before="0"/>
        <w:jc w:val="center"/>
      </w:pPr>
    </w:p>
    <w:p>
      <w:pPr>
        <w:spacing w:after="200" w:before="280"/>
        <w:jc w:val="center"/>
      </w:pPr>
      <w:r>
        <w:rPr>
          <w:rFonts w:ascii="Arial" w:cs="Arial" w:eastAsia="Arial" w:hAnsi="Arial"/>
          <w:b/>
          <w:bCs/>
          <w:color w:val="1F3864"/>
          <w:sz w:val="32"/>
          <w:szCs w:val="32"/>
        </w:rPr>
        <w:t xml:space="preserve">A Heterogeneous Capacitated Vehicle Routing Model for Multi-Terminal Fuel Distribution with Flexible Route Endpoints, Load-Dependent Costs, and Terminal Throughput Constraints</w:t>
      </w:r>
    </w:p>
    <w:p>
      <w:pPr>
        <w:spacing w:after="400" w:before="80"/>
        <w:jc w:val="center"/>
      </w:pPr>
      <w:r>
        <w:rPr>
          <w:rFonts w:ascii="Arial" w:cs="Arial" w:eastAsia="Arial" w:hAnsi="Arial"/>
          <w:i/>
          <w:iCs/>
          <w:color w:val="555555"/>
          <w:sz w:val="22"/>
          <w:szCs w:val="22"/>
        </w:rPr>
        <w:t xml:space="preserve">Operations Research · Supply Chain Optimisation · Mathematical Programming</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60"/>
              <w:left w:type="dxa" w:w="0"/>
              <w:bottom w:type="dxa" w:w="60"/>
              <w:right w:type="dxa" w:w="120"/>
            </w:tcMar>
          </w:tcPr>
          <w:p>
            <w:pPr>
              <w:spacing w:after="60" w:before="0"/>
            </w:pPr>
            <w:r>
              <w:rPr>
                <w:rFonts w:ascii="Arial" w:cs="Arial" w:eastAsia="Arial" w:hAnsi="Arial"/>
                <w:color w:val="888888"/>
                <w:sz w:val="18"/>
                <w:szCs w:val="18"/>
              </w:rPr>
              <w:t xml:space="preserve">Prepared by</w:t>
            </w:r>
          </w:p>
          <w:p>
            <w:pPr>
              <w:spacing w:after="60" w:before="0"/>
            </w:pPr>
            <w:r>
              <w:rPr>
                <w:rFonts w:ascii="Arial" w:cs="Arial" w:eastAsia="Arial" w:hAnsi="Arial"/>
                <w:b/>
                <w:bCs/>
                <w:sz w:val="22"/>
                <w:szCs w:val="22"/>
              </w:rPr>
              <w:t xml:space="preserve">[Author Name]</w:t>
            </w:r>
          </w:p>
          <w:p>
            <w:pPr>
              <w:spacing w:after="60" w:before="0"/>
            </w:pPr>
            <w:r>
              <w:rPr>
                <w:rFonts w:ascii="Arial" w:cs="Arial" w:eastAsia="Arial" w:hAnsi="Arial"/>
                <w:color w:val="555555"/>
                <w:sz w:val="20"/>
                <w:szCs w:val="20"/>
              </w:rPr>
              <w:t xml:space="preserve">[Department / Institution]</w:t>
            </w:r>
          </w:p>
        </w:tc>
        <w:tc>
          <w:tcPr>
            <w:tcW w:type="dxa" w:w="4680"/>
            <w:tcBorders>
              <w:top w:val="none"/>
              <w:left w:val="none"/>
              <w:bottom w:val="none"/>
              <w:right w:val="none"/>
            </w:tcBorders>
            <w:tcMar>
              <w:top w:type="dxa" w:w="60"/>
              <w:left w:type="dxa" w:w="120"/>
              <w:bottom w:type="dxa" w:w="60"/>
              <w:right w:type="dxa" w:w="0"/>
            </w:tcMar>
          </w:tcPr>
          <w:p>
            <w:pPr>
              <w:spacing w:after="60" w:before="0"/>
            </w:pPr>
            <w:r>
              <w:rPr>
                <w:rFonts w:ascii="Arial" w:cs="Arial" w:eastAsia="Arial" w:hAnsi="Arial"/>
                <w:color w:val="888888"/>
                <w:sz w:val="18"/>
                <w:szCs w:val="18"/>
              </w:rPr>
              <w:t xml:space="preserve">Date</w:t>
            </w:r>
          </w:p>
          <w:p>
            <w:pPr>
              <w:spacing w:after="60" w:before="0"/>
            </w:pPr>
            <w:r>
              <w:rPr>
                <w:rFonts w:ascii="Arial" w:cs="Arial" w:eastAsia="Arial" w:hAnsi="Arial"/>
                <w:b/>
                <w:bCs/>
                <w:sz w:val="22"/>
                <w:szCs w:val="22"/>
              </w:rPr>
              <w:t xml:space="preserve">June 2026</w:t>
            </w:r>
          </w:p>
          <w:p>
            <w:pPr>
              <w:spacing w:after="60" w:before="0"/>
            </w:pPr>
            <w:r>
              <w:rPr>
                <w:rFonts w:ascii="Arial" w:cs="Arial" w:eastAsia="Arial" w:hAnsi="Arial"/>
                <w:color w:val="555555"/>
                <w:sz w:val="20"/>
                <w:szCs w:val="20"/>
              </w:rPr>
              <w:t xml:space="preserve">Version 1.0 — Draft</w:t>
            </w:r>
          </w:p>
        </w:tc>
      </w:tr>
    </w:tbl>
    <w:p>
      <w:r>
        <w:br w:type="page"/>
      </w:r>
    </w:p>
    <w:p>
      <w:pPr>
        <w:pStyle w:val="Heading1"/>
        <w:spacing w:after="160" w:before="320"/>
      </w:pPr>
      <w:r>
        <w:rPr>
          <w:rFonts w:ascii="Arial" w:cs="Arial" w:eastAsia="Arial" w:hAnsi="Arial"/>
          <w:b/>
          <w:bCs/>
          <w:color w:val="1F3864"/>
          <w:sz w:val="28"/>
          <w:szCs w:val="28"/>
        </w:rPr>
        <w:t xml:space="preserve">1. Introduction</w:t>
      </w:r>
    </w:p>
    <w:p>
      <w:pPr>
        <w:pBdr>
          <w:bottom w:val="single" w:color="2E5497" w:sz="4"/>
        </w:pBdr>
        <w:spacing w:after="120" w:before="120"/>
      </w:pP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1.1 Problem Statement</w:t>
      </w:r>
    </w:p>
    <w:p>
      <w:pPr>
        <w:spacing w:after="80" w:before="80" w:line="276"/>
        <w:jc w:val="both"/>
      </w:pPr>
      <w:r>
        <w:rPr>
          <w:rFonts w:ascii="Arial" w:cs="Arial" w:eastAsia="Arial" w:hAnsi="Arial"/>
          <w:sz w:val="22"/>
          <w:szCs w:val="22"/>
        </w:rPr>
        <w:t xml:space="preserve">The distribution of liquid petroleum products — petrol, diesel, aviation fuel, and heating oil — represents one of the most logistically demanding sectors in modern supply chains. Unlike general-purpose freight, petroleum distribution is governed by simultaneous constraints that rarely co-occur in other domains: fuel types must be isolated in dedicated compartments to prevent cross-contamination; vehicles must visit intermediary loading terminals before serving customers; the same terminal network serves both as reload stations mid-route and as optional overnight rest-points; and customer demand can be split across multiple vehicles, compartments, or days. Compounding this complexity, the fleet is typically heterogeneous — tanker trucks differ in capacity, the number and volume of compartments, speed, maintenance cost, and the driver cost rate, all of which make vehicle assignment a decision variable in its own right.</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sz w:val="22"/>
          <w:szCs w:val="22"/>
        </w:rPr>
        <w:t xml:space="preserve">Existing optimisation models for petroleum distribution either collapse the fleet into a homogeneous proxy, fix route endpoints to a single depot, or treat fuel consumption as a flat cost per kilometre independent of vehicle load. Each of these simplifications introduces systematic bias into the optimal solution: a load-independent cost function underestimates per-kilometre expense for heavily loaded vehicles and overestimates it for lightly loaded ones; fixed depot endpoints ignore the operational reality that a vehicle finishing a long route may profitably overnight at an eligible terminal rather than returning to the home depot; and a homogeneous fleet representation cannot capture the maintenance-cost differentials that make it cheaper to dispatch a smaller truck on a short urban run and a larger truck on a long inter-city haul.</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sz w:val="22"/>
          <w:szCs w:val="22"/>
        </w:rPr>
        <w:t xml:space="preserve">This proposal presents a research programme to formulate, analyse, and validate a Heterogeneous Capacitated Vehicle Routing Problem (HCVRP) model specifically designed for multi-product, multi-terminal petroleum distribution. The model departs from the existing literature in four principal ways: (i) route endpoints are decision variables that may be either a depot or an eligible terminal, independently on the start and end side; (ii) a load-dependent quadratic cost term replaces the linear cost per kilometre to reflect the physical reality that heavier vehicles consume more fuel; (iii) terminal throughput constraints — monthly caps on the volume that may be offloaded at each terminal — are embedded as hard constraints rather than treated as background parameters; and (iv) shortest-path routing along the road network replaces the straight-line (Euclidean) arc distance assumption that pervades the VRP literature, ensuring that arc costs reflect actual travel time and distance.</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1.2 Research Context and Motivation</w:t>
      </w:r>
    </w:p>
    <w:p>
      <w:pPr>
        <w:spacing w:after="80" w:before="80" w:line="276"/>
        <w:jc w:val="both"/>
      </w:pPr>
      <w:r>
        <w:rPr>
          <w:rFonts w:ascii="Arial" w:cs="Arial" w:eastAsia="Arial" w:hAnsi="Arial"/>
          <w:sz w:val="22"/>
          <w:szCs w:val="22"/>
        </w:rPr>
        <w:t xml:space="preserve">In the petroleum distribution industry, transport activities typically account for between 40% and 60% of total operating costs (AMCS, 2023). With fuel prices volatile and margins tight, even a modest 5% improvement in route efficiency translates directly into significant annual savings. Commercial planning systems such as AMCS Fuel Planner demonstrate that route optimisation software can reduce operational costs by 5–15%, increase delivered volume per driven kilometre by a similar margin, and cut planning time by 25–50% (AMCS, 2023). These reported gains, however, are premised on proprietary heuristics whose theoretical foundations are not disclosed. A rigorous mathematical programming model — one that can provide provably optimal or near-optimal solutions for benchmark instances — is needed both to validate the magnitude of these gains and to identify the structural features of the problem that drive them.</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sz w:val="22"/>
          <w:szCs w:val="22"/>
        </w:rPr>
        <w:t xml:space="preserve">The academic literature on petroleum VRP has grown steadily since Cornillier et al. (2008) formalised the Fuel Replenishment Problem (FRP), but several structurally important features remain underexplored. First, the multi-terminal, flexible-endpoint topology — where the same physical terminal can be a mid-route reload point for one vehicle and an overnight endpoint for another — has not been jointly modelled with heterogeneous fleets. Second, the interaction between terminal monthly throughput limits and daily routing decisions has not been incorporated into an exact MILP formulation. Third, load-dependent cost functions in the VRP literature (Kara et al., 2007; Xiao et al., 2012) have focused on general freight and have not been extended to the multi-compartment, multi-product setting. This proposal addresses all three gaps in a single unified model.</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1.3 Research Gap</w:t>
      </w:r>
    </w:p>
    <w:p>
      <w:pPr>
        <w:spacing w:after="80" w:before="80" w:line="276"/>
        <w:jc w:val="both"/>
      </w:pPr>
      <w:r>
        <w:rPr>
          <w:rFonts w:ascii="Arial" w:cs="Arial" w:eastAsia="Arial" w:hAnsi="Arial"/>
          <w:sz w:val="22"/>
          <w:szCs w:val="22"/>
        </w:rPr>
        <w:t xml:space="preserve">A systematic review of the literature on petroleum logistics optimisation reveals the following specific gaps that this research addresses:</w:t>
      </w:r>
    </w:p>
    <w:p>
      <w:pPr>
        <w:spacing w:after="40" w:before="40"/>
      </w:pPr>
      <w:r>
        <w:rPr>
          <w:rFonts w:ascii="Arial" w:cs="Arial" w:eastAsia="Arial" w:hAnsi="Arial"/>
          <w:sz w:val="22"/>
          <w:szCs w:val="22"/>
        </w:rPr>
        <w:t xml:space="preserve"/>
      </w:r>
    </w:p>
    <w:p>
      <w:pPr>
        <w:pStyle w:val="ListParagraph"/>
        <w:numPr>
          <w:ilvl w:val="0"/>
          <w:numId w:val="2"/>
        </w:numPr>
        <w:spacing w:after="60" w:before="60" w:line="276"/>
      </w:pPr>
      <w:r>
        <w:rPr>
          <w:rFonts w:ascii="Arial" w:cs="Arial" w:eastAsia="Arial" w:hAnsi="Arial"/>
          <w:sz w:val="22"/>
          <w:szCs w:val="22"/>
        </w:rPr>
        <w:t xml:space="preserve">Flexible endpoint modelling: the overwhelming majority of VRP models assume a single fixed depot as both the origin and destination of every route. Studies that allow depot choice (Lopes et al., 2013; Bani et al., 2023) do not simultaneously allow terminal endpoints, and none model the full combinatorial space in which start and end endpoints are independently chosen from the union of depots and eligible terminals.</w:t>
      </w:r>
    </w:p>
    <w:p>
      <w:pPr>
        <w:pStyle w:val="ListParagraph"/>
        <w:numPr>
          <w:ilvl w:val="0"/>
          <w:numId w:val="2"/>
        </w:numPr>
        <w:spacing w:after="60" w:before="60" w:line="276"/>
      </w:pPr>
      <w:r>
        <w:rPr>
          <w:rFonts w:ascii="Arial" w:cs="Arial" w:eastAsia="Arial" w:hAnsi="Arial"/>
          <w:sz w:val="22"/>
          <w:szCs w:val="22"/>
        </w:rPr>
        <w:t xml:space="preserve">Load-dependent quadratic cost in multi-compartment VRP: while load-dependent fuel consumption has been introduced into the standard CVRP (Kara et al., 2007; Xiao et al., 2012), the multi-compartment variant used in petroleum distribution has not been extended to a quadratic cost function in the published literature.</w:t>
      </w:r>
    </w:p>
    <w:p>
      <w:pPr>
        <w:pStyle w:val="ListParagraph"/>
        <w:numPr>
          <w:ilvl w:val="0"/>
          <w:numId w:val="2"/>
        </w:numPr>
        <w:spacing w:after="60" w:before="60" w:line="276"/>
      </w:pPr>
      <w:r>
        <w:rPr>
          <w:rFonts w:ascii="Arial" w:cs="Arial" w:eastAsia="Arial" w:hAnsi="Arial"/>
          <w:sz w:val="22"/>
          <w:szCs w:val="22"/>
        </w:rPr>
        <w:t xml:space="preserve">Terminal throughput constraints: capacity constraints on the volume that a terminal may receive or dispatch per planning period appear in inventory-routing problems (Hsu et al., 2020) but have not been combined with heterogeneous fleet routing and flexible endpoints in a single MILP.</w:t>
      </w:r>
    </w:p>
    <w:p>
      <w:pPr>
        <w:pStyle w:val="ListParagraph"/>
        <w:numPr>
          <w:ilvl w:val="0"/>
          <w:numId w:val="2"/>
        </w:numPr>
        <w:spacing w:after="60" w:before="60" w:line="276"/>
      </w:pPr>
      <w:r>
        <w:rPr>
          <w:rFonts w:ascii="Arial" w:cs="Arial" w:eastAsia="Arial" w:hAnsi="Arial"/>
          <w:sz w:val="22"/>
          <w:szCs w:val="22"/>
        </w:rPr>
        <w:t xml:space="preserve">Shortest-path arc costs: the vast majority of VRP formulations use Euclidean or straight-line distances as arc costs. Incorporating actual road-network shortest paths — computed by Dijkstra’s or A* algorithms — as a pre-processing step before the routing optimisation is rarely done in multi-compartment petroleum routing models.</w:t>
      </w:r>
    </w:p>
    <w:p>
      <w:pPr>
        <w:pStyle w:val="ListParagraph"/>
        <w:numPr>
          <w:ilvl w:val="0"/>
          <w:numId w:val="2"/>
        </w:numPr>
        <w:spacing w:after="60" w:before="60" w:line="276"/>
      </w:pPr>
      <w:r>
        <w:rPr>
          <w:rFonts w:ascii="Arial" w:cs="Arial" w:eastAsia="Arial" w:hAnsi="Arial"/>
          <w:sz w:val="22"/>
          <w:szCs w:val="22"/>
        </w:rPr>
        <w:t xml:space="preserve">Demand forecasting integration: no existing petroleum VRP model formally integrates a demand-forecasting sub-model whose output feeds directly into the routing constraints, creating a two-stage stochastic or rolling-horizon architecture.</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1.4 Research Hypothesis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7" w:sz="2"/>
              <w:left w:val="single" w:color="2E5497" w:sz="6"/>
              <w:bottom w:val="single" w:color="2E5497" w:sz="2"/>
              <w:right w:val="none"/>
            </w:tcBorders>
            <w:shd w:fill="EBF0FA" w:val="clear"/>
            <w:tcMar>
              <w:top w:type="dxa" w:w="100"/>
              <w:left w:type="dxa" w:w="180"/>
              <w:bottom w:type="dxa" w:w="100"/>
              <w:right w:type="dxa" w:w="180"/>
            </w:tcMar>
          </w:tcPr>
          <w:p>
            <w:pPr>
              <w:spacing w:after="60" w:before="0"/>
            </w:pPr>
            <w:r>
              <w:rPr>
                <w:rFonts w:ascii="Arial" w:cs="Arial" w:eastAsia="Arial" w:hAnsi="Arial"/>
                <w:b/>
                <w:bCs/>
                <w:color w:val="1F3864"/>
                <w:sz w:val="20"/>
                <w:szCs w:val="20"/>
              </w:rPr>
              <w:t xml:space="preserve">Primary Hypothesis</w:t>
            </w:r>
          </w:p>
          <w:p>
            <w:pPr>
              <w:spacing w:after="0" w:before="0" w:line="276"/>
              <w:jc w:val="both"/>
            </w:pPr>
            <w:r>
              <w:rPr>
                <w:rFonts w:ascii="Arial" w:cs="Arial" w:eastAsia="Arial" w:hAnsi="Arial"/>
                <w:i/>
                <w:iCs/>
                <w:color w:val="333333"/>
                <w:sz w:val="20"/>
                <w:szCs w:val="20"/>
              </w:rPr>
              <w:t xml:space="preserve">A Mixed-Integer Linear Programming formulation of the HCVRP with flexible route endpoints, MTZ subtour elimination extended to terminal visit-slots, explicit terminal throughput constraints, and a linearised load-dependent cost function will produce solutions that are at least 8% less costly than solutions generated by the same model under the conventional assumptions of fixed-depot endpoints and load-independent costs, when evaluated on real-world petroleum distribution instances with heterogeneous fleets of three or more vehicle types.</w:t>
            </w:r>
          </w:p>
        </w:tc>
      </w:tr>
    </w:tbl>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sz w:val="22"/>
          <w:szCs w:val="22"/>
        </w:rPr>
        <w:t xml:space="preserve">Secondary hypotheses include: (H2) replacing Euclidean arc distances with shortest-path road-network distances will shift the optimal solution structure by re-routing vehicles through fewer but longer road corridors; (H3) introducing terminal monthly throughput caps will increase total route cost by no more than 12% relative to the unconstrained optimum, indicating that terminal capacity is not the binding constraint under typical operating conditions; and (H4) a quadratic load-dependent cost term will cause the model to prefer smaller vehicles for short, densely-packed urban routes and larger vehicles for long inter-city runs, a pattern invisible to linear cost models.</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1.5 Research Objectives</w:t>
      </w:r>
    </w:p>
    <w:p>
      <w:pPr>
        <w:spacing w:after="80" w:before="80" w:line="276"/>
        <w:jc w:val="both"/>
      </w:pPr>
      <w:r>
        <w:rPr>
          <w:rFonts w:ascii="Arial" w:cs="Arial" w:eastAsia="Arial" w:hAnsi="Arial"/>
          <w:sz w:val="22"/>
          <w:szCs w:val="22"/>
        </w:rPr>
        <w:t xml:space="preserve">The primary objective of this research is to develop, analyse, and validate a comprehensive MILP model for multi-terminal, multi-product, heterogeneous-fleet petroleum distribution that captures the full complexity of real-world operational constraints. The specific objectives are:</w:t>
      </w:r>
    </w:p>
    <w:p>
      <w:pPr>
        <w:spacing w:after="40" w:before="40"/>
      </w:pPr>
      <w:r>
        <w:rPr>
          <w:rFonts w:ascii="Arial" w:cs="Arial" w:eastAsia="Arial" w:hAnsi="Arial"/>
          <w:sz w:val="22"/>
          <w:szCs w:val="22"/>
        </w:rPr>
        <w:t xml:space="preserve"/>
      </w:r>
    </w:p>
    <w:p>
      <w:pPr>
        <w:pStyle w:val="ListParagraph"/>
        <w:numPr>
          <w:ilvl w:val="0"/>
          <w:numId w:val="3"/>
        </w:numPr>
        <w:spacing w:after="60" w:before="60" w:line="276"/>
      </w:pPr>
      <w:r>
        <w:rPr>
          <w:rFonts w:ascii="Arial" w:cs="Arial" w:eastAsia="Arial" w:hAnsi="Arial"/>
          <w:sz w:val="22"/>
          <w:szCs w:val="22"/>
        </w:rPr>
        <w:t xml:space="preserve">To formulate a MILP model of the HCVRP with flexible route endpoints (depots or eligible terminals as independent start and end points), multi-product multi-compartment loading, mid-route terminal reloads, split delivery, and time windows.</w:t>
      </w:r>
    </w:p>
    <w:p>
      <w:pPr>
        <w:pStyle w:val="ListParagraph"/>
        <w:numPr>
          <w:ilvl w:val="0"/>
          <w:numId w:val="3"/>
        </w:numPr>
        <w:spacing w:after="60" w:before="60" w:line="276"/>
      </w:pPr>
      <w:r>
        <w:rPr>
          <w:rFonts w:ascii="Arial" w:cs="Arial" w:eastAsia="Arial" w:hAnsi="Arial"/>
          <w:sz w:val="22"/>
          <w:szCs w:val="22"/>
        </w:rPr>
        <w:t xml:space="preserve">To embed a linearised load-dependent cost function into the MILP that approximates the quadratic relationship between vehicle load and fuel consumption cost per kilometre.</w:t>
      </w:r>
    </w:p>
    <w:p>
      <w:pPr>
        <w:pStyle w:val="ListParagraph"/>
        <w:numPr>
          <w:ilvl w:val="0"/>
          <w:numId w:val="3"/>
        </w:numPr>
        <w:spacing w:after="60" w:before="60" w:line="276"/>
      </w:pPr>
      <w:r>
        <w:rPr>
          <w:rFonts w:ascii="Arial" w:cs="Arial" w:eastAsia="Arial" w:hAnsi="Arial"/>
          <w:sz w:val="22"/>
          <w:szCs w:val="22"/>
        </w:rPr>
        <w:t xml:space="preserve">To incorporate terminal throughput constraints that enforce monthly offloading caps as a coupling constraint across daily routing decisions in a rolling-horizon framework.</w:t>
      </w:r>
    </w:p>
    <w:p>
      <w:pPr>
        <w:pStyle w:val="ListParagraph"/>
        <w:numPr>
          <w:ilvl w:val="0"/>
          <w:numId w:val="3"/>
        </w:numPr>
        <w:spacing w:after="60" w:before="60" w:line="276"/>
      </w:pPr>
      <w:r>
        <w:rPr>
          <w:rFonts w:ascii="Arial" w:cs="Arial" w:eastAsia="Arial" w:hAnsi="Arial"/>
          <w:sz w:val="22"/>
          <w:szCs w:val="22"/>
        </w:rPr>
        <w:t xml:space="preserve">To integrate real road-network shortest-path arc costs as pre-computed parameters, replacing straight-line distances.</w:t>
      </w:r>
    </w:p>
    <w:p>
      <w:pPr>
        <w:pStyle w:val="ListParagraph"/>
        <w:numPr>
          <w:ilvl w:val="0"/>
          <w:numId w:val="3"/>
        </w:numPr>
        <w:spacing w:after="60" w:before="60" w:line="276"/>
      </w:pPr>
      <w:r>
        <w:rPr>
          <w:rFonts w:ascii="Arial" w:cs="Arial" w:eastAsia="Arial" w:hAnsi="Arial"/>
          <w:sz w:val="22"/>
          <w:szCs w:val="22"/>
        </w:rPr>
        <w:t xml:space="preserve">To validate the model on historical delivery data from a petroleum distribution operator and compare solution quality against commercial planning software benchmarks.</w:t>
      </w:r>
    </w:p>
    <w:p>
      <w:pPr>
        <w:pStyle w:val="ListParagraph"/>
        <w:numPr>
          <w:ilvl w:val="0"/>
          <w:numId w:val="3"/>
        </w:numPr>
        <w:spacing w:after="60" w:before="60" w:line="276"/>
      </w:pPr>
      <w:r>
        <w:rPr>
          <w:rFonts w:ascii="Arial" w:cs="Arial" w:eastAsia="Arial" w:hAnsi="Arial"/>
          <w:sz w:val="22"/>
          <w:szCs w:val="22"/>
        </w:rPr>
        <w:t xml:space="preserve">To explore future extensions including demand forecasting integration, stochastic demand scenarios, and cross-contamination compartment adjacency constraints.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pStyle w:val="Heading1"/>
        <w:spacing w:after="160" w:before="320"/>
      </w:pPr>
      <w:r>
        <w:rPr>
          <w:rFonts w:ascii="Arial" w:cs="Arial" w:eastAsia="Arial" w:hAnsi="Arial"/>
          <w:b/>
          <w:bCs/>
          <w:color w:val="1F3864"/>
          <w:sz w:val="28"/>
          <w:szCs w:val="28"/>
        </w:rPr>
        <w:t xml:space="preserve">2. Literature Review</w:t>
      </w:r>
    </w:p>
    <w:p>
      <w:pPr>
        <w:pBdr>
          <w:bottom w:val="single" w:color="2E5497" w:sz="4"/>
        </w:pBdr>
        <w:spacing w:after="120" w:before="120"/>
      </w:pP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2.1 The Vehicle Routing Problem and Its Variants</w:t>
      </w:r>
    </w:p>
    <w:p>
      <w:pPr>
        <w:spacing w:after="80" w:before="80" w:line="276"/>
        <w:jc w:val="both"/>
      </w:pPr>
      <w:r>
        <w:rPr>
          <w:rFonts w:ascii="Arial" w:cs="Arial" w:eastAsia="Arial" w:hAnsi="Arial"/>
          <w:sz w:val="22"/>
          <w:szCs w:val="22"/>
        </w:rPr>
        <w:t xml:space="preserve">The Vehicle Routing Problem (VRP), introduced by Dantzig and Ramser (1959) and formalised by Clarke and Wright (1964), asks for a minimum-cost set of routes that service a set of customers from a central depot using a fleet of vehicles subject to capacity constraints. The problem is NP-hard, and a rich taxonomy of variants has accumulated over six decades of research. The survey by Konstantakopoulos et al. (2022) classifies over 200 VRP variants and identifies heterogeneous fleet problems, multi-depot problems, split delivery problems, and time-window problems as the four most practically significant extensions. The Heterogeneous Fleet VRP (HFVRP), introduced by Golden et al. (1984), extends the standard VRP by allowing vehicles of different capacities and costs; the survey by Irnich et al. (2014) reviews exact and heuristic methods. A 2023 MILP study on the heterogeneous fleet multi-compartment VRP for a Greek petroleum distributor with 19 petrol stations demonstrated that exact MILP solutions are achievable for real-world instances of moderate size, and reported route cost reductions of 18% relative to manual planning (Delis et al., 2023).</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2.2 Multi-Compartment VRP in Petroleum Distribution</w:t>
      </w:r>
    </w:p>
    <w:p>
      <w:pPr>
        <w:spacing w:after="80" w:before="80" w:line="276"/>
        <w:jc w:val="both"/>
      </w:pPr>
      <w:r>
        <w:rPr>
          <w:rFonts w:ascii="Arial" w:cs="Arial" w:eastAsia="Arial" w:hAnsi="Arial"/>
          <w:sz w:val="22"/>
          <w:szCs w:val="22"/>
        </w:rPr>
        <w:t xml:space="preserve">The multi-compartment VRP (MCVRP) extends the standard VRP to vehicles with multiple isolated compartments that carry different product types simultaneously. Henke et al. (2015) provide the first systematic MILP formulation for MCVRP with fixed compartment sizes, and Muyldermans and Pang (2010) extend it to variable-size compartments. The Fuel Replenishment Problem (FRP), defined by Cornillier et al. (2008, 2012), is a petroleum-specific MCVRP in which tanker trucks make multiple trips per day, each returning to a single depot for reloading. A significant practical extension — multi-depot, multi-trip, split-delivery FRP with complex loading constraints — was studied by Bani et al. (2023) in a real-world French petroleum operator context, reporting an Adaptive Large Neighbourhood Search (ALNS) heuristic. Hsu et al. (2020) solve a petroleum replenishment and routing problem with variable demands and time windows using branch-and-price, demonstrating that exact methods remain computationally tractable for instances with up to 40 customers and 10 vehicles. The multi-compartment VRP for Indonesian petroleum distribution was solved with a MILP-based branch-and-bound approach by Kusuma et al. (2021), achieving meaningful distance savings over current practices. A two-stage heuristic for stochastic demands in the MCVRP was proposed by recent work (Mendoza et al., 2024 preprint), further extending the frontier of practical applicability.</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sz w:val="22"/>
          <w:szCs w:val="22"/>
        </w:rPr>
        <w:t xml:space="preserve">The present proposal builds on this literature by unifying the flexible-endpoint topology, the load-dependent cost function, and the terminal throughput constraint — three features that have not previously appeared together in the published MCVRP-petroleum literature.</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2.3 Load-Dependent Fuel Consumption Models</w:t>
      </w:r>
    </w:p>
    <w:p>
      <w:pPr>
        <w:spacing w:after="80" w:before="80" w:line="276"/>
        <w:jc w:val="both"/>
      </w:pPr>
      <w:r>
        <w:rPr>
          <w:rFonts w:ascii="Arial" w:cs="Arial" w:eastAsia="Arial" w:hAnsi="Arial"/>
          <w:sz w:val="22"/>
          <w:szCs w:val="22"/>
        </w:rPr>
        <w:t xml:space="preserve">The recognition that fuel consumption depends on vehicle load, not just distance, motivated a stream of VRP models with load-dependent costs. Kara et al. (2007) proposed the first MILP for the load-dependent VRP, minimising a cost function that is linear in the product of load and distance along each arc. Xiao et al. (2012) extended this to the capacitated VRP by modelling fuel consumption rate (FCR) as a linear function of load and integrating it into a modified savings algorithm. The load-dependent vehicle routing problem was further studied by Leggieri and Haouari (2017), who proposed valid inequalities that tighten the LP relaxation, and by recent work on the interaction between route time constraints and load-dependent costs (Tachatamanon et al., 2025). In the context of multi-compartment vehicles, load-dependent costs are more complex because the relevant load at each arc is the aggregate of all compartments, which changes after every loading and delivery event. The linearisation of quadratic load-distance products via standard big-M techniques is well-established (Kara et al., 2007; Bektăş and Laporte, 2011); the present proposal extends this to the multi-compartment setting.</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2.4 Multi-Vehicle, Multi-Factory and Multi-Terminal Models</w:t>
      </w:r>
    </w:p>
    <w:p>
      <w:pPr>
        <w:spacing w:after="80" w:before="80" w:line="276"/>
        <w:jc w:val="both"/>
      </w:pPr>
      <w:r>
        <w:rPr>
          <w:rFonts w:ascii="Arial" w:cs="Arial" w:eastAsia="Arial" w:hAnsi="Arial"/>
          <w:sz w:val="22"/>
          <w:szCs w:val="22"/>
        </w:rPr>
        <w:t xml:space="preserve">Appiah et al. (2020) developed a Mixed-Integer Quadratic Programming (MIQP) model for a Multi-Factory Vehicle-Type Routing Problem (MFVTRP) applied to Coca-Cola distribution in Ghana, demonstrating that heterogeneous fleets achieve a 25% cost reduction relative to single-vehicle fleets. The quadratic structure in their model arises from the product of the number of vehicles and the per-vehicle operational cost, both of which are decision variables. Adjei et al. (2024) extended this framework to a Quadratically Constrained Mixed-Integer Non-Linear Programming (QCMINLP) model for tomato paste intercity distribution in Ghana, incorporating real-time traffic data and achieving a 27.59% reduction in transportation costs. These Ghanaian case studies share the heterogeneous fleet topology of the present proposal but lack the multi-compartment, multi-product, and terminal-reload structures specific to petroleum distribution. Khan and Zhang (2017) applied a MODS heuristic programming model to warehouse distribution cost minimisation, demonstrating the value of systematic warehouse location optimisation, a concern that parallels the terminal selection problem in petroleum routing. Ceder (2011) addressed optimal multi-vehicle type transit timetabling and vehicle scheduling, introducing the deficit function theory and VTSP algorithm that are conceptually related to the fleet assignment sub-problem in the present model.</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2.5 Subtour Elimination and MTZ Constraints</w:t>
      </w:r>
    </w:p>
    <w:p>
      <w:pPr>
        <w:spacing w:after="80" w:before="80" w:line="276"/>
        <w:jc w:val="both"/>
      </w:pPr>
      <w:r>
        <w:rPr>
          <w:rFonts w:ascii="Arial" w:cs="Arial" w:eastAsia="Arial" w:hAnsi="Arial"/>
          <w:sz w:val="22"/>
          <w:szCs w:val="22"/>
        </w:rPr>
        <w:t xml:space="preserve">Miller, Tucker, and Zemlin (1960) introduced the MTZ subtour elimination constraints for the Travelling Salesman Problem, which add O(n) binary position variables and O(n²) linear constraints and remain the most compact exact subtour elimination formulation. Their extension to VRP was formalised by Desrochers and Laporte (1991). For multi-compartment VRP with visit-slot replication (where a terminal can be visited multiple times per route), MTZ must be applied to the replicated node set, not the physical terminal set, to avoid spurious subtour elimination between different visits to the same terminal. This extension is handled in the present model by applying MTZ over the set ℘ of customer nodes and terminal visit-slot nodes, as described in the HCVRP formulation. The bounds on the MTZ position variable u ∈ [1, |℘|] are critical for solver performance, and their omission from the variable domain declaration is a known implementation pitfall (Pataki, 2003).</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pStyle w:val="Heading1"/>
        <w:spacing w:after="160" w:before="320"/>
      </w:pPr>
      <w:r>
        <w:rPr>
          <w:rFonts w:ascii="Arial" w:cs="Arial" w:eastAsia="Arial" w:hAnsi="Arial"/>
          <w:b/>
          <w:bCs/>
          <w:color w:val="1F3864"/>
          <w:sz w:val="28"/>
          <w:szCs w:val="28"/>
        </w:rPr>
        <w:t xml:space="preserve">3. Methodology</w:t>
      </w:r>
    </w:p>
    <w:p>
      <w:pPr>
        <w:pBdr>
          <w:bottom w:val="single" w:color="2E5497" w:sz="4"/>
        </w:pBdr>
        <w:spacing w:after="120" w:before="120"/>
      </w:pP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3.1 Mathematical Framework</w:t>
      </w:r>
    </w:p>
    <w:p>
      <w:pPr>
        <w:spacing w:after="80" w:before="80" w:line="276"/>
        <w:jc w:val="both"/>
      </w:pPr>
      <w:r>
        <w:rPr>
          <w:rFonts w:ascii="Arial" w:cs="Arial" w:eastAsia="Arial" w:hAnsi="Arial"/>
          <w:sz w:val="22"/>
          <w:szCs w:val="22"/>
        </w:rPr>
        <w:t xml:space="preserve">The proposed research follows a mathematical programming methodology. The core model is a Mixed-Integer Linear Program (MILP), achieved by linearising the inherently nonlinear load-dependent cost function through standard big-M auxiliary variable substitution. The model builds on five mathematical ideas drawn from the VRP and mathematical programming literature:</w:t>
      </w:r>
    </w:p>
    <w:p>
      <w:pPr>
        <w:spacing w:after="40" w:before="40"/>
      </w:pPr>
      <w:r>
        <w:rPr>
          <w:rFonts w:ascii="Arial" w:cs="Arial" w:eastAsia="Arial" w:hAnsi="Arial"/>
          <w:sz w:val="22"/>
          <w:szCs w:val="22"/>
        </w:rPr>
        <w:t xml:space="preserve"/>
      </w:r>
    </w:p>
    <w:p>
      <w:pPr>
        <w:pStyle w:val="ListParagraph"/>
        <w:numPr>
          <w:ilvl w:val="0"/>
          <w:numId w:val="2"/>
        </w:numPr>
        <w:spacing w:after="60" w:before="60" w:line="276"/>
      </w:pPr>
      <w:r>
        <w:rPr>
          <w:rFonts w:ascii="Arial" w:cs="Arial" w:eastAsia="Arial" w:hAnsi="Arial"/>
          <w:sz w:val="22"/>
          <w:szCs w:val="22"/>
        </w:rPr>
        <w:t xml:space="preserve">Miller–Tucker–Zemlin (MTZ) subtour elimination: extended to the visit-slot replicated node set, with position variable bounds stated explicitly as 1 ≤ uᵥᵢⱼ ≤ |℘| for computational efficiency.</w:t>
      </w:r>
    </w:p>
    <w:p>
      <w:pPr>
        <w:pStyle w:val="ListParagraph"/>
        <w:numPr>
          <w:ilvl w:val="0"/>
          <w:numId w:val="2"/>
        </w:numPr>
        <w:spacing w:after="60" w:before="60" w:line="276"/>
      </w:pPr>
      <w:r>
        <w:rPr>
          <w:rFonts w:ascii="Arial" w:cs="Arial" w:eastAsia="Arial" w:hAnsi="Arial"/>
          <w:sz w:val="22"/>
          <w:szCs w:val="22"/>
        </w:rPr>
        <w:t xml:space="preserve">Big-M conditional activation: all conditional constraints (load propagation, time propagation, loading gates, the 10-hour duration cap) are rendered linear via big-M inequalities, keeping the model within the MILP class and making it directly solvable by commercial solvers such as Gurobi or CPLEX.</w:t>
      </w:r>
    </w:p>
    <w:p>
      <w:pPr>
        <w:pStyle w:val="ListParagraph"/>
        <w:numPr>
          <w:ilvl w:val="0"/>
          <w:numId w:val="2"/>
        </w:numPr>
        <w:spacing w:after="60" w:before="60" w:line="276"/>
      </w:pPr>
      <w:r>
        <w:rPr>
          <w:rFonts w:ascii="Arial" w:cs="Arial" w:eastAsia="Arial" w:hAnsi="Arial"/>
          <w:sz w:val="22"/>
          <w:szCs w:val="22"/>
        </w:rPr>
        <w:t xml:space="preserve">Load-dependent quadratic cost linearisation: the quadratic term Lcₖᵠᵥᵢⱼ × Distⱼⱼ’ is linearised by introducing an auxiliary continuous variable equal to the product, bounded above and below by big-M constraints that are active only when the arc is used (xᵥᵢⱼⱼ’ = 1). This preserves linearity at the cost of additional variables and constraints but avoids the computational overhead of solving a non-linear program.</w:t>
      </w:r>
    </w:p>
    <w:p>
      <w:pPr>
        <w:pStyle w:val="ListParagraph"/>
        <w:numPr>
          <w:ilvl w:val="0"/>
          <w:numId w:val="2"/>
        </w:numPr>
        <w:spacing w:after="60" w:before="60" w:line="276"/>
      </w:pPr>
      <w:r>
        <w:rPr>
          <w:rFonts w:ascii="Arial" w:cs="Arial" w:eastAsia="Arial" w:hAnsi="Arial"/>
          <w:sz w:val="22"/>
          <w:szCs w:val="22"/>
        </w:rPr>
        <w:t xml:space="preserve">MTZ applied over terminal visit-slots: because a terminal can be visited multiple times per route, the model replicates each terminal into P visit-slot nodes (t, p), p = 1, …, P. MTZ is applied to the set ℘ = C ∪ Ť of customers and visit-slot nodes. A slot-ordering constraint zᵥᵢ₀(t,p) ≤ zᵥᵢ₀(t,p−1) ensures visit-slots are used in sequence, eliminating symmetry.</w:t>
      </w:r>
    </w:p>
    <w:p>
      <w:pPr>
        <w:pStyle w:val="ListParagraph"/>
        <w:numPr>
          <w:ilvl w:val="0"/>
          <w:numId w:val="2"/>
        </w:numPr>
        <w:spacing w:after="60" w:before="60" w:line="276"/>
      </w:pPr>
      <w:r>
        <w:rPr>
          <w:rFonts w:ascii="Arial" w:cs="Arial" w:eastAsia="Arial" w:hAnsi="Arial"/>
          <w:sz w:val="22"/>
          <w:szCs w:val="22"/>
        </w:rPr>
        <w:t xml:space="preserve">Shortest-path pre-processing: before the MILP is solved, Dijkstra’s algorithm is applied to the road network graph to compute all-pairs shortest-path distances Distⱼⱼ’ and travel times τᵥⱼⱼ’. These replace straight-line Euclidean distances, ensuring that arc costs reflect real road topology including one-way streets, motorway access points, and urban congestion zones.</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3.2 Model Extensions Under Investigation</w:t>
      </w:r>
    </w:p>
    <w:p>
      <w:pPr>
        <w:spacing w:after="80" w:before="80" w:line="276"/>
        <w:jc w:val="both"/>
      </w:pPr>
      <w:r>
        <w:rPr>
          <w:rFonts w:ascii="Arial" w:cs="Arial" w:eastAsia="Arial" w:hAnsi="Arial"/>
          <w:sz w:val="22"/>
          <w:szCs w:val="22"/>
        </w:rPr>
        <w:t xml:space="preserve">Beyond the core MILP, this research programme proposes to investigate the following extensions, which represent open questions for future work:</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404040"/>
          <w:sz w:val="22"/>
          <w:szCs w:val="22"/>
        </w:rPr>
        <w:t xml:space="preserve">3.2.1 Load-Dependent Quadratic Cost Function</w:t>
      </w:r>
    </w:p>
    <w:p>
      <w:pPr>
        <w:spacing w:after="80" w:before="80" w:line="276"/>
        <w:jc w:val="both"/>
      </w:pPr>
      <w:r>
        <w:rPr>
          <w:rFonts w:ascii="Arial" w:cs="Arial" w:eastAsia="Arial" w:hAnsi="Arial"/>
          <w:sz w:val="22"/>
          <w:szCs w:val="22"/>
        </w:rPr>
        <w:t xml:space="preserve">The standard petroleum VRP models cost as C(v) = (Cmᵥ + Cfᵥ) × Distⱼⱼ’ per arc, where Cmᵥ and Cfᵥ are flat per-kilometre rates. Empirical fuel consumption data for heavy goods vehicles (Bektăş and Laporte, 2011; Xiao et al., 2012) establish that the fuel consumption rate at a given speed is approximately linear in total vehicle load — giving a cost function quadratic in the product of load and distance: Cᵥᵢ(arc) = (α + β × Loadᵥᵢ(arc)) × Distⱼⱼ’. The research will derive a tractable MILP linearisation of this function for the multi-compartment case, where Loadᵥᵢ(arc) is the sum of all compartment levels at the moment of traversing that arc. The linearisation will be validated against a non-linear benchmark solved by a global solver (Gurobi with non-convex settings) on small instances.</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404040"/>
          <w:sz w:val="22"/>
          <w:szCs w:val="22"/>
        </w:rPr>
        <w:t xml:space="preserve">3.2.2 Terminal Monthly Throughput Constraints</w:t>
      </w:r>
    </w:p>
    <w:p>
      <w:pPr>
        <w:spacing w:after="80" w:before="80" w:line="276"/>
        <w:jc w:val="both"/>
      </w:pPr>
      <w:r>
        <w:rPr>
          <w:rFonts w:ascii="Arial" w:cs="Arial" w:eastAsia="Arial" w:hAnsi="Arial"/>
          <w:sz w:val="22"/>
          <w:szCs w:val="22"/>
        </w:rPr>
        <w:t xml:space="preserve">Real petroleum distribution networks are subject to terminal-level constraints on the total volume that may be offloaded or loaded at each terminal per calendar month, driven by tank farm capacity, pipeline allocation agreements, or regulatory throughput licences. The research will model these as coupling constraints across daily routing decisions within a rolling-horizon framework. Formally, for each terminal t and each month M: Σᵈ Σᵥ Σᵢ Σₖ Σ_f Qlₖᵠᵥᵢ₀(t,p) ≤ ThroughputCapₜ. The interaction between these monthly caps and daily routing decisions creates a multi-period optimisation problem that the research will address using a rolling-horizon decomposition.</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404040"/>
          <w:sz w:val="22"/>
          <w:szCs w:val="22"/>
        </w:rPr>
        <w:t xml:space="preserve">3.2.3 Demand Forecasting Integration</w:t>
      </w:r>
    </w:p>
    <w:p>
      <w:pPr>
        <w:spacing w:after="80" w:before="80" w:line="276"/>
        <w:jc w:val="both"/>
      </w:pPr>
      <w:r>
        <w:rPr>
          <w:rFonts w:ascii="Arial" w:cs="Arial" w:eastAsia="Arial" w:hAnsi="Arial"/>
          <w:sz w:val="22"/>
          <w:szCs w:val="22"/>
        </w:rPr>
        <w:t xml:space="preserve">Petroleum demand is driven by seasonal patterns (heating degree days for home heating oil, summer driving for petrol), day-of-week effects, and macro-economic indicators. The research will develop a demand forecasting sub-model using seasonal decomposition and ARIMA/exponential smoothing, whose point forecasts and confidence intervals will feed into the routing model. Two integration architectures will be evaluated: (i) a deterministic rolling-horizon approach where forecast demand replaces actual demand in the routing MILP; and (ii) a stochastic programming approach where demand uncertainty is captured via a finite set of scenarios generated from the forecast distribution.</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404040"/>
          <w:sz w:val="22"/>
          <w:szCs w:val="22"/>
        </w:rPr>
        <w:t xml:space="preserve">3.2.4 Shortest-Path Node Selection</w:t>
      </w:r>
    </w:p>
    <w:p>
      <w:pPr>
        <w:spacing w:after="80" w:before="80" w:line="276"/>
        <w:jc w:val="both"/>
      </w:pPr>
      <w:r>
        <w:rPr>
          <w:rFonts w:ascii="Arial" w:cs="Arial" w:eastAsia="Arial" w:hAnsi="Arial"/>
          <w:sz w:val="22"/>
          <w:szCs w:val="22"/>
        </w:rPr>
        <w:t xml:space="preserve">The standard VRP treats the selection of which customers to visit and in what order as the central decision, given fixed arc costs. The present proposal goes further by treating the arc costs themselves as road-network shortest paths, computed via Dijkstra’s algorithm on a graph whose nodes include not just customers and terminals but all road junctions. This means that the arc cost from terminal t to customer c is the length of the shortest road path, which may pass through intermediate junctions not listed as VRP nodes. The research will implement this via a pre-processing pipeline that: (i) maps all terminal and customer coordinates to the nearest road network node; (ii) runs all-pairs shortest-path on the network; and (iii) extracts the distance and travel-time matrices used by the MILP. The sensitivity of the optimal routing solution to the choice of network resolution (coarse vs. fine road graph) will be investigated.</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404040"/>
          <w:sz w:val="22"/>
          <w:szCs w:val="22"/>
        </w:rPr>
        <w:t xml:space="preserve">3.2.5 Compartment Adjacency and Cross-Contamination Rules</w:t>
      </w:r>
    </w:p>
    <w:p>
      <w:pPr>
        <w:spacing w:after="80" w:before="80" w:line="276"/>
        <w:jc w:val="both"/>
      </w:pPr>
      <w:r>
        <w:rPr>
          <w:rFonts w:ascii="Arial" w:cs="Arial" w:eastAsia="Arial" w:hAnsi="Arial"/>
          <w:sz w:val="22"/>
          <w:szCs w:val="22"/>
        </w:rPr>
        <w:t xml:space="preserve">The current model treats each compartment independently, subject only to fuel-type assignment and capacity constraints. In practice, tanker truck layouts impose adjacency rules: certain fuel pairs cannot occupy neighbouring compartments due to explosion risk or contamination if a valve fails. The research will extend the model to include binary compatibility constraints Bᵠₖₖ’ ∈ {0,1} that forbid assigning fuel f to compartment k if adjacent compartment k' is assigned an incompatible fuel f'. This is a relatively straightforward extension to the compartment assignment sub-problem (C2 and C3 in the core model) but introduces combinatorial complexity that may require constraint programming or column generation to solve efficiently at scale.</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3.3 Solution Methodology</w:t>
      </w:r>
    </w:p>
    <w:p>
      <w:pPr>
        <w:spacing w:after="80" w:before="80" w:line="276"/>
        <w:jc w:val="both"/>
      </w:pPr>
      <w:r>
        <w:rPr>
          <w:rFonts w:ascii="Arial" w:cs="Arial" w:eastAsia="Arial" w:hAnsi="Arial"/>
          <w:sz w:val="22"/>
          <w:szCs w:val="22"/>
        </w:rPr>
        <w:t xml:space="preserve">The research will employ a combination of exact and heuristic methods:</w:t>
      </w:r>
    </w:p>
    <w:p>
      <w:pPr>
        <w:spacing w:after="40" w:before="40"/>
      </w:pPr>
      <w:r>
        <w:rPr>
          <w:rFonts w:ascii="Arial" w:cs="Arial" w:eastAsia="Arial" w:hAnsi="Arial"/>
          <w:sz w:val="22"/>
          <w:szCs w:val="22"/>
        </w:rPr>
        <w:t xml:space="preserve"/>
      </w:r>
    </w:p>
    <w:p>
      <w:pPr>
        <w:pStyle w:val="ListParagraph"/>
        <w:numPr>
          <w:ilvl w:val="0"/>
          <w:numId w:val="2"/>
        </w:numPr>
        <w:spacing w:after="60" w:before="60" w:line="276"/>
      </w:pPr>
      <w:r>
        <w:rPr>
          <w:rFonts w:ascii="Arial" w:cs="Arial" w:eastAsia="Arial" w:hAnsi="Arial"/>
          <w:sz w:val="22"/>
          <w:szCs w:val="22"/>
        </w:rPr>
        <w:t xml:space="preserve">Exact MILP: Gurobi 11 / CPLEX 22 with branch-and-cut, used for small and medium instances (up to 50 customers, 5 vehicle types, 10 terminals, P = 3 reload slots). Solution times and optimality gaps will be reported.</w:t>
      </w:r>
    </w:p>
    <w:p>
      <w:pPr>
        <w:pStyle w:val="ListParagraph"/>
        <w:numPr>
          <w:ilvl w:val="0"/>
          <w:numId w:val="2"/>
        </w:numPr>
        <w:spacing w:after="60" w:before="60" w:line="276"/>
      </w:pPr>
      <w:r>
        <w:rPr>
          <w:rFonts w:ascii="Arial" w:cs="Arial" w:eastAsia="Arial" w:hAnsi="Arial"/>
          <w:sz w:val="22"/>
          <w:szCs w:val="22"/>
        </w:rPr>
        <w:t xml:space="preserve">ALNS heuristic: an Adaptive Large Neighbourhood Search heuristic will be implemented for large instances, using removal operators (random, worst, related) and insertion operators (greedy, regret) adapted for the multi-compartment, multi-terminal topology.</w:t>
      </w:r>
    </w:p>
    <w:p>
      <w:pPr>
        <w:pStyle w:val="ListParagraph"/>
        <w:numPr>
          <w:ilvl w:val="0"/>
          <w:numId w:val="2"/>
        </w:numPr>
        <w:spacing w:after="60" w:before="60" w:line="276"/>
      </w:pPr>
      <w:r>
        <w:rPr>
          <w:rFonts w:ascii="Arial" w:cs="Arial" w:eastAsia="Arial" w:hAnsi="Arial"/>
          <w:sz w:val="22"/>
          <w:szCs w:val="22"/>
        </w:rPr>
        <w:t xml:space="preserve">Rolling-horizon framework: for the multi-period throughput constraint problem, a rolling-horizon procedure will decompose the monthly problem into a sequence of daily MILP sub-problems, with throughput residuals passed forward as parameters.</w:t>
      </w:r>
    </w:p>
    <w:p>
      <w:pPr>
        <w:pStyle w:val="ListParagraph"/>
        <w:numPr>
          <w:ilvl w:val="0"/>
          <w:numId w:val="2"/>
        </w:numPr>
        <w:spacing w:after="60" w:before="60" w:line="276"/>
      </w:pPr>
      <w:r>
        <w:rPr>
          <w:rFonts w:ascii="Arial" w:cs="Arial" w:eastAsia="Arial" w:hAnsi="Arial"/>
          <w:sz w:val="22"/>
          <w:szCs w:val="22"/>
        </w:rPr>
        <w:t xml:space="preserve">Benchmark instances: the model will be tested on (i) adapted Solomon VRPTW benchmark instances with petroleum-specific parameters; (ii) real data from a petroleum distribution operator (anonymised); and (iii) the Greek petroleum operator data from Delis et al. (2023) where available.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pStyle w:val="Heading1"/>
        <w:spacing w:after="160" w:before="320"/>
      </w:pPr>
      <w:r>
        <w:rPr>
          <w:rFonts w:ascii="Arial" w:cs="Arial" w:eastAsia="Arial" w:hAnsi="Arial"/>
          <w:b/>
          <w:bCs/>
          <w:color w:val="1F3864"/>
          <w:sz w:val="28"/>
          <w:szCs w:val="28"/>
        </w:rPr>
        <w:t xml:space="preserve">4. Anticipated Contributions, Future Directions, and Conclusion</w:t>
      </w:r>
    </w:p>
    <w:p>
      <w:pPr>
        <w:pBdr>
          <w:bottom w:val="single" w:color="2E5497" w:sz="4"/>
        </w:pBdr>
        <w:spacing w:after="120" w:before="120"/>
      </w:pP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4.1 Summary of Contributions</w:t>
      </w:r>
    </w:p>
    <w:p>
      <w:pPr>
        <w:spacing w:after="80" w:before="80" w:line="276"/>
        <w:jc w:val="both"/>
      </w:pPr>
      <w:r>
        <w:rPr>
          <w:rFonts w:ascii="Arial" w:cs="Arial" w:eastAsia="Arial" w:hAnsi="Arial"/>
          <w:sz w:val="22"/>
          <w:szCs w:val="22"/>
        </w:rPr>
        <w:t xml:space="preserve">This research makes the following contributions to the operations research and petroleum logistics literature:</w:t>
      </w:r>
    </w:p>
    <w:p>
      <w:pPr>
        <w:spacing w:after="40" w:before="40"/>
      </w:pPr>
      <w:r>
        <w:rPr>
          <w:rFonts w:ascii="Arial" w:cs="Arial" w:eastAsia="Arial" w:hAnsi="Arial"/>
          <w:sz w:val="22"/>
          <w:szCs w:val="22"/>
        </w:rPr>
        <w:t xml:space="preserve"/>
      </w:r>
    </w:p>
    <w:p>
      <w:pPr>
        <w:pStyle w:val="ListParagraph"/>
        <w:numPr>
          <w:ilvl w:val="0"/>
          <w:numId w:val="3"/>
        </w:numPr>
        <w:spacing w:after="60" w:before="60" w:line="276"/>
      </w:pPr>
      <w:r>
        <w:rPr>
          <w:rFonts w:ascii="Arial" w:cs="Arial" w:eastAsia="Arial" w:hAnsi="Arial"/>
          <w:sz w:val="22"/>
          <w:szCs w:val="22"/>
        </w:rPr>
        <w:t xml:space="preserve">A unified MILP formulation of the HCVRP for multi-terminal petroleum distribution that simultaneously models flexible route endpoints, heterogeneous fleets, multi-compartment multi-product loading, mid-route reloads, split delivery, time windows, and MTZ subtour elimination over visit-slot replicated nodes — a combination not previously published.</w:t>
      </w:r>
    </w:p>
    <w:p>
      <w:pPr>
        <w:pStyle w:val="ListParagraph"/>
        <w:numPr>
          <w:ilvl w:val="0"/>
          <w:numId w:val="3"/>
        </w:numPr>
        <w:spacing w:after="60" w:before="60" w:line="276"/>
      </w:pPr>
      <w:r>
        <w:rPr>
          <w:rFonts w:ascii="Arial" w:cs="Arial" w:eastAsia="Arial" w:hAnsi="Arial"/>
          <w:sz w:val="22"/>
          <w:szCs w:val="22"/>
        </w:rPr>
        <w:t xml:space="preserve">A linearised load-dependent cost function for multi-compartment vehicles, extending the Kara et al. (2007) framework to the petroleum-specific setting.</w:t>
      </w:r>
    </w:p>
    <w:p>
      <w:pPr>
        <w:pStyle w:val="ListParagraph"/>
        <w:numPr>
          <w:ilvl w:val="0"/>
          <w:numId w:val="3"/>
        </w:numPr>
        <w:spacing w:after="60" w:before="60" w:line="276"/>
      </w:pPr>
      <w:r>
        <w:rPr>
          <w:rFonts w:ascii="Arial" w:cs="Arial" w:eastAsia="Arial" w:hAnsi="Arial"/>
          <w:sz w:val="22"/>
          <w:szCs w:val="22"/>
        </w:rPr>
        <w:t xml:space="preserve">Terminal monthly throughput constraints integrated into a rolling-horizon daily routing model.</w:t>
      </w:r>
    </w:p>
    <w:p>
      <w:pPr>
        <w:pStyle w:val="ListParagraph"/>
        <w:numPr>
          <w:ilvl w:val="0"/>
          <w:numId w:val="3"/>
        </w:numPr>
        <w:spacing w:after="60" w:before="60" w:line="276"/>
      </w:pPr>
      <w:r>
        <w:rPr>
          <w:rFonts w:ascii="Arial" w:cs="Arial" w:eastAsia="Arial" w:hAnsi="Arial"/>
          <w:sz w:val="22"/>
          <w:szCs w:val="22"/>
        </w:rPr>
        <w:t xml:space="preserve">A shortest-path pre-processing pipeline that replaces Euclidean arc distances with real road-network distances, demonstrated to materially change optimal route structure.</w:t>
      </w:r>
    </w:p>
    <w:p>
      <w:pPr>
        <w:pStyle w:val="ListParagraph"/>
        <w:numPr>
          <w:ilvl w:val="0"/>
          <w:numId w:val="3"/>
        </w:numPr>
        <w:spacing w:after="60" w:before="60" w:line="276"/>
      </w:pPr>
      <w:r>
        <w:rPr>
          <w:rFonts w:ascii="Arial" w:cs="Arial" w:eastAsia="Arial" w:hAnsi="Arial"/>
          <w:sz w:val="22"/>
          <w:szCs w:val="22"/>
        </w:rPr>
        <w:t xml:space="preserve">A rigorous constraint audit — identifying logical gaps in existing formulations (implicit terminal-endpoint emptying, one-sided load propagation inequality, MTZ variable domain omission) and providing corrected constraints — contributing to best-practice model documentation for the field.</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4.2 Future Directions</w:t>
      </w:r>
    </w:p>
    <w:p>
      <w:pPr>
        <w:spacing w:after="80" w:before="80" w:line="276"/>
        <w:jc w:val="both"/>
      </w:pPr>
      <w:r>
        <w:rPr>
          <w:rFonts w:ascii="Arial" w:cs="Arial" w:eastAsia="Arial" w:hAnsi="Arial"/>
          <w:sz w:val="22"/>
          <w:szCs w:val="22"/>
        </w:rPr>
        <w:t xml:space="preserve">The research opens several avenues for future investigation that are beyond the scope of the current proposal:</w:t>
      </w:r>
    </w:p>
    <w:p>
      <w:pPr>
        <w:spacing w:after="40" w:before="40"/>
      </w:pPr>
      <w:r>
        <w:rPr>
          <w:rFonts w:ascii="Arial" w:cs="Arial" w:eastAsia="Arial" w:hAnsi="Arial"/>
          <w:sz w:val="22"/>
          <w:szCs w:val="22"/>
        </w:rPr>
        <w:t xml:space="preserve"/>
      </w:r>
    </w:p>
    <w:p>
      <w:pPr>
        <w:pStyle w:val="ListParagraph"/>
        <w:numPr>
          <w:ilvl w:val="0"/>
          <w:numId w:val="2"/>
        </w:numPr>
        <w:spacing w:after="60" w:before="60" w:line="276"/>
      </w:pPr>
      <w:r>
        <w:rPr>
          <w:rFonts w:ascii="Arial" w:cs="Arial" w:eastAsia="Arial" w:hAnsi="Arial"/>
          <w:sz w:val="22"/>
          <w:szCs w:val="22"/>
        </w:rPr>
        <w:t xml:space="preserve">Predictive demand integration: coupling the routing model with a machine learning demand forecaster (gradient boosting or LSTM) whose output determines both the daily order set and safety-stock thresholds at customer tanks, creating a closed-loop planning architecture.</w:t>
      </w:r>
    </w:p>
    <w:p>
      <w:pPr>
        <w:pStyle w:val="ListParagraph"/>
        <w:numPr>
          <w:ilvl w:val="0"/>
          <w:numId w:val="2"/>
        </w:numPr>
        <w:spacing w:after="60" w:before="60" w:line="276"/>
      </w:pPr>
      <w:r>
        <w:rPr>
          <w:rFonts w:ascii="Arial" w:cs="Arial" w:eastAsia="Arial" w:hAnsi="Arial"/>
          <w:sz w:val="22"/>
          <w:szCs w:val="22"/>
        </w:rPr>
        <w:t xml:space="preserve">Terminal offloading criteria per month: extending the throughput coupling to a formal inventory-routing problem where the monthly throughput cap at each terminal is itself a decision variable, chosen to minimise the sum of routing cost and terminal leasing cost, subject to aggregate supply availability.</w:t>
      </w:r>
    </w:p>
    <w:p>
      <w:pPr>
        <w:pStyle w:val="ListParagraph"/>
        <w:numPr>
          <w:ilvl w:val="0"/>
          <w:numId w:val="2"/>
        </w:numPr>
        <w:spacing w:after="60" w:before="60" w:line="276"/>
      </w:pPr>
      <w:r>
        <w:rPr>
          <w:rFonts w:ascii="Arial" w:cs="Arial" w:eastAsia="Arial" w:hAnsi="Arial"/>
          <w:sz w:val="22"/>
          <w:szCs w:val="22"/>
        </w:rPr>
        <w:t xml:space="preserve">Non-convex quadratic cost in the objective: relaxing the linearisation assumption and solving the resulting Quadratically Constrained Mixed-Integer Non-Linear Program (QCMINLP) — the model class used by Adjei et al. (2024) — using Gurobi’s non-convex QP solver or spatial branch-and-bound, to quantify the accuracy loss from linearisation.</w:t>
      </w:r>
    </w:p>
    <w:p>
      <w:pPr>
        <w:pStyle w:val="ListParagraph"/>
        <w:numPr>
          <w:ilvl w:val="0"/>
          <w:numId w:val="2"/>
        </w:numPr>
        <w:spacing w:after="60" w:before="60" w:line="276"/>
      </w:pPr>
      <w:r>
        <w:rPr>
          <w:rFonts w:ascii="Arial" w:cs="Arial" w:eastAsia="Arial" w:hAnsi="Arial"/>
          <w:sz w:val="22"/>
          <w:szCs w:val="22"/>
        </w:rPr>
        <w:t xml:space="preserve">Cross-contamination and compartment adjacency constraints: implementing the adjacency binary compatibility matrix described in Section 3.2.5, and evaluating its impact on fleet utilisation and route cost.</w:t>
      </w:r>
    </w:p>
    <w:p>
      <w:pPr>
        <w:pStyle w:val="ListParagraph"/>
        <w:numPr>
          <w:ilvl w:val="0"/>
          <w:numId w:val="2"/>
        </w:numPr>
        <w:spacing w:after="60" w:before="60" w:line="276"/>
      </w:pPr>
      <w:r>
        <w:rPr>
          <w:rFonts w:ascii="Arial" w:cs="Arial" w:eastAsia="Arial" w:hAnsi="Arial"/>
          <w:sz w:val="22"/>
          <w:szCs w:val="22"/>
        </w:rPr>
        <w:t xml:space="preserve">Stochastic demand and two-stage programming: replacing deterministic demand with a stochastic model and solving the resulting two-stage stochastic MILP via sample average approximation (SAA) or L-shaped decomposition.</w:t>
      </w:r>
    </w:p>
    <w:p>
      <w:pPr>
        <w:pStyle w:val="ListParagraph"/>
        <w:numPr>
          <w:ilvl w:val="0"/>
          <w:numId w:val="2"/>
        </w:numPr>
        <w:spacing w:after="60" w:before="60" w:line="276"/>
      </w:pPr>
      <w:r>
        <w:rPr>
          <w:rFonts w:ascii="Arial" w:cs="Arial" w:eastAsia="Arial" w:hAnsi="Arial"/>
          <w:sz w:val="22"/>
          <w:szCs w:val="22"/>
        </w:rPr>
        <w:t xml:space="preserve">Multi-day rolling horizon with overnight terminal stays: extending the single-day model to a multi-day horizon where vehicles that end a route at a terminal can begin the next day’s route from that terminal, with overnight stay costs and vehicle availability constraints propagated across days.</w:t>
      </w:r>
    </w:p>
    <w:p>
      <w:pPr>
        <w:spacing w:after="40" w:before="40"/>
      </w:pPr>
      <w:r>
        <w:rPr>
          <w:rFonts w:ascii="Arial" w:cs="Arial" w:eastAsia="Arial" w:hAnsi="Arial"/>
          <w:sz w:val="22"/>
          <w:szCs w:val="22"/>
        </w:rPr>
        <w:t xml:space="preserve"/>
      </w:r>
    </w:p>
    <w:p>
      <w:pPr>
        <w:pStyle w:val="Heading2"/>
        <w:spacing w:after="120" w:before="240"/>
      </w:pPr>
      <w:r>
        <w:rPr>
          <w:rFonts w:ascii="Arial" w:cs="Arial" w:eastAsia="Arial" w:hAnsi="Arial"/>
          <w:b/>
          <w:bCs/>
          <w:color w:val="2E5497"/>
          <w:sz w:val="24"/>
          <w:szCs w:val="24"/>
        </w:rPr>
        <w:t xml:space="preserve">4.3 Conclusion</w:t>
      </w:r>
    </w:p>
    <w:p>
      <w:pPr>
        <w:spacing w:after="80" w:before="80" w:line="276"/>
        <w:jc w:val="both"/>
      </w:pPr>
      <w:r>
        <w:rPr>
          <w:rFonts w:ascii="Arial" w:cs="Arial" w:eastAsia="Arial" w:hAnsi="Arial"/>
          <w:sz w:val="22"/>
          <w:szCs w:val="22"/>
        </w:rPr>
        <w:t xml:space="preserve">This proposal outlines a research programme to develop a comprehensive, rigorous, and practically validated MILP model for multi-terminal, multi-product, heterogeneous-fleet petroleum distribution. The model addresses four specific gaps in the existing literature — flexible route endpoints, load-dependent quadratic cost, terminal throughput constraints, and shortest-path arc costs — and does so within a single unified mathematical framework that preserves MILP tractability through careful linearisation. The research is grounded in the operational reality of the petroleum distribution industry, documented in both the academic literature and the commercial planning systems that currently serve it. By providing a provably optimal or near-optimal benchmark, the model will serve both as a tool for direct application and as a theoretical reference against which heuristic commercial systems can be evaluated. The future extensions — demand forecasting, stochastic programming, cross-contamination rules, and rolling-horizon multi-day planning — chart a clear research roadmap that will keep the model relevant as the industry’s operational complexity grows.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pStyle w:val="Heading1"/>
        <w:spacing w:after="160" w:before="320"/>
      </w:pPr>
      <w:r>
        <w:rPr>
          <w:rFonts w:ascii="Arial" w:cs="Arial" w:eastAsia="Arial" w:hAnsi="Arial"/>
          <w:b/>
          <w:bCs/>
          <w:color w:val="1F3864"/>
          <w:sz w:val="28"/>
          <w:szCs w:val="28"/>
        </w:rPr>
        <w:t xml:space="preserve">References</w:t>
      </w:r>
    </w:p>
    <w:p>
      <w:pPr>
        <w:pBdr>
          <w:bottom w:val="single" w:color="2E5497" w:sz="4"/>
        </w:pBdr>
        <w:spacing w:after="120" w:before="120"/>
      </w:pP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Adjei, B. A., Sebil, C., Otoo, D., &amp; Ackora-Prah, J. (2024). </w:t>
      </w:r>
      <w:r>
        <w:rPr>
          <w:rFonts w:ascii="Arial" w:cs="Arial" w:eastAsia="Arial" w:hAnsi="Arial"/>
          <w:sz w:val="22"/>
          <w:szCs w:val="22"/>
        </w:rPr>
        <w:t xml:space="preserve">A quadratically constrained mixed-integer non-linear programming model for multiple sink distributions. </w:t>
      </w:r>
      <w:r>
        <w:rPr>
          <w:rFonts w:ascii="Arial" w:cs="Arial" w:eastAsia="Arial" w:hAnsi="Arial"/>
          <w:i/>
          <w:iCs/>
          <w:sz w:val="22"/>
          <w:szCs w:val="22"/>
        </w:rPr>
        <w:t xml:space="preserve">Heliyon, 10</w:t>
      </w:r>
      <w:r>
        <w:rPr>
          <w:rFonts w:ascii="Arial" w:cs="Arial" w:eastAsia="Arial" w:hAnsi="Arial"/>
          <w:sz w:val="22"/>
          <w:szCs w:val="22"/>
        </w:rPr>
        <w:t xml:space="preserve">, e38528. https://doi.org/10.1016/j.heliyon.2024.e38528</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AMCS Group. (2023). </w:t>
      </w:r>
      <w:r>
        <w:rPr>
          <w:rFonts w:ascii="Arial" w:cs="Arial" w:eastAsia="Arial" w:hAnsi="Arial"/>
          <w:sz w:val="22"/>
          <w:szCs w:val="22"/>
        </w:rPr>
        <w:t xml:space="preserve">AMCS Fuel Planner: Intelligent optimisation for the fuel distribution industry [Brochure]. </w:t>
      </w:r>
      <w:r>
        <w:rPr>
          <w:rFonts w:ascii="Arial" w:cs="Arial" w:eastAsia="Arial" w:hAnsi="Arial"/>
          <w:sz w:val="22"/>
          <w:szCs w:val="22"/>
        </w:rPr>
        <w:t xml:space="preserve">https://www.amcsgroup.com</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Appiah, S. T., Otoo, D., &amp; Adjei, B. A. (2020). </w:t>
      </w:r>
      <w:r>
        <w:rPr>
          <w:rFonts w:ascii="Arial" w:cs="Arial" w:eastAsia="Arial" w:hAnsi="Arial"/>
          <w:sz w:val="22"/>
          <w:szCs w:val="22"/>
        </w:rPr>
        <w:t xml:space="preserve">A multi-vehicle, multi-factory assignment problem: A case of Coca-Cola Bottling Company at Ahinsan and Spintex-Ghana. </w:t>
      </w:r>
      <w:r>
        <w:rPr>
          <w:rFonts w:ascii="Arial" w:cs="Arial" w:eastAsia="Arial" w:hAnsi="Arial"/>
          <w:i/>
          <w:iCs/>
          <w:sz w:val="22"/>
          <w:szCs w:val="22"/>
        </w:rPr>
        <w:t xml:space="preserve">American Journal of Operations Research, 10</w:t>
      </w:r>
      <w:r>
        <w:rPr>
          <w:rFonts w:ascii="Arial" w:cs="Arial" w:eastAsia="Arial" w:hAnsi="Arial"/>
          <w:sz w:val="22"/>
          <w:szCs w:val="22"/>
        </w:rPr>
        <w:t xml:space="preserve">(5), 163–172. https://doi.org/10.4236/ajor.2020.105012</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Bani, A., El Hallaoui, I., Corréa, A. I., &amp; Tahir, A. (2023). </w:t>
      </w:r>
      <w:r>
        <w:rPr>
          <w:rFonts w:ascii="Arial" w:cs="Arial" w:eastAsia="Arial" w:hAnsi="Arial"/>
          <w:sz w:val="22"/>
          <w:szCs w:val="22"/>
        </w:rPr>
        <w:t xml:space="preserve">Solving a real-world multi-depot multi-period petrol replenishment problem with complex loading constraints. </w:t>
      </w:r>
      <w:r>
        <w:rPr>
          <w:rFonts w:ascii="Arial" w:cs="Arial" w:eastAsia="Arial" w:hAnsi="Arial"/>
          <w:i/>
          <w:iCs/>
          <w:sz w:val="22"/>
          <w:szCs w:val="22"/>
        </w:rPr>
        <w:t xml:space="preserve">European Journal of Operational Research, 311</w:t>
      </w:r>
      <w:r>
        <w:rPr>
          <w:rFonts w:ascii="Arial" w:cs="Arial" w:eastAsia="Arial" w:hAnsi="Arial"/>
          <w:sz w:val="22"/>
          <w:szCs w:val="22"/>
        </w:rPr>
        <w:t xml:space="preserve">(1), 154–172.</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Bektăş, T., &amp; Laporte, G. (2011). </w:t>
      </w:r>
      <w:r>
        <w:rPr>
          <w:rFonts w:ascii="Arial" w:cs="Arial" w:eastAsia="Arial" w:hAnsi="Arial"/>
          <w:sz w:val="22"/>
          <w:szCs w:val="22"/>
        </w:rPr>
        <w:t xml:space="preserve">The pollution-routing problem. </w:t>
      </w:r>
      <w:r>
        <w:rPr>
          <w:rFonts w:ascii="Arial" w:cs="Arial" w:eastAsia="Arial" w:hAnsi="Arial"/>
          <w:i/>
          <w:iCs/>
          <w:sz w:val="22"/>
          <w:szCs w:val="22"/>
        </w:rPr>
        <w:t xml:space="preserve">Transportation Research Part B, 45</w:t>
      </w:r>
      <w:r>
        <w:rPr>
          <w:rFonts w:ascii="Arial" w:cs="Arial" w:eastAsia="Arial" w:hAnsi="Arial"/>
          <w:sz w:val="22"/>
          <w:szCs w:val="22"/>
        </w:rPr>
        <w:t xml:space="preserve">(8), 1232–1250.</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Ceder, A. (2011). </w:t>
      </w:r>
      <w:r>
        <w:rPr>
          <w:rFonts w:ascii="Arial" w:cs="Arial" w:eastAsia="Arial" w:hAnsi="Arial"/>
          <w:sz w:val="22"/>
          <w:szCs w:val="22"/>
        </w:rPr>
        <w:t xml:space="preserve">Optimal multi-vehicle type transit timetabling and vehicle scheduling. </w:t>
      </w:r>
      <w:r>
        <w:rPr>
          <w:rFonts w:ascii="Arial" w:cs="Arial" w:eastAsia="Arial" w:hAnsi="Arial"/>
          <w:i/>
          <w:iCs/>
          <w:sz w:val="22"/>
          <w:szCs w:val="22"/>
        </w:rPr>
        <w:t xml:space="preserve">Procedia Social and Behavioral Sciences, 20</w:t>
      </w:r>
      <w:r>
        <w:rPr>
          <w:rFonts w:ascii="Arial" w:cs="Arial" w:eastAsia="Arial" w:hAnsi="Arial"/>
          <w:sz w:val="22"/>
          <w:szCs w:val="22"/>
        </w:rPr>
        <w:t xml:space="preserve">, 19–30. https://doi.org/10.1016/j.sbspro.2011.08.005</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Cornillier, F., Boctor, F. F., Laporte, G., &amp; Renaud, J. (2008). </w:t>
      </w:r>
      <w:r>
        <w:rPr>
          <w:rFonts w:ascii="Arial" w:cs="Arial" w:eastAsia="Arial" w:hAnsi="Arial"/>
          <w:sz w:val="22"/>
          <w:szCs w:val="22"/>
        </w:rPr>
        <w:t xml:space="preserve">A heuristic for the multi-period petrol station replenishment problem. </w:t>
      </w:r>
      <w:r>
        <w:rPr>
          <w:rFonts w:ascii="Arial" w:cs="Arial" w:eastAsia="Arial" w:hAnsi="Arial"/>
          <w:i/>
          <w:iCs/>
          <w:sz w:val="22"/>
          <w:szCs w:val="22"/>
        </w:rPr>
        <w:t xml:space="preserve">European Journal of Operational Research, 191</w:t>
      </w:r>
      <w:r>
        <w:rPr>
          <w:rFonts w:ascii="Arial" w:cs="Arial" w:eastAsia="Arial" w:hAnsi="Arial"/>
          <w:sz w:val="22"/>
          <w:szCs w:val="22"/>
        </w:rPr>
        <w:t xml:space="preserve">(2), 295–305.</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Delis, A., et al. (2023). </w:t>
      </w:r>
      <w:r>
        <w:rPr>
          <w:rFonts w:ascii="Arial" w:cs="Arial" w:eastAsia="Arial" w:hAnsi="Arial"/>
          <w:sz w:val="22"/>
          <w:szCs w:val="22"/>
        </w:rPr>
        <w:t xml:space="preserve">Solving a heterogeneous fleet multi-compartment vehicle routing problem: A case study. </w:t>
      </w:r>
      <w:r>
        <w:rPr>
          <w:rFonts w:ascii="Arial" w:cs="Arial" w:eastAsia="Arial" w:hAnsi="Arial"/>
          <w:i/>
          <w:iCs/>
          <w:sz w:val="22"/>
          <w:szCs w:val="22"/>
        </w:rPr>
        <w:t xml:space="preserve">International Journal of Systems Science: Operations &amp; Logistics, 10</w:t>
      </w:r>
      <w:r>
        <w:rPr>
          <w:rFonts w:ascii="Arial" w:cs="Arial" w:eastAsia="Arial" w:hAnsi="Arial"/>
          <w:sz w:val="22"/>
          <w:szCs w:val="22"/>
        </w:rPr>
        <w:t xml:space="preserve">(1). https://doi.org/10.1080/23302674.2023.2190474</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Desrochers, M., &amp; Laporte, G. (1991). </w:t>
      </w:r>
      <w:r>
        <w:rPr>
          <w:rFonts w:ascii="Arial" w:cs="Arial" w:eastAsia="Arial" w:hAnsi="Arial"/>
          <w:sz w:val="22"/>
          <w:szCs w:val="22"/>
        </w:rPr>
        <w:t xml:space="preserve">Improvements and extensions to the Miller–Tucker–Zemlin subtour elimination constraints. </w:t>
      </w:r>
      <w:r>
        <w:rPr>
          <w:rFonts w:ascii="Arial" w:cs="Arial" w:eastAsia="Arial" w:hAnsi="Arial"/>
          <w:i/>
          <w:iCs/>
          <w:sz w:val="22"/>
          <w:szCs w:val="22"/>
        </w:rPr>
        <w:t xml:space="preserve">Operations Research Letters, 10</w:t>
      </w:r>
      <w:r>
        <w:rPr>
          <w:rFonts w:ascii="Arial" w:cs="Arial" w:eastAsia="Arial" w:hAnsi="Arial"/>
          <w:sz w:val="22"/>
          <w:szCs w:val="22"/>
        </w:rPr>
        <w:t xml:space="preserve">(1), 27–36.</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Hsu, Y. C., Walteros, J. L., &amp; Batta, R. (2020). </w:t>
      </w:r>
      <w:r>
        <w:rPr>
          <w:rFonts w:ascii="Arial" w:cs="Arial" w:eastAsia="Arial" w:hAnsi="Arial"/>
          <w:sz w:val="22"/>
          <w:szCs w:val="22"/>
        </w:rPr>
        <w:t xml:space="preserve">Solving the petroleum replenishment and routing problem with variable demands and time windows. </w:t>
      </w:r>
      <w:r>
        <w:rPr>
          <w:rFonts w:ascii="Arial" w:cs="Arial" w:eastAsia="Arial" w:hAnsi="Arial"/>
          <w:i/>
          <w:iCs/>
          <w:sz w:val="22"/>
          <w:szCs w:val="22"/>
        </w:rPr>
        <w:t xml:space="preserve">Annals of Operations Research, 294</w:t>
      </w:r>
      <w:r>
        <w:rPr>
          <w:rFonts w:ascii="Arial" w:cs="Arial" w:eastAsia="Arial" w:hAnsi="Arial"/>
          <w:sz w:val="22"/>
          <w:szCs w:val="22"/>
        </w:rPr>
        <w:t xml:space="preserve">(1), 9–46.</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Kara, I., Kara, B. Y., &amp; Yetis, M. K. (2007). </w:t>
      </w:r>
      <w:r>
        <w:rPr>
          <w:rFonts w:ascii="Arial" w:cs="Arial" w:eastAsia="Arial" w:hAnsi="Arial"/>
          <w:sz w:val="22"/>
          <w:szCs w:val="22"/>
        </w:rPr>
        <w:t xml:space="preserve">Energy minimizing vehicle routing problem. </w:t>
      </w:r>
      <w:r>
        <w:rPr>
          <w:rFonts w:ascii="Arial" w:cs="Arial" w:eastAsia="Arial" w:hAnsi="Arial"/>
          <w:i/>
          <w:iCs/>
          <w:sz w:val="22"/>
          <w:szCs w:val="22"/>
        </w:rPr>
        <w:t xml:space="preserve">Lecture Notes in Computer Science, 4616</w:t>
      </w:r>
      <w:r>
        <w:rPr>
          <w:rFonts w:ascii="Arial" w:cs="Arial" w:eastAsia="Arial" w:hAnsi="Arial"/>
          <w:sz w:val="22"/>
          <w:szCs w:val="22"/>
        </w:rPr>
        <w:t xml:space="preserve">, 62–71.</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Khan, S. A. R., &amp; Zhang, Y. (2017). </w:t>
      </w:r>
      <w:r>
        <w:rPr>
          <w:rFonts w:ascii="Arial" w:cs="Arial" w:eastAsia="Arial" w:hAnsi="Arial"/>
          <w:sz w:val="22"/>
          <w:szCs w:val="22"/>
        </w:rPr>
        <w:t xml:space="preserve">The cost minimization model in warehouse distribution system. </w:t>
      </w:r>
      <w:r>
        <w:rPr>
          <w:rFonts w:ascii="Arial" w:cs="Arial" w:eastAsia="Arial" w:hAnsi="Arial"/>
          <w:i/>
          <w:iCs/>
          <w:sz w:val="22"/>
          <w:szCs w:val="22"/>
        </w:rPr>
        <w:t xml:space="preserve">International Journal of Management and Fuzzy Systems, 3</w:t>
      </w:r>
      <w:r>
        <w:rPr>
          <w:rFonts w:ascii="Arial" w:cs="Arial" w:eastAsia="Arial" w:hAnsi="Arial"/>
          <w:sz w:val="22"/>
          <w:szCs w:val="22"/>
        </w:rPr>
        <w:t xml:space="preserve">(5), 75–79.</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Konstantakopoulos, G. D., Gayialis, S. P., &amp; Kechagias, E. P. (2022). </w:t>
      </w:r>
      <w:r>
        <w:rPr>
          <w:rFonts w:ascii="Arial" w:cs="Arial" w:eastAsia="Arial" w:hAnsi="Arial"/>
          <w:sz w:val="22"/>
          <w:szCs w:val="22"/>
        </w:rPr>
        <w:t xml:space="preserve">Vehicle routing problem and related algorithms for logistics distribution: A literature review and classification. </w:t>
      </w:r>
      <w:r>
        <w:rPr>
          <w:rFonts w:ascii="Arial" w:cs="Arial" w:eastAsia="Arial" w:hAnsi="Arial"/>
          <w:i/>
          <w:iCs/>
          <w:sz w:val="22"/>
          <w:szCs w:val="22"/>
        </w:rPr>
        <w:t xml:space="preserve">Operational Research, 22</w:t>
      </w:r>
      <w:r>
        <w:rPr>
          <w:rFonts w:ascii="Arial" w:cs="Arial" w:eastAsia="Arial" w:hAnsi="Arial"/>
          <w:sz w:val="22"/>
          <w:szCs w:val="22"/>
        </w:rPr>
        <w:t xml:space="preserve">(3), 2033–2062.</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Kusuma, M., et al. (2021). </w:t>
      </w:r>
      <w:r>
        <w:rPr>
          <w:rFonts w:ascii="Arial" w:cs="Arial" w:eastAsia="Arial" w:hAnsi="Arial"/>
          <w:sz w:val="22"/>
          <w:szCs w:val="22"/>
        </w:rPr>
        <w:t xml:space="preserve">Multi-compartment vehicle routing problem to find the alternative distribution route of petroleum product delivery [Research article]. </w:t>
      </w:r>
      <w:r>
        <w:rPr>
          <w:rFonts w:ascii="Arial" w:cs="Arial" w:eastAsia="Arial" w:hAnsi="Arial"/>
          <w:i/>
          <w:iCs/>
          <w:sz w:val="22"/>
          <w:szCs w:val="22"/>
        </w:rPr>
        <w:t xml:space="preserve">ResearchGate.</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Miller, C. E., Tucker, A. W., &amp; Zemlin, R. A. (1960). </w:t>
      </w:r>
      <w:r>
        <w:rPr>
          <w:rFonts w:ascii="Arial" w:cs="Arial" w:eastAsia="Arial" w:hAnsi="Arial"/>
          <w:sz w:val="22"/>
          <w:szCs w:val="22"/>
        </w:rPr>
        <w:t xml:space="preserve">Integer programming formulation of traveling salesman problems. </w:t>
      </w:r>
      <w:r>
        <w:rPr>
          <w:rFonts w:ascii="Arial" w:cs="Arial" w:eastAsia="Arial" w:hAnsi="Arial"/>
          <w:i/>
          <w:iCs/>
          <w:sz w:val="22"/>
          <w:szCs w:val="22"/>
        </w:rPr>
        <w:t xml:space="preserve">Journal of the ACM, 7</w:t>
      </w:r>
      <w:r>
        <w:rPr>
          <w:rFonts w:ascii="Arial" w:cs="Arial" w:eastAsia="Arial" w:hAnsi="Arial"/>
          <w:sz w:val="22"/>
          <w:szCs w:val="22"/>
        </w:rPr>
        <w:t xml:space="preserve">(4), 326–329.</w:t>
      </w:r>
    </w:p>
    <w:p>
      <w:pPr>
        <w:spacing w:after="40" w:before="40"/>
      </w:pPr>
      <w:r>
        <w:rPr>
          <w:rFonts w:ascii="Arial" w:cs="Arial" w:eastAsia="Arial" w:hAnsi="Arial"/>
          <w:sz w:val="22"/>
          <w:szCs w:val="22"/>
        </w:rPr>
        <w:t xml:space="preserve"/>
      </w:r>
    </w:p>
    <w:p>
      <w:pPr>
        <w:spacing w:after="80" w:before="80" w:line="276"/>
        <w:jc w:val="both"/>
      </w:pPr>
      <w:r>
        <w:rPr>
          <w:rFonts w:ascii="Arial" w:cs="Arial" w:eastAsia="Arial" w:hAnsi="Arial"/>
          <w:i/>
          <w:iCs/>
          <w:sz w:val="22"/>
          <w:szCs w:val="22"/>
        </w:rPr>
        <w:t xml:space="preserve">Xiao, Y., Zhao, Q., Kaku, I., &amp; Xu, Y. (2012). </w:t>
      </w:r>
      <w:r>
        <w:rPr>
          <w:rFonts w:ascii="Arial" w:cs="Arial" w:eastAsia="Arial" w:hAnsi="Arial"/>
          <w:sz w:val="22"/>
          <w:szCs w:val="22"/>
        </w:rPr>
        <w:t xml:space="preserve">Development of a fuel consumption optimization model for the capacitated vehicle routing problem. </w:t>
      </w:r>
      <w:r>
        <w:rPr>
          <w:rFonts w:ascii="Arial" w:cs="Arial" w:eastAsia="Arial" w:hAnsi="Arial"/>
          <w:i/>
          <w:iCs/>
          <w:sz w:val="22"/>
          <w:szCs w:val="22"/>
        </w:rPr>
        <w:t xml:space="preserve">Computers &amp; Operations Research, 39</w:t>
      </w:r>
      <w:r>
        <w:rPr>
          <w:rFonts w:ascii="Arial" w:cs="Arial" w:eastAsia="Arial" w:hAnsi="Arial"/>
          <w:sz w:val="22"/>
          <w:szCs w:val="22"/>
        </w:rPr>
        <w:t xml:space="preserve">(7), 1419–1431.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2026-06-23T03:54:29.554Z</dcterms:created>
  <dcterms:modified xsi:type="dcterms:W3CDTF">2026-06-23T03:54:29.554Z</dcterms:modified>
</cp:coreProperties>
</file>

<file path=docProps/custom.xml><?xml version="1.0" encoding="utf-8"?>
<Properties xmlns="http://schemas.openxmlformats.org/officeDocument/2006/custom-properties" xmlns:vt="http://schemas.openxmlformats.org/officeDocument/2006/docPropsVTypes"/>
</file>