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36"/>
          <w:szCs w:val="36"/>
        </w:rPr>
      </w:pPr>
      <w:r>
        <w:rPr>
          <w:rFonts w:hint="eastAsia"/>
          <w:b/>
          <w:sz w:val="36"/>
          <w:szCs w:val="36"/>
        </w:rPr>
        <w:drawing>
          <wp:inline distT="0" distB="0" distL="0" distR="0">
            <wp:extent cx="1671320" cy="716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731098" cy="741899"/>
                    </a:xfrm>
                    <a:prstGeom prst="rect">
                      <a:avLst/>
                    </a:prstGeom>
                    <a:noFill/>
                    <a:ln>
                      <a:noFill/>
                    </a:ln>
                  </pic:spPr>
                </pic:pic>
              </a:graphicData>
            </a:graphic>
          </wp:inline>
        </w:drawing>
      </w:r>
    </w:p>
    <w:p>
      <w:pPr>
        <w:rPr>
          <w:b/>
          <w:sz w:val="36"/>
          <w:szCs w:val="36"/>
        </w:rPr>
      </w:pPr>
    </w:p>
    <w:p>
      <w:pPr>
        <w:rPr>
          <w:b/>
          <w:sz w:val="36"/>
          <w:szCs w:val="36"/>
        </w:rPr>
      </w:pPr>
    </w:p>
    <w:p>
      <w:pPr>
        <w:rPr>
          <w:rFonts w:ascii="宋体" w:hAnsi="宋体"/>
          <w:b/>
          <w:sz w:val="36"/>
          <w:szCs w:val="36"/>
        </w:rPr>
      </w:pPr>
    </w:p>
    <w:p>
      <w:pPr>
        <w:pStyle w:val="2"/>
        <w:jc w:val="center"/>
        <w:rPr>
          <w:rFonts w:hint="default"/>
          <w:sz w:val="44"/>
          <w:szCs w:val="44"/>
          <w:lang w:val="en-US" w:eastAsia="zh-CN"/>
        </w:rPr>
      </w:pPr>
      <w:r>
        <w:rPr>
          <w:rFonts w:hint="eastAsia"/>
          <w:sz w:val="44"/>
          <w:szCs w:val="44"/>
          <w:lang w:val="en-US" w:eastAsia="zh-CN"/>
        </w:rPr>
        <w:t>南部台管辖管道受台风影响失效应急预案</w:t>
      </w:r>
    </w:p>
    <w:p>
      <w:pPr>
        <w:rPr>
          <w:rFonts w:ascii="宋体" w:hAnsi="宋体"/>
          <w:sz w:val="36"/>
          <w:szCs w:val="36"/>
        </w:rPr>
      </w:pPr>
    </w:p>
    <w:p>
      <w:pPr>
        <w:rPr>
          <w:rFonts w:ascii="宋体" w:hAnsi="宋体"/>
          <w:sz w:val="36"/>
          <w:szCs w:val="36"/>
        </w:rPr>
      </w:pPr>
    </w:p>
    <w:p>
      <w:pPr>
        <w:jc w:val="right"/>
        <w:rPr>
          <w:rFonts w:ascii="宋体" w:hAnsi="宋体"/>
          <w:sz w:val="36"/>
          <w:szCs w:val="36"/>
        </w:rPr>
      </w:pPr>
    </w:p>
    <w:p>
      <w:pPr>
        <w:jc w:val="right"/>
        <w:rPr>
          <w:rFonts w:ascii="宋体" w:hAnsi="宋体"/>
          <w:sz w:val="36"/>
          <w:szCs w:val="36"/>
        </w:rPr>
      </w:pPr>
    </w:p>
    <w:p>
      <w:pPr>
        <w:pStyle w:val="17"/>
        <w:spacing w:line="360" w:lineRule="auto"/>
        <w:ind w:firstLine="720"/>
        <w:jc w:val="center"/>
        <w:rPr>
          <w:rFonts w:hAnsi="宋体"/>
          <w:kern w:val="2"/>
          <w:sz w:val="36"/>
          <w:szCs w:val="36"/>
        </w:rPr>
      </w:pPr>
    </w:p>
    <w:p>
      <w:pPr>
        <w:pStyle w:val="17"/>
        <w:spacing w:line="360" w:lineRule="auto"/>
        <w:ind w:firstLine="720"/>
        <w:jc w:val="center"/>
        <w:rPr>
          <w:rFonts w:hAnsi="宋体"/>
          <w:kern w:val="2"/>
          <w:sz w:val="36"/>
          <w:szCs w:val="36"/>
        </w:rPr>
      </w:pPr>
    </w:p>
    <w:p>
      <w:pPr>
        <w:pStyle w:val="17"/>
        <w:spacing w:line="360" w:lineRule="auto"/>
        <w:ind w:left="0" w:leftChars="0" w:firstLine="0" w:firstLineChars="0"/>
        <w:jc w:val="both"/>
        <w:rPr>
          <w:rFonts w:hAnsi="宋体"/>
          <w:b/>
          <w:bCs/>
          <w:kern w:val="2"/>
          <w:sz w:val="36"/>
          <w:szCs w:val="36"/>
        </w:rPr>
      </w:pPr>
    </w:p>
    <w:p>
      <w:pPr>
        <w:pStyle w:val="17"/>
        <w:spacing w:line="360" w:lineRule="auto"/>
        <w:ind w:left="0" w:leftChars="0" w:firstLine="0" w:firstLineChars="0"/>
        <w:jc w:val="both"/>
        <w:rPr>
          <w:rFonts w:hAnsi="宋体"/>
          <w:b/>
          <w:bCs/>
          <w:kern w:val="2"/>
          <w:sz w:val="36"/>
          <w:szCs w:val="36"/>
        </w:rPr>
      </w:pPr>
    </w:p>
    <w:p>
      <w:pPr>
        <w:pStyle w:val="17"/>
        <w:spacing w:line="360" w:lineRule="auto"/>
        <w:ind w:firstLine="723"/>
        <w:jc w:val="center"/>
        <w:rPr>
          <w:rFonts w:hAnsi="宋体"/>
          <w:b/>
          <w:bCs/>
          <w:kern w:val="2"/>
          <w:sz w:val="36"/>
          <w:szCs w:val="36"/>
        </w:rPr>
      </w:pPr>
    </w:p>
    <w:p>
      <w:pPr>
        <w:pStyle w:val="17"/>
        <w:spacing w:line="360" w:lineRule="auto"/>
        <w:ind w:firstLine="723"/>
        <w:jc w:val="center"/>
        <w:rPr>
          <w:rFonts w:hAnsi="宋体"/>
          <w:b/>
          <w:bCs/>
          <w:kern w:val="2"/>
          <w:sz w:val="36"/>
          <w:szCs w:val="36"/>
        </w:rPr>
      </w:pPr>
      <w:bookmarkStart w:id="0" w:name="_GoBack"/>
      <w:bookmarkEnd w:id="0"/>
    </w:p>
    <w:p>
      <w:pPr>
        <w:pStyle w:val="17"/>
        <w:spacing w:line="360" w:lineRule="auto"/>
        <w:ind w:left="0" w:leftChars="0" w:firstLine="0" w:firstLineChars="0"/>
        <w:jc w:val="both"/>
        <w:rPr>
          <w:rFonts w:hint="eastAsia" w:hAnsi="宋体"/>
          <w:b w:val="0"/>
          <w:bCs w:val="0"/>
          <w:kern w:val="2"/>
          <w:sz w:val="30"/>
          <w:szCs w:val="30"/>
        </w:rPr>
      </w:pPr>
    </w:p>
    <w:p>
      <w:pPr>
        <w:pStyle w:val="17"/>
        <w:spacing w:line="360" w:lineRule="auto"/>
        <w:ind w:left="0" w:leftChars="0" w:firstLine="0" w:firstLineChars="0"/>
        <w:jc w:val="center"/>
        <w:rPr>
          <w:rFonts w:hAnsi="宋体"/>
          <w:b w:val="0"/>
          <w:bCs w:val="0"/>
          <w:kern w:val="2"/>
          <w:sz w:val="30"/>
          <w:szCs w:val="30"/>
        </w:rPr>
      </w:pPr>
      <w:r>
        <w:rPr>
          <w:rFonts w:hint="eastAsia" w:hAnsi="宋体"/>
          <w:b w:val="0"/>
          <w:bCs w:val="0"/>
          <w:kern w:val="2"/>
          <w:sz w:val="30"/>
          <w:szCs w:val="30"/>
        </w:rPr>
        <w:t>编写人：张益</w:t>
      </w:r>
    </w:p>
    <w:p>
      <w:pPr>
        <w:pStyle w:val="17"/>
        <w:spacing w:line="360" w:lineRule="auto"/>
        <w:ind w:firstLine="0" w:firstLineChars="0"/>
        <w:rPr>
          <w:rFonts w:ascii="方正仿宋简体" w:hAnsi="宋体" w:eastAsia="方正仿宋简体"/>
          <w:kern w:val="2"/>
          <w:sz w:val="36"/>
          <w:szCs w:val="36"/>
        </w:rPr>
      </w:pPr>
    </w:p>
    <w:p>
      <w:pPr>
        <w:pStyle w:val="17"/>
        <w:spacing w:line="480" w:lineRule="auto"/>
        <w:ind w:left="-25" w:firstLine="0" w:firstLineChars="0"/>
        <w:jc w:val="center"/>
        <w:rPr>
          <w:rFonts w:ascii="方正仿宋简体" w:hAnsi="宋体" w:eastAsia="方正仿宋简体"/>
          <w:kern w:val="2"/>
          <w:sz w:val="36"/>
          <w:szCs w:val="36"/>
        </w:rPr>
      </w:pPr>
      <w:r>
        <w:rPr>
          <w:rFonts w:hint="eastAsia" w:ascii="方正仿宋简体" w:hAnsi="宋体" w:eastAsia="方正仿宋简体"/>
          <w:kern w:val="2"/>
          <w:sz w:val="36"/>
          <w:szCs w:val="36"/>
        </w:rPr>
        <w:t>南部调度台</w:t>
      </w:r>
    </w:p>
    <w:p>
      <w:pPr>
        <w:jc w:val="center"/>
        <w:rPr>
          <w:rFonts w:ascii="方正仿宋简体" w:hAnsi="宋体"/>
          <w:sz w:val="36"/>
          <w:szCs w:val="36"/>
        </w:rPr>
      </w:pPr>
      <w:r>
        <w:rPr>
          <w:rFonts w:hint="eastAsia" w:ascii="方正仿宋简体" w:hAnsi="宋体"/>
          <w:sz w:val="36"/>
          <w:szCs w:val="36"/>
        </w:rPr>
        <w:t>202</w:t>
      </w:r>
      <w:r>
        <w:rPr>
          <w:rFonts w:hint="eastAsia" w:ascii="方正仿宋简体" w:hAnsi="宋体"/>
          <w:sz w:val="36"/>
          <w:szCs w:val="36"/>
          <w:lang w:val="en-US" w:eastAsia="zh-CN"/>
        </w:rPr>
        <w:t>3</w:t>
      </w:r>
      <w:r>
        <w:rPr>
          <w:rFonts w:hint="eastAsia" w:ascii="方正仿宋简体" w:hAnsi="宋体" w:cs="方正黑体简体"/>
          <w:sz w:val="36"/>
          <w:szCs w:val="36"/>
        </w:rPr>
        <w:t>年</w:t>
      </w:r>
      <w:r>
        <w:rPr>
          <w:rFonts w:hint="eastAsia" w:ascii="方正仿宋简体" w:hAnsi="宋体" w:cs="方正黑体简体"/>
          <w:sz w:val="36"/>
          <w:szCs w:val="36"/>
          <w:lang w:val="en-US" w:eastAsia="zh-CN"/>
        </w:rPr>
        <w:t>7</w:t>
      </w:r>
      <w:r>
        <w:rPr>
          <w:rFonts w:hint="eastAsia" w:ascii="方正仿宋简体" w:hAnsi="宋体" w:cs="方正黑体简体"/>
          <w:sz w:val="36"/>
          <w:szCs w:val="36"/>
        </w:rPr>
        <w:t>月</w:t>
      </w:r>
    </w:p>
    <w:p>
      <w:pPr>
        <w:numPr>
          <w:ilvl w:val="0"/>
          <w:numId w:val="1"/>
        </w:numPr>
        <w:spacing w:line="360" w:lineRule="auto"/>
        <w:outlineLvl w:val="1"/>
        <w:rPr>
          <w:rFonts w:hint="eastAsia" w:ascii="宋体" w:hAnsi="宋体"/>
          <w:b/>
          <w:bCs/>
          <w:sz w:val="32"/>
          <w:szCs w:val="32"/>
        </w:rPr>
      </w:pPr>
      <w:r>
        <w:rPr>
          <w:rFonts w:hint="eastAsia" w:ascii="宋体" w:hAnsi="宋体"/>
          <w:b/>
          <w:bCs/>
          <w:sz w:val="32"/>
          <w:szCs w:val="32"/>
          <w:lang w:val="en-US" w:eastAsia="zh-CN"/>
        </w:rPr>
        <w:t>关键</w:t>
      </w:r>
      <w:r>
        <w:rPr>
          <w:rFonts w:hint="eastAsia" w:ascii="宋体" w:hAnsi="宋体"/>
          <w:b/>
          <w:bCs/>
          <w:sz w:val="32"/>
          <w:szCs w:val="32"/>
        </w:rPr>
        <w:t>站场失效</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82" w:firstLineChars="200"/>
        <w:textAlignment w:val="auto"/>
        <w:outlineLvl w:val="1"/>
        <w:rPr>
          <w:rFonts w:hint="default" w:ascii="宋体" w:hAnsi="宋体"/>
          <w:b/>
          <w:bCs/>
          <w:sz w:val="24"/>
          <w:szCs w:val="24"/>
          <w:lang w:val="en-US" w:eastAsia="zh-CN"/>
        </w:rPr>
      </w:pPr>
      <w:r>
        <w:rPr>
          <w:rFonts w:hint="eastAsia" w:ascii="宋体" w:hAnsi="宋体"/>
          <w:b/>
          <w:bCs/>
          <w:sz w:val="24"/>
          <w:szCs w:val="24"/>
          <w:lang w:val="en-US" w:eastAsia="zh-CN"/>
        </w:rPr>
        <w:t>广州站：</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1）事故影响：当广深线压力升高时机组失效，无法启机调节广深、闽粤线管存，可能影响粤东LNG外输。</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2）预防措施：平日运行时尽量保持广州广深线来气压力低于6.5MPa，为应急工况保留管存空间。</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3）应急措施：</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①当广州站失效，且粤东LNG外输压力超过8.5MPa仍有上升趋势时，加大吉安站二转三转供量，利用西三线东段管存为广深线降压；</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②同时联系中部台，加大韶关站转供新气管道；</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③协调南昌站利用机组为西二线樟树-广州段降压；</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④当调节手段仍无法保证粤东LNG外输压力需求时，联系调度长协调市场部适当降低粤东LNG外输日指定。</w:t>
      </w:r>
    </w:p>
    <w:p>
      <w:pPr>
        <w:tabs>
          <w:tab w:val="left" w:pos="960"/>
        </w:tabs>
        <w:spacing w:line="360" w:lineRule="auto"/>
        <w:ind w:firstLine="482" w:firstLineChars="200"/>
        <w:rPr>
          <w:rFonts w:hint="default" w:ascii="宋体" w:hAnsi="宋体" w:eastAsia="宋体"/>
          <w:b/>
          <w:bCs/>
          <w:sz w:val="24"/>
          <w:lang w:val="en-US" w:eastAsia="zh-CN"/>
        </w:rPr>
      </w:pPr>
      <w:r>
        <w:rPr>
          <w:rFonts w:hint="eastAsia" w:ascii="宋体" w:hAnsi="宋体"/>
          <w:b/>
          <w:bCs/>
          <w:sz w:val="24"/>
          <w:szCs w:val="24"/>
          <w:lang w:val="en-US" w:eastAsia="zh-CN"/>
        </w:rPr>
        <w:t>2、</w:t>
      </w:r>
      <w:r>
        <w:rPr>
          <w:rFonts w:hint="eastAsia" w:ascii="宋体" w:hAnsi="宋体"/>
          <w:b/>
          <w:bCs/>
          <w:sz w:val="24"/>
        </w:rPr>
        <w:t>广州站</w:t>
      </w:r>
      <w:r>
        <w:rPr>
          <w:rFonts w:hint="eastAsia" w:ascii="宋体" w:hAnsi="宋体"/>
          <w:b/>
          <w:bCs/>
          <w:sz w:val="24"/>
          <w:lang w:eastAsia="zh-CN"/>
        </w:rPr>
        <w:t>、</w:t>
      </w:r>
      <w:r>
        <w:rPr>
          <w:rFonts w:hint="eastAsia" w:ascii="宋体" w:hAnsi="宋体"/>
          <w:b/>
          <w:bCs/>
          <w:sz w:val="24"/>
          <w:lang w:val="en-US" w:eastAsia="zh-CN"/>
        </w:rPr>
        <w:t>东莞站、肇庆站</w:t>
      </w:r>
    </w:p>
    <w:p>
      <w:pPr>
        <w:keepNext w:val="0"/>
        <w:keepLines w:val="0"/>
        <w:pageBreakBefore w:val="0"/>
        <w:widowControl w:val="0"/>
        <w:numPr>
          <w:numId w:val="0"/>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sz w:val="24"/>
          <w:szCs w:val="24"/>
          <w:lang w:val="en-US" w:eastAsia="zh-CN"/>
        </w:rPr>
      </w:pPr>
      <w:r>
        <w:rPr>
          <w:rFonts w:hint="eastAsia" w:ascii="宋体" w:hAnsi="宋体"/>
          <w:sz w:val="24"/>
          <w:szCs w:val="24"/>
          <w:lang w:val="en-US" w:eastAsia="zh-CN"/>
        </w:rPr>
        <w:t>1）事故影响：影响西二线转供广东省网管道，导致广东省网局部气源口缺失。</w:t>
      </w:r>
    </w:p>
    <w:p>
      <w:pPr>
        <w:spacing w:line="360" w:lineRule="auto"/>
        <w:ind w:firstLine="480" w:firstLineChars="200"/>
        <w:outlineLvl w:val="2"/>
        <w:rPr>
          <w:rFonts w:ascii="宋体" w:hAnsi="宋体"/>
          <w:sz w:val="24"/>
        </w:rPr>
      </w:pPr>
      <w:r>
        <w:rPr>
          <w:rFonts w:hint="eastAsia" w:ascii="宋体" w:hAnsi="宋体"/>
          <w:sz w:val="24"/>
          <w:lang w:val="en-US" w:eastAsia="zh-CN"/>
        </w:rPr>
        <w:t>2）</w:t>
      </w:r>
      <w:r>
        <w:rPr>
          <w:rFonts w:hint="eastAsia" w:ascii="宋体" w:hAnsi="宋体"/>
          <w:sz w:val="24"/>
        </w:rPr>
        <w:t>预防措施</w:t>
      </w:r>
    </w:p>
    <w:p>
      <w:pPr>
        <w:numPr>
          <w:numId w:val="0"/>
        </w:numPr>
        <w:tabs>
          <w:tab w:val="left" w:pos="900"/>
          <w:tab w:val="left" w:pos="960"/>
        </w:tabs>
        <w:spacing w:line="360" w:lineRule="auto"/>
        <w:ind w:left="540" w:leftChars="0"/>
        <w:rPr>
          <w:rFonts w:hint="eastAsia" w:ascii="宋体" w:hAnsi="宋体"/>
          <w:sz w:val="24"/>
        </w:rPr>
      </w:pPr>
      <w:r>
        <w:rPr>
          <w:rFonts w:hint="eastAsia" w:ascii="宋体" w:hAnsi="宋体"/>
          <w:sz w:val="24"/>
          <w:szCs w:val="24"/>
          <w:lang w:val="en-US" w:eastAsia="zh-CN"/>
        </w:rPr>
        <w:t>①</w:t>
      </w:r>
      <w:r>
        <w:rPr>
          <w:rFonts w:hint="eastAsia" w:ascii="宋体" w:hAnsi="宋体"/>
          <w:sz w:val="24"/>
        </w:rPr>
        <w:t>要求站场加强巡检，异常情况及时汇报</w:t>
      </w:r>
    </w:p>
    <w:p>
      <w:pPr>
        <w:numPr>
          <w:numId w:val="0"/>
        </w:numPr>
        <w:tabs>
          <w:tab w:val="left" w:pos="900"/>
          <w:tab w:val="left" w:pos="960"/>
        </w:tabs>
        <w:spacing w:line="360" w:lineRule="auto"/>
        <w:ind w:left="540" w:leftChars="0"/>
        <w:rPr>
          <w:rFonts w:hint="eastAsia" w:ascii="宋体" w:hAnsi="宋体"/>
          <w:sz w:val="24"/>
        </w:rPr>
      </w:pPr>
      <w:r>
        <w:rPr>
          <w:rFonts w:hint="eastAsia" w:ascii="宋体" w:hAnsi="宋体"/>
          <w:sz w:val="24"/>
          <w:szCs w:val="24"/>
          <w:lang w:val="en-US" w:eastAsia="zh-CN"/>
        </w:rPr>
        <w:t>②</w:t>
      </w:r>
      <w:r>
        <w:rPr>
          <w:rFonts w:hint="eastAsia" w:ascii="宋体" w:hAnsi="宋体"/>
          <w:sz w:val="24"/>
        </w:rPr>
        <w:t>做好监控，正确设定报警参数。</w:t>
      </w:r>
    </w:p>
    <w:p>
      <w:pPr>
        <w:numPr>
          <w:numId w:val="0"/>
        </w:numPr>
        <w:tabs>
          <w:tab w:val="left" w:pos="900"/>
          <w:tab w:val="left" w:pos="960"/>
        </w:tabs>
        <w:spacing w:line="360" w:lineRule="auto"/>
        <w:ind w:left="540" w:leftChars="0"/>
        <w:rPr>
          <w:rFonts w:hint="eastAsia" w:ascii="宋体" w:hAnsi="宋体"/>
          <w:sz w:val="24"/>
          <w:lang w:val="en-US" w:eastAsia="zh-CN"/>
        </w:rPr>
      </w:pPr>
      <w:r>
        <w:rPr>
          <w:rFonts w:hint="eastAsia" w:ascii="宋体" w:hAnsi="宋体"/>
          <w:sz w:val="24"/>
          <w:lang w:val="en-US" w:eastAsia="zh-CN"/>
        </w:rPr>
        <w:t>3）应急措施：</w:t>
      </w:r>
    </w:p>
    <w:p>
      <w:pPr>
        <w:numPr>
          <w:numId w:val="0"/>
        </w:numPr>
        <w:tabs>
          <w:tab w:val="left" w:pos="900"/>
          <w:tab w:val="left" w:pos="960"/>
        </w:tabs>
        <w:spacing w:line="360" w:lineRule="auto"/>
        <w:ind w:left="540" w:leftChars="0"/>
        <w:rPr>
          <w:rFonts w:hint="eastAsia" w:ascii="宋体" w:hAnsi="宋体"/>
          <w:sz w:val="24"/>
          <w:lang w:val="en-US" w:eastAsia="zh-CN"/>
        </w:rPr>
      </w:pPr>
      <w:r>
        <w:rPr>
          <w:rFonts w:hint="eastAsia" w:ascii="宋体" w:hAnsi="宋体"/>
          <w:sz w:val="24"/>
          <w:lang w:val="en-US" w:eastAsia="zh-CN"/>
        </w:rPr>
        <w:t>①通过茂名等有转供能力的站场提高转供量，以保证省网进销平衡；</w:t>
      </w:r>
    </w:p>
    <w:p>
      <w:pPr>
        <w:numPr>
          <w:numId w:val="0"/>
        </w:numPr>
        <w:tabs>
          <w:tab w:val="left" w:pos="900"/>
          <w:tab w:val="left" w:pos="960"/>
        </w:tabs>
        <w:spacing w:line="360" w:lineRule="auto"/>
        <w:ind w:left="540" w:leftChars="0"/>
        <w:rPr>
          <w:rFonts w:hint="eastAsia" w:ascii="宋体" w:hAnsi="宋体"/>
          <w:sz w:val="24"/>
          <w:lang w:val="en-US" w:eastAsia="zh-CN"/>
        </w:rPr>
      </w:pPr>
      <w:r>
        <w:rPr>
          <w:rFonts w:hint="eastAsia" w:ascii="宋体" w:hAnsi="宋体"/>
          <w:sz w:val="24"/>
          <w:lang w:val="en-US" w:eastAsia="zh-CN"/>
        </w:rPr>
        <w:t>②当现有转供手段无法满足省网销售时，协调市场部适量压减销售，或提升高栏港中海油进气。</w:t>
      </w:r>
    </w:p>
    <w:p>
      <w:pPr>
        <w:numPr>
          <w:numId w:val="0"/>
        </w:numPr>
        <w:tabs>
          <w:tab w:val="left" w:pos="900"/>
          <w:tab w:val="left" w:pos="960"/>
        </w:tabs>
        <w:spacing w:line="360" w:lineRule="auto"/>
        <w:ind w:leftChars="200"/>
        <w:rPr>
          <w:rFonts w:hint="eastAsia" w:ascii="宋体" w:hAnsi="宋体"/>
          <w:b/>
          <w:bCs/>
          <w:sz w:val="24"/>
          <w:lang w:val="en-US" w:eastAsia="zh-CN"/>
        </w:rPr>
      </w:pPr>
      <w:r>
        <w:rPr>
          <w:rFonts w:hint="eastAsia" w:ascii="宋体" w:hAnsi="宋体"/>
          <w:b/>
          <w:bCs/>
          <w:sz w:val="24"/>
          <w:lang w:val="en-US" w:eastAsia="zh-CN"/>
        </w:rPr>
        <w:t>3、大铲岛站、龙鼓滩站：</w:t>
      </w:r>
    </w:p>
    <w:p>
      <w:pPr>
        <w:spacing w:line="360" w:lineRule="auto"/>
        <w:ind w:firstLine="480" w:firstLineChars="200"/>
        <w:outlineLvl w:val="2"/>
        <w:rPr>
          <w:rFonts w:hint="eastAsia" w:ascii="宋体" w:hAnsi="宋体"/>
          <w:sz w:val="24"/>
          <w:szCs w:val="24"/>
          <w:lang w:val="en-US" w:eastAsia="zh-CN"/>
        </w:rPr>
      </w:pPr>
      <w:r>
        <w:rPr>
          <w:rFonts w:hint="eastAsia" w:ascii="宋体" w:hAnsi="宋体"/>
          <w:sz w:val="24"/>
          <w:szCs w:val="24"/>
          <w:lang w:val="en-US" w:eastAsia="zh-CN"/>
        </w:rPr>
        <w:t>1）事故影响：影响香港方向用户香港青电正常用气。</w:t>
      </w:r>
    </w:p>
    <w:p>
      <w:pPr>
        <w:spacing w:line="360" w:lineRule="auto"/>
        <w:ind w:firstLine="480" w:firstLineChars="200"/>
        <w:outlineLvl w:val="2"/>
        <w:rPr>
          <w:rFonts w:hint="default" w:ascii="宋体" w:hAnsi="宋体"/>
          <w:sz w:val="24"/>
          <w:szCs w:val="24"/>
          <w:lang w:val="en-US" w:eastAsia="zh-CN"/>
        </w:rPr>
      </w:pPr>
      <w:r>
        <w:rPr>
          <w:rFonts w:hint="eastAsia" w:ascii="宋体" w:hAnsi="宋体"/>
          <w:sz w:val="24"/>
          <w:lang w:val="en-US" w:eastAsia="zh-CN"/>
        </w:rPr>
        <w:t>2）</w:t>
      </w:r>
      <w:r>
        <w:rPr>
          <w:rFonts w:hint="eastAsia" w:ascii="宋体" w:hAnsi="宋体"/>
          <w:sz w:val="24"/>
        </w:rPr>
        <w:t>预防措施</w:t>
      </w:r>
    </w:p>
    <w:p>
      <w:pPr>
        <w:numPr>
          <w:ilvl w:val="0"/>
          <w:numId w:val="0"/>
        </w:numPr>
        <w:tabs>
          <w:tab w:val="left" w:pos="900"/>
          <w:tab w:val="left" w:pos="960"/>
        </w:tabs>
        <w:spacing w:line="360" w:lineRule="auto"/>
        <w:ind w:left="540" w:leftChars="0"/>
        <w:rPr>
          <w:rFonts w:hint="eastAsia" w:ascii="宋体" w:hAnsi="宋体"/>
          <w:sz w:val="24"/>
        </w:rPr>
      </w:pPr>
      <w:r>
        <w:rPr>
          <w:rFonts w:hint="eastAsia" w:ascii="宋体" w:hAnsi="宋体"/>
          <w:sz w:val="24"/>
          <w:szCs w:val="24"/>
          <w:lang w:val="en-US" w:eastAsia="zh-CN"/>
        </w:rPr>
        <w:t>①</w:t>
      </w:r>
      <w:r>
        <w:rPr>
          <w:rFonts w:hint="eastAsia" w:ascii="宋体" w:hAnsi="宋体"/>
          <w:sz w:val="24"/>
        </w:rPr>
        <w:t>要求站场加强巡检，异常情况及时汇报</w:t>
      </w:r>
    </w:p>
    <w:p>
      <w:pPr>
        <w:numPr>
          <w:ilvl w:val="0"/>
          <w:numId w:val="0"/>
        </w:numPr>
        <w:tabs>
          <w:tab w:val="left" w:pos="900"/>
          <w:tab w:val="left" w:pos="960"/>
        </w:tabs>
        <w:spacing w:line="360" w:lineRule="auto"/>
        <w:ind w:left="540" w:leftChars="0"/>
        <w:rPr>
          <w:rFonts w:hint="eastAsia" w:ascii="宋体" w:hAnsi="宋体"/>
          <w:sz w:val="24"/>
        </w:rPr>
      </w:pPr>
      <w:r>
        <w:rPr>
          <w:rFonts w:hint="eastAsia" w:ascii="宋体" w:hAnsi="宋体"/>
          <w:sz w:val="24"/>
          <w:szCs w:val="24"/>
          <w:lang w:val="en-US" w:eastAsia="zh-CN"/>
        </w:rPr>
        <w:t>②</w:t>
      </w:r>
      <w:r>
        <w:rPr>
          <w:rFonts w:hint="eastAsia" w:ascii="宋体" w:hAnsi="宋体"/>
          <w:sz w:val="24"/>
        </w:rPr>
        <w:t>做好监控，正确设定报警参数。</w:t>
      </w:r>
    </w:p>
    <w:p>
      <w:pPr>
        <w:numPr>
          <w:ilvl w:val="0"/>
          <w:numId w:val="0"/>
        </w:numPr>
        <w:tabs>
          <w:tab w:val="left" w:pos="900"/>
          <w:tab w:val="left" w:pos="960"/>
        </w:tabs>
        <w:spacing w:line="360" w:lineRule="auto"/>
        <w:ind w:left="540" w:leftChars="0"/>
        <w:rPr>
          <w:rFonts w:hint="eastAsia" w:ascii="宋体" w:hAnsi="宋体"/>
          <w:sz w:val="24"/>
          <w:lang w:val="en-US" w:eastAsia="zh-CN"/>
        </w:rPr>
      </w:pPr>
      <w:r>
        <w:rPr>
          <w:rFonts w:hint="eastAsia" w:ascii="宋体" w:hAnsi="宋体"/>
          <w:sz w:val="24"/>
          <w:lang w:val="en-US" w:eastAsia="zh-CN"/>
        </w:rPr>
        <w:t>3）应急措施：当失去转供能力时，向香港青电说明情况，告知联系备用气源，协调市场部变更香港青电日指定。</w:t>
      </w:r>
    </w:p>
    <w:p>
      <w:pPr>
        <w:numPr>
          <w:ilvl w:val="0"/>
          <w:numId w:val="3"/>
        </w:numPr>
        <w:tabs>
          <w:tab w:val="left" w:pos="900"/>
          <w:tab w:val="left" w:pos="960"/>
        </w:tabs>
        <w:spacing w:line="360" w:lineRule="auto"/>
        <w:ind w:left="540" w:leftChars="0"/>
        <w:rPr>
          <w:rFonts w:hint="default" w:ascii="宋体" w:hAnsi="宋体"/>
          <w:b/>
          <w:bCs/>
          <w:sz w:val="24"/>
          <w:lang w:val="en-US" w:eastAsia="zh-CN"/>
        </w:rPr>
      </w:pPr>
      <w:r>
        <w:rPr>
          <w:rFonts w:hint="eastAsia" w:ascii="宋体" w:hAnsi="宋体"/>
          <w:b/>
          <w:bCs/>
          <w:sz w:val="24"/>
          <w:lang w:val="en-US" w:eastAsia="zh-CN"/>
        </w:rPr>
        <w:t>分输站场失效：</w:t>
      </w:r>
    </w:p>
    <w:p>
      <w:pPr>
        <w:ind w:firstLine="420"/>
        <w:outlineLvl w:val="2"/>
        <w:rPr>
          <w:rFonts w:ascii="宋体" w:hAnsi="宋体"/>
          <w:sz w:val="24"/>
        </w:rPr>
      </w:pPr>
      <w:r>
        <w:rPr>
          <w:rFonts w:hint="eastAsia" w:ascii="宋体" w:hAnsi="宋体"/>
          <w:sz w:val="24"/>
        </w:rPr>
        <w:t>1）事故影响</w:t>
      </w:r>
    </w:p>
    <w:p>
      <w:pPr>
        <w:pStyle w:val="4"/>
        <w:spacing w:line="360" w:lineRule="auto"/>
        <w:ind w:firstLine="480"/>
        <w:rPr>
          <w:rFonts w:ascii="宋体" w:hAnsi="宋体"/>
          <w:sz w:val="24"/>
          <w:szCs w:val="24"/>
        </w:rPr>
      </w:pPr>
      <w:r>
        <w:rPr>
          <w:rFonts w:hint="eastAsia" w:ascii="宋体" w:hAnsi="宋体"/>
          <w:sz w:val="24"/>
          <w:szCs w:val="24"/>
          <w:lang w:val="en-US" w:eastAsia="zh-CN"/>
        </w:rPr>
        <w:t>普通分输站场</w:t>
      </w:r>
      <w:r>
        <w:rPr>
          <w:rFonts w:hint="eastAsia" w:ascii="宋体" w:hAnsi="宋体"/>
          <w:sz w:val="24"/>
          <w:szCs w:val="24"/>
        </w:rPr>
        <w:t>失效会直接</w:t>
      </w:r>
      <w:r>
        <w:rPr>
          <w:rFonts w:hint="eastAsia" w:ascii="宋体" w:hAnsi="宋体"/>
          <w:sz w:val="24"/>
          <w:szCs w:val="24"/>
          <w:lang w:val="en-US" w:eastAsia="zh-CN"/>
        </w:rPr>
        <w:t>影响</w:t>
      </w:r>
      <w:r>
        <w:rPr>
          <w:rFonts w:hint="eastAsia" w:ascii="宋体" w:hAnsi="宋体"/>
          <w:sz w:val="24"/>
          <w:szCs w:val="24"/>
        </w:rPr>
        <w:t>站内用户供气，时间过长可能会影响到当地居民的用气。</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要求站场加强巡检，异常情况及时汇报</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做好监控，正确设定报警参数。</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调度通过</w:t>
      </w:r>
      <w:r>
        <w:rPr>
          <w:rFonts w:ascii="宋体" w:hAnsi="宋体"/>
          <w:sz w:val="24"/>
        </w:rPr>
        <w:t>SCADA</w:t>
      </w:r>
      <w:r>
        <w:rPr>
          <w:rFonts w:hint="eastAsia" w:ascii="宋体" w:hAnsi="宋体"/>
          <w:sz w:val="24"/>
        </w:rPr>
        <w:t>发现或接到汇报反映站场失效时，联系站场了解情况，排除其他异常情况；</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要求站场查明原因后恢复流程，如无法恢复站场运行的，经值班调度长同意后，让站场导通越站流程；</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 xml:space="preserve">汇报值班调度长； </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短信通知相关人员。</w:t>
      </w:r>
    </w:p>
    <w:p>
      <w:pPr>
        <w:numPr>
          <w:ilvl w:val="0"/>
          <w:numId w:val="1"/>
        </w:numPr>
        <w:spacing w:line="360" w:lineRule="auto"/>
        <w:outlineLvl w:val="1"/>
        <w:rPr>
          <w:rFonts w:hint="default" w:ascii="宋体" w:hAnsi="宋体"/>
          <w:b/>
          <w:bCs/>
          <w:sz w:val="32"/>
          <w:szCs w:val="32"/>
          <w:lang w:val="en-US" w:eastAsia="zh-CN"/>
        </w:rPr>
      </w:pPr>
      <w:r>
        <w:rPr>
          <w:rFonts w:hint="eastAsia" w:ascii="宋体" w:hAnsi="宋体"/>
          <w:b/>
          <w:bCs/>
          <w:sz w:val="32"/>
          <w:szCs w:val="32"/>
          <w:lang w:val="en-US" w:eastAsia="zh-CN"/>
        </w:rPr>
        <w:t>粤东LNG、深圳LNG接收站失效</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outlineLvl w:val="1"/>
        <w:rPr>
          <w:rFonts w:hint="eastAsia" w:ascii="宋体" w:hAnsi="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事故影响</w:t>
      </w:r>
      <w:r>
        <w:rPr>
          <w:rFonts w:hint="eastAsia" w:ascii="宋体" w:hAnsi="宋体" w:cs="Times New Roman"/>
          <w:kern w:val="2"/>
          <w:sz w:val="24"/>
          <w:szCs w:val="24"/>
          <w:lang w:val="en-US" w:eastAsia="zh-CN" w:bidi="ar-SA"/>
        </w:rPr>
        <w:t>：影响西二线广南、广深系统进销平衡，不及时调整会导致管存降低，甚至用户用气无法满足。</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80" w:firstLineChars="200"/>
        <w:textAlignment w:val="auto"/>
        <w:outlineLvl w:val="1"/>
        <w:rPr>
          <w:rFonts w:hint="default" w:ascii="宋体" w:hAnsi="宋体"/>
          <w:b/>
          <w:bCs/>
          <w:sz w:val="24"/>
          <w:lang w:val="en-US" w:eastAsia="zh-CN"/>
        </w:rPr>
      </w:pPr>
      <w:r>
        <w:rPr>
          <w:rFonts w:hint="eastAsia" w:ascii="宋体" w:hAnsi="宋体" w:cs="Times New Roman"/>
          <w:kern w:val="2"/>
          <w:sz w:val="24"/>
          <w:szCs w:val="24"/>
          <w:lang w:val="en-US" w:eastAsia="zh-CN" w:bidi="ar-SA"/>
        </w:rPr>
        <w:t>应急措施：增加中贵线转供中缅线，进而增大梧州站转供，由西二线樟树站向广州方向补气，以满足用户用气、内转供需求。</w:t>
      </w:r>
    </w:p>
    <w:p>
      <w:pPr>
        <w:numPr>
          <w:ilvl w:val="0"/>
          <w:numId w:val="1"/>
        </w:numPr>
        <w:spacing w:line="360" w:lineRule="auto"/>
        <w:outlineLvl w:val="1"/>
        <w:rPr>
          <w:rFonts w:hint="eastAsia" w:ascii="宋体" w:hAnsi="宋体"/>
          <w:b/>
          <w:bCs/>
          <w:sz w:val="32"/>
          <w:szCs w:val="32"/>
          <w:lang w:val="en-US" w:eastAsia="zh-CN"/>
        </w:rPr>
      </w:pPr>
      <w:r>
        <w:rPr>
          <w:rFonts w:hint="eastAsia" w:ascii="宋体" w:hAnsi="宋体"/>
          <w:b/>
          <w:bCs/>
          <w:sz w:val="32"/>
          <w:szCs w:val="32"/>
          <w:lang w:val="en-US" w:eastAsia="zh-CN"/>
        </w:rPr>
        <w:t>防汛突发事件</w:t>
      </w:r>
    </w:p>
    <w:p>
      <w:pPr>
        <w:spacing w:line="360" w:lineRule="auto"/>
        <w:ind w:firstLine="480" w:firstLineChars="200"/>
        <w:outlineLvl w:val="2"/>
        <w:rPr>
          <w:rFonts w:ascii="宋体" w:hAnsi="宋体"/>
          <w:sz w:val="24"/>
        </w:rPr>
      </w:pPr>
      <w:r>
        <w:rPr>
          <w:rFonts w:hint="eastAsia" w:ascii="宋体" w:hAnsi="宋体"/>
          <w:sz w:val="24"/>
        </w:rPr>
        <w:t>1）事故影响</w:t>
      </w:r>
    </w:p>
    <w:p>
      <w:pPr>
        <w:pStyle w:val="13"/>
        <w:spacing w:line="360" w:lineRule="auto"/>
        <w:ind w:firstLineChars="0"/>
        <w:rPr>
          <w:rFonts w:ascii="宋体" w:hAnsi="宋体"/>
          <w:sz w:val="24"/>
        </w:rPr>
      </w:pPr>
      <w:r>
        <w:rPr>
          <w:rFonts w:hint="eastAsia" w:ascii="宋体" w:hAnsi="宋体"/>
          <w:sz w:val="24"/>
        </w:rPr>
        <w:t>该段管道发生暴雨洪水等防汛突发事件将严重危害管道安全运营，可能导致管道断裂、严重变形、悬空、露管等险情或酿成灾害事件，从而造成天然气损失，乃至</w:t>
      </w:r>
      <w:r>
        <w:rPr>
          <w:rFonts w:ascii="宋体" w:hAnsi="宋体"/>
          <w:sz w:val="24"/>
        </w:rPr>
        <w:t>造成人员伤亡</w:t>
      </w:r>
      <w:r>
        <w:rPr>
          <w:rFonts w:hint="eastAsia" w:ascii="宋体" w:hAnsi="宋体"/>
          <w:sz w:val="24"/>
        </w:rPr>
        <w:t>和财产损失，影响管网的正常运行。</w:t>
      </w:r>
    </w:p>
    <w:p>
      <w:pPr>
        <w:spacing w:line="360" w:lineRule="auto"/>
        <w:ind w:firstLine="480" w:firstLineChars="200"/>
        <w:outlineLvl w:val="2"/>
        <w:rPr>
          <w:rFonts w:ascii="宋体" w:hAnsi="宋体"/>
          <w:sz w:val="24"/>
        </w:rPr>
      </w:pPr>
      <w:r>
        <w:rPr>
          <w:rFonts w:hint="eastAsia" w:ascii="宋体" w:hAnsi="宋体"/>
          <w:sz w:val="24"/>
        </w:rPr>
        <w:t>2）预防措施</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做好监控，密切关注沿线温度、流量、压力等参数。</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现场加强巡检，异常情况及时汇报。</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关注管道沿线暴雨.及地址灾害预警。</w:t>
      </w:r>
    </w:p>
    <w:p>
      <w:pPr>
        <w:spacing w:line="360" w:lineRule="auto"/>
        <w:ind w:firstLine="480" w:firstLineChars="200"/>
        <w:outlineLvl w:val="2"/>
        <w:rPr>
          <w:rFonts w:ascii="宋体" w:hAnsi="宋体"/>
          <w:sz w:val="24"/>
        </w:rPr>
      </w:pPr>
      <w:r>
        <w:rPr>
          <w:rFonts w:hint="eastAsia" w:ascii="宋体" w:hAnsi="宋体"/>
          <w:sz w:val="24"/>
        </w:rPr>
        <w:t>3）应急措施</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发现高危区通讯中断，需第一时间查看上下游压力趋势。</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现场汇报管道沿线发生防汛突发异常事件，调度应立即汇报值班调度长，并初步判断事件风险等级，调整上下游机组运行工况，降低该段管道运行工况；</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通知现场立即派人对该管段的的危险性进行分析评价，制定应急处置方案；</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根据现场制定的应急处置方案，若该事件不影响管道运行，则恢复管道运行至事件前工况，并要求现场加强该管段巡检；</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降压运行，调度应立即调整上游机组运行工况。根据降压需要，可关闭吉安站干线截断阀，通过旁通调整事故管段压力。根据广深广南支线运行工况以及事故管段压力情况，合理调整广州站流程；</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根据现场制定的应急处置方案，若该管道需截断放空，调度立即根据情况通知现场截断事故点上下游阀室，半小时内无法达到的经值班调度长同意填写操作票远程关断事故点上下游阀室。根据管道运行工况，调整上游机组。根据应急调整方案，截断广州站，事故点-广州段用户暂时由管存供气，广深支线、广南支线用户由梧州供气。若持续时间较长，可调整广州站流程，缅气北上保障事故点-广州段用户用气。根据西二线东段平衡，调整其他转供点转供量；</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若梧州进气无法保障事故点-广州段、广深支线、广南支线用户供气，应协调南方销售，将广州、东莞、肇庆用户等广东管网用户改由中海油供气；</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汇报值班调度长并短信通知相关人员；</w:t>
      </w:r>
    </w:p>
    <w:p>
      <w:pPr>
        <w:numPr>
          <w:ilvl w:val="0"/>
          <w:numId w:val="4"/>
        </w:numPr>
        <w:tabs>
          <w:tab w:val="left" w:pos="900"/>
          <w:tab w:val="left" w:pos="960"/>
          <w:tab w:val="clear" w:pos="420"/>
        </w:tabs>
        <w:spacing w:line="360" w:lineRule="auto"/>
        <w:ind w:left="900" w:hanging="360"/>
        <w:rPr>
          <w:rFonts w:ascii="宋体" w:hAnsi="宋体"/>
          <w:sz w:val="24"/>
        </w:rPr>
      </w:pPr>
      <w:r>
        <w:rPr>
          <w:rFonts w:hint="eastAsia" w:ascii="宋体" w:hAnsi="宋体"/>
          <w:sz w:val="24"/>
        </w:rPr>
        <w:t>跟踪现场处理情况，配合做好运行调整。</w:t>
      </w:r>
    </w:p>
    <w:p>
      <w:pPr>
        <w:numPr>
          <w:numId w:val="0"/>
        </w:numPr>
        <w:tabs>
          <w:tab w:val="left" w:pos="900"/>
          <w:tab w:val="left" w:pos="960"/>
        </w:tabs>
        <w:spacing w:line="360" w:lineRule="auto"/>
        <w:ind w:leftChars="200"/>
        <w:rPr>
          <w:rFonts w:hint="eastAsia" w:ascii="宋体" w:hAnsi="宋体"/>
          <w:b/>
          <w:bCs/>
          <w:sz w:val="24"/>
          <w:lang w:val="en-US" w:eastAsia="zh-CN"/>
        </w:rPr>
      </w:pPr>
    </w:p>
    <w:p>
      <w:pPr>
        <w:numPr>
          <w:numId w:val="0"/>
        </w:numPr>
        <w:tabs>
          <w:tab w:val="left" w:pos="900"/>
          <w:tab w:val="left" w:pos="960"/>
        </w:tabs>
        <w:spacing w:line="360" w:lineRule="auto"/>
        <w:ind w:leftChars="200"/>
        <w:rPr>
          <w:rFonts w:hint="default" w:ascii="宋体" w:hAnsi="宋体"/>
          <w:b/>
          <w:bCs/>
          <w:sz w:val="24"/>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方正大黑简体">
    <w:panose1 w:val="02010601030101010101"/>
    <w:charset w:val="86"/>
    <w:family w:val="auto"/>
    <w:pitch w:val="default"/>
    <w:sig w:usb0="00000001" w:usb1="080E0000" w:usb2="00000000" w:usb3="00000000" w:csb0="00040000" w:csb1="00000000"/>
  </w:font>
  <w:font w:name="方正仿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E153F"/>
    <w:multiLevelType w:val="singleLevel"/>
    <w:tmpl w:val="851E153F"/>
    <w:lvl w:ilvl="0" w:tentative="0">
      <w:start w:val="1"/>
      <w:numFmt w:val="decimal"/>
      <w:suff w:val="nothing"/>
      <w:lvlText w:val="%1、"/>
      <w:lvlJc w:val="left"/>
    </w:lvl>
  </w:abstractNum>
  <w:abstractNum w:abstractNumId="1">
    <w:nsid w:val="BA32F9CE"/>
    <w:multiLevelType w:val="singleLevel"/>
    <w:tmpl w:val="BA32F9CE"/>
    <w:lvl w:ilvl="0" w:tentative="0">
      <w:start w:val="4"/>
      <w:numFmt w:val="decimal"/>
      <w:suff w:val="nothing"/>
      <w:lvlText w:val="%1、"/>
      <w:lvlJc w:val="left"/>
    </w:lvl>
  </w:abstractNum>
  <w:abstractNum w:abstractNumId="2">
    <w:nsid w:val="D57BED85"/>
    <w:multiLevelType w:val="singleLevel"/>
    <w:tmpl w:val="D57BED85"/>
    <w:lvl w:ilvl="0" w:tentative="0">
      <w:start w:val="1"/>
      <w:numFmt w:val="chineseCounting"/>
      <w:suff w:val="nothing"/>
      <w:lvlText w:val="%1、"/>
      <w:lvlJc w:val="left"/>
      <w:rPr>
        <w:rFonts w:hint="eastAsia"/>
      </w:rPr>
    </w:lvl>
  </w:abstractNum>
  <w:abstractNum w:abstractNumId="3">
    <w:nsid w:val="052AC0A1"/>
    <w:multiLevelType w:val="singleLevel"/>
    <w:tmpl w:val="052AC0A1"/>
    <w:lvl w:ilvl="0" w:tentative="0">
      <w:start w:val="1"/>
      <w:numFmt w:val="decimal"/>
      <w:suff w:val="nothing"/>
      <w:lvlText w:val="%1、"/>
      <w:lvlJc w:val="left"/>
    </w:lvl>
  </w:abstractNum>
  <w:abstractNum w:abstractNumId="4">
    <w:nsid w:val="3DDD066B"/>
    <w:multiLevelType w:val="multilevel"/>
    <w:tmpl w:val="3DDD066B"/>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E5B12"/>
    <w:rsid w:val="00010005"/>
    <w:rsid w:val="000238D3"/>
    <w:rsid w:val="00041785"/>
    <w:rsid w:val="00072D5F"/>
    <w:rsid w:val="000A1B7E"/>
    <w:rsid w:val="000A5A21"/>
    <w:rsid w:val="000B0C14"/>
    <w:rsid w:val="000B68D8"/>
    <w:rsid w:val="000C42B3"/>
    <w:rsid w:val="000E4A8E"/>
    <w:rsid w:val="000E69BA"/>
    <w:rsid w:val="00102176"/>
    <w:rsid w:val="00120825"/>
    <w:rsid w:val="001453B6"/>
    <w:rsid w:val="00147438"/>
    <w:rsid w:val="00166E2E"/>
    <w:rsid w:val="001F5A57"/>
    <w:rsid w:val="001F654E"/>
    <w:rsid w:val="00207B59"/>
    <w:rsid w:val="00216F72"/>
    <w:rsid w:val="00264D5C"/>
    <w:rsid w:val="00270758"/>
    <w:rsid w:val="0029474F"/>
    <w:rsid w:val="002D37B5"/>
    <w:rsid w:val="00322279"/>
    <w:rsid w:val="003312CB"/>
    <w:rsid w:val="00363606"/>
    <w:rsid w:val="003775C5"/>
    <w:rsid w:val="003A7EB6"/>
    <w:rsid w:val="003D32AB"/>
    <w:rsid w:val="004016D5"/>
    <w:rsid w:val="004240F2"/>
    <w:rsid w:val="0046572F"/>
    <w:rsid w:val="00496921"/>
    <w:rsid w:val="004A4EA1"/>
    <w:rsid w:val="004C0E6E"/>
    <w:rsid w:val="004C54CC"/>
    <w:rsid w:val="004D2FFA"/>
    <w:rsid w:val="004F4416"/>
    <w:rsid w:val="004F6C40"/>
    <w:rsid w:val="00522625"/>
    <w:rsid w:val="00524453"/>
    <w:rsid w:val="00530959"/>
    <w:rsid w:val="00537BA2"/>
    <w:rsid w:val="00554067"/>
    <w:rsid w:val="00575EF9"/>
    <w:rsid w:val="00580CBF"/>
    <w:rsid w:val="0061416C"/>
    <w:rsid w:val="00644E62"/>
    <w:rsid w:val="0065064F"/>
    <w:rsid w:val="006726AA"/>
    <w:rsid w:val="006A4A51"/>
    <w:rsid w:val="006B39E5"/>
    <w:rsid w:val="006C55FF"/>
    <w:rsid w:val="006E2C89"/>
    <w:rsid w:val="0071244A"/>
    <w:rsid w:val="00764E15"/>
    <w:rsid w:val="007659C8"/>
    <w:rsid w:val="00791895"/>
    <w:rsid w:val="007C10D2"/>
    <w:rsid w:val="007E3CB9"/>
    <w:rsid w:val="007E6A00"/>
    <w:rsid w:val="007E7A29"/>
    <w:rsid w:val="00842C8B"/>
    <w:rsid w:val="00843C09"/>
    <w:rsid w:val="008508B1"/>
    <w:rsid w:val="008902E6"/>
    <w:rsid w:val="008A7165"/>
    <w:rsid w:val="008C4D00"/>
    <w:rsid w:val="0090206B"/>
    <w:rsid w:val="00904D2E"/>
    <w:rsid w:val="00923B6F"/>
    <w:rsid w:val="00934E70"/>
    <w:rsid w:val="009359E9"/>
    <w:rsid w:val="009751D7"/>
    <w:rsid w:val="009C75C6"/>
    <w:rsid w:val="00A006C0"/>
    <w:rsid w:val="00A866D1"/>
    <w:rsid w:val="00AC1D0E"/>
    <w:rsid w:val="00AD1170"/>
    <w:rsid w:val="00B007E3"/>
    <w:rsid w:val="00B25C72"/>
    <w:rsid w:val="00B72D8D"/>
    <w:rsid w:val="00B75C3F"/>
    <w:rsid w:val="00BA07D4"/>
    <w:rsid w:val="00BC1A44"/>
    <w:rsid w:val="00BF1275"/>
    <w:rsid w:val="00C145F4"/>
    <w:rsid w:val="00C47A17"/>
    <w:rsid w:val="00CD2AC5"/>
    <w:rsid w:val="00CE5B12"/>
    <w:rsid w:val="00CE5E65"/>
    <w:rsid w:val="00CF10F6"/>
    <w:rsid w:val="00D06B16"/>
    <w:rsid w:val="00D129C9"/>
    <w:rsid w:val="00D668F7"/>
    <w:rsid w:val="00D84A0E"/>
    <w:rsid w:val="00DD1301"/>
    <w:rsid w:val="00DD4AB9"/>
    <w:rsid w:val="00E13D07"/>
    <w:rsid w:val="00E57C88"/>
    <w:rsid w:val="00E818F7"/>
    <w:rsid w:val="00E93D68"/>
    <w:rsid w:val="00E96D59"/>
    <w:rsid w:val="00EA6A2F"/>
    <w:rsid w:val="00ED6506"/>
    <w:rsid w:val="00EF096F"/>
    <w:rsid w:val="00F27A6E"/>
    <w:rsid w:val="00FD7144"/>
    <w:rsid w:val="1F3146AF"/>
    <w:rsid w:val="37146709"/>
    <w:rsid w:val="6CB31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2"/>
    <w:qFormat/>
    <w:uiPriority w:val="0"/>
    <w:pPr>
      <w:keepNext/>
      <w:keepLines/>
      <w:spacing w:before="260" w:after="260" w:line="416" w:lineRule="auto"/>
      <w:outlineLvl w:val="2"/>
    </w:pPr>
    <w:rPr>
      <w:b/>
      <w:bCs/>
      <w:sz w:val="32"/>
      <w:szCs w:val="32"/>
    </w:rPr>
  </w:style>
  <w:style w:type="paragraph" w:styleId="3">
    <w:name w:val="heading 4"/>
    <w:basedOn w:val="1"/>
    <w:next w:val="1"/>
    <w:link w:val="1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Normal Indent"/>
    <w:basedOn w:val="1"/>
    <w:qFormat/>
    <w:uiPriority w:val="0"/>
    <w:pPr>
      <w:ind w:firstLine="420" w:firstLineChars="200"/>
    </w:pPr>
    <w:rPr>
      <w:szCs w:val="20"/>
    </w:rPr>
  </w:style>
  <w:style w:type="paragraph" w:styleId="5">
    <w:name w:val="Balloon Text"/>
    <w:basedOn w:val="1"/>
    <w:link w:val="16"/>
    <w:semiHidden/>
    <w:unhideWhenUsed/>
    <w:uiPriority w:val="99"/>
    <w:rPr>
      <w:sz w:val="18"/>
      <w:szCs w:val="18"/>
    </w:rPr>
  </w:style>
  <w:style w:type="paragraph" w:styleId="6">
    <w:name w:val="footer"/>
    <w:basedOn w:val="1"/>
    <w:link w:val="11"/>
    <w:semiHidden/>
    <w:unhideWhenUsed/>
    <w:qFormat/>
    <w:uiPriority w:val="99"/>
    <w:pPr>
      <w:tabs>
        <w:tab w:val="center" w:pos="4153"/>
        <w:tab w:val="right" w:pos="8306"/>
      </w:tabs>
      <w:snapToGrid w:val="0"/>
      <w:jc w:val="left"/>
    </w:pPr>
    <w:rPr>
      <w:sz w:val="18"/>
      <w:szCs w:val="18"/>
    </w:rPr>
  </w:style>
  <w:style w:type="paragraph" w:styleId="7">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10">
    <w:name w:val="页眉 Char"/>
    <w:basedOn w:val="9"/>
    <w:link w:val="7"/>
    <w:semiHidden/>
    <w:qFormat/>
    <w:uiPriority w:val="99"/>
    <w:rPr>
      <w:sz w:val="18"/>
      <w:szCs w:val="18"/>
    </w:rPr>
  </w:style>
  <w:style w:type="character" w:customStyle="1" w:styleId="11">
    <w:name w:val="页脚 Char"/>
    <w:basedOn w:val="9"/>
    <w:link w:val="6"/>
    <w:semiHidden/>
    <w:uiPriority w:val="99"/>
    <w:rPr>
      <w:sz w:val="18"/>
      <w:szCs w:val="18"/>
    </w:rPr>
  </w:style>
  <w:style w:type="character" w:customStyle="1" w:styleId="12">
    <w:name w:val="标题 3 Char"/>
    <w:basedOn w:val="9"/>
    <w:link w:val="2"/>
    <w:qFormat/>
    <w:uiPriority w:val="0"/>
    <w:rPr>
      <w:rFonts w:ascii="Times New Roman" w:hAnsi="Times New Roman" w:eastAsia="宋体" w:cs="Times New Roman"/>
      <w:b/>
      <w:bCs/>
      <w:sz w:val="32"/>
      <w:szCs w:val="32"/>
    </w:rPr>
  </w:style>
  <w:style w:type="paragraph" w:customStyle="1" w:styleId="13">
    <w:name w:val="列出段落1"/>
    <w:basedOn w:val="1"/>
    <w:qFormat/>
    <w:uiPriority w:val="34"/>
    <w:pPr>
      <w:ind w:firstLine="420" w:firstLineChars="200"/>
    </w:pPr>
  </w:style>
  <w:style w:type="character" w:customStyle="1" w:styleId="14">
    <w:name w:val="标题 4 Char"/>
    <w:basedOn w:val="9"/>
    <w:link w:val="3"/>
    <w:qFormat/>
    <w:uiPriority w:val="9"/>
    <w:rPr>
      <w:rFonts w:asciiTheme="majorHAnsi" w:hAnsiTheme="majorHAnsi" w:eastAsiaTheme="majorEastAsia" w:cstheme="majorBidi"/>
      <w:b/>
      <w:bCs/>
      <w:sz w:val="28"/>
      <w:szCs w:val="28"/>
    </w:rPr>
  </w:style>
  <w:style w:type="paragraph" w:styleId="15">
    <w:name w:val="List Paragraph"/>
    <w:basedOn w:val="1"/>
    <w:qFormat/>
    <w:uiPriority w:val="34"/>
    <w:pPr>
      <w:ind w:firstLine="420" w:firstLineChars="200"/>
    </w:pPr>
  </w:style>
  <w:style w:type="character" w:customStyle="1" w:styleId="16">
    <w:name w:val="批注框文本 Char"/>
    <w:basedOn w:val="9"/>
    <w:link w:val="5"/>
    <w:semiHidden/>
    <w:qFormat/>
    <w:uiPriority w:val="99"/>
    <w:rPr>
      <w:rFonts w:ascii="Times New Roman" w:hAnsi="Times New Roman" w:eastAsia="宋体" w:cs="Times New Roman"/>
      <w:sz w:val="18"/>
      <w:szCs w:val="18"/>
    </w:rPr>
  </w:style>
  <w:style w:type="paragraph" w:customStyle="1" w:styleId="17">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7390B1-DFB3-4BD1-9BD4-A3284660527B}">
  <ds:schemaRefs/>
</ds:datastoreItem>
</file>

<file path=docProps/app.xml><?xml version="1.0" encoding="utf-8"?>
<Properties xmlns="http://schemas.openxmlformats.org/officeDocument/2006/extended-properties" xmlns:vt="http://schemas.openxmlformats.org/officeDocument/2006/docPropsVTypes">
  <Template>Normal.dotm</Template>
  <Company>Lenovo</Company>
  <Pages>74</Pages>
  <Words>6311</Words>
  <Characters>35978</Characters>
  <Lines>299</Lines>
  <Paragraphs>84</Paragraphs>
  <TotalTime>1</TotalTime>
  <ScaleCrop>false</ScaleCrop>
  <LinksUpToDate>false</LinksUpToDate>
  <CharactersWithSpaces>42205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2018-07-07T11:44:00Z</dcterms:created>
  <dc:creator>荣海伦</dc:creator>
  <cp:lastModifiedBy>xts</cp:lastModifiedBy>
  <cp:lastPrinted>2023-07-17T07:44:28Z</cp:lastPrinted>
  <dcterms:modified xsi:type="dcterms:W3CDTF">2023-07-17T07:44:49Z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