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79C0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80" w:lineRule="exact"/>
        <w:ind w:right="0"/>
        <w:jc w:val="center"/>
        <w:textAlignment w:val="auto"/>
        <w:rPr>
          <w:rFonts w:hint="default" w:ascii="宋体" w:hAnsi="宋体" w:eastAsia="宋体" w:cs="宋体"/>
          <w:b/>
          <w:bCs/>
          <w:spacing w:val="-2"/>
          <w:kern w:val="2"/>
          <w:sz w:val="30"/>
          <w:szCs w:val="30"/>
          <w:lang w:val="en-US" w:eastAsia="zh-CN" w:bidi="ar-SA"/>
        </w:rPr>
      </w:pPr>
    </w:p>
    <w:p w14:paraId="19592E9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80" w:lineRule="exact"/>
        <w:ind w:right="0"/>
        <w:jc w:val="center"/>
        <w:textAlignment w:val="auto"/>
        <w:rPr>
          <w:rFonts w:hint="eastAsia" w:ascii="宋体" w:hAnsi="宋体" w:eastAsia="宋体" w:cs="宋体"/>
          <w:b/>
          <w:bCs/>
          <w:spacing w:val="-2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2"/>
          <w:kern w:val="2"/>
          <w:sz w:val="30"/>
          <w:szCs w:val="30"/>
          <w:lang w:val="en-US" w:eastAsia="zh-CN" w:bidi="ar-SA"/>
        </w:rPr>
        <w:t>【摘要】</w:t>
      </w:r>
    </w:p>
    <w:p w14:paraId="4ACB05D8"/>
    <w:p w14:paraId="5FD28304"/>
    <w:p w14:paraId="5671ADAE"/>
    <w:p w14:paraId="0903AF6C"/>
    <w:p w14:paraId="6CB71124"/>
    <w:p w14:paraId="4F10A5CB"/>
    <w:p w14:paraId="72231F03"/>
    <w:p w14:paraId="226D46CE"/>
    <w:p w14:paraId="5734C4E3"/>
    <w:p w14:paraId="10FBC600"/>
    <w:p w14:paraId="4FEACC69"/>
    <w:p w14:paraId="25114CCE"/>
    <w:p w14:paraId="682712F5"/>
    <w:p w14:paraId="40C1B572"/>
    <w:p w14:paraId="2260655B"/>
    <w:p w14:paraId="67097F33"/>
    <w:p w14:paraId="76A8F660"/>
    <w:p w14:paraId="618EA061"/>
    <w:p w14:paraId="49992FB9"/>
    <w:p w14:paraId="57745FC1"/>
    <w:p w14:paraId="31452D77"/>
    <w:p w14:paraId="31158582"/>
    <w:p w14:paraId="5A4F84E6"/>
    <w:p w14:paraId="06C3E203"/>
    <w:p w14:paraId="6FF5CFCF"/>
    <w:p w14:paraId="5EC132E4"/>
    <w:p w14:paraId="66BFE37D"/>
    <w:p w14:paraId="655BD289"/>
    <w:p w14:paraId="0014795F"/>
    <w:p w14:paraId="1FE91BDA"/>
    <w:p w14:paraId="095E6823"/>
    <w:p w14:paraId="686DC527"/>
    <w:p w14:paraId="14C65E68"/>
    <w:p w14:paraId="6659802F"/>
    <w:p w14:paraId="7D7198FB"/>
    <w:p w14:paraId="2F338969"/>
    <w:p w14:paraId="1BE77BD6"/>
    <w:p w14:paraId="7C6D7EEC"/>
    <w:p w14:paraId="5DA2E58F"/>
    <w:p w14:paraId="7BB30B41"/>
    <w:p w14:paraId="2A6A2FF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after="160" w:line="380" w:lineRule="exact"/>
        <w:ind w:right="0" w:rightChars="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一、</w:t>
      </w:r>
      <w:r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问题重述</w:t>
      </w:r>
    </w:p>
    <w:p w14:paraId="2FC2E8E2">
      <w:pPr>
        <w:pStyle w:val="2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引言</w:t>
      </w: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-问题背景</w:t>
      </w:r>
    </w:p>
    <w:p w14:paraId="3B9C08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无创产前检测依托高通量测序产前筛查技术，通过采集母体血液、检测胎儿的游离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DNA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片段、分析胎儿染色体是否存在异常，实现胎儿的健康程度早期筛查。该技术的安全性和高灵敏度使其在临床得到广泛应用，但核心瓶颈在于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检测准确度高度依赖胎儿来源的DNA浓度。研究表明，男胎的Y染色体浓度变化与孕周历程及母体质量指数密切相关。但由于个体间存在显著的生理异质性，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统一时点检测策略往往导致部分孕妇错过最佳检测窗口，不仅削弱结果可靠性，更可能因延误干预时机而加重妊娠风险。因此，精准划分孕妇群体并定制个性化NIPT时点，成为提升产前筛查效能的关键突破口。本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文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研究基于某地区真实临床数据，借助数学模型探索最优分组方案与异常判别机制，为临床决策提供量化支撑。</w:t>
      </w:r>
    </w:p>
    <w:p w14:paraId="38F383AD">
      <w:pPr>
        <w:pStyle w:val="2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问题提出</w:t>
      </w:r>
    </w:p>
    <w:p w14:paraId="438BC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问题一：变量关联性分析；探查男胎Y染色体浓度随母体孕周、BMI等指标的变化规律，明确其响应关系，并构建具有统计显著性的定量描述模型。</w:t>
      </w:r>
    </w:p>
    <w:p w14:paraId="53035C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问题二：基于单一因素的分组与时点优化；针对BMI作为主导影响因子的事实，需对男胎孕妇进行适宜的分区处理，给出各区间的最优检测时间建议。该时点应能最大程度压缩潜在的临床干预风险，同时需评估检测固有误差对时点稳定性的影响程度。</w:t>
      </w:r>
    </w:p>
    <w:p w14:paraId="72F300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问题三：多维因素融合的分组与时点优化；针对BMI作为主导影响因子的事实，需对男胎孕妇进行适宜的分区处理，给出各区间的最优检测时间建议。该时点应能最大程度压缩潜在的临床干预风险，同时需评估检测固有误差对时点稳定性的影响程度。</w:t>
      </w:r>
    </w:p>
    <w:p w14:paraId="4DEF93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问题四：女胎异常的判别建模；面对女胎缺乏Y染色体标记物的特殊情形，需转换判别逻辑。以13、18、21号染色体的非整倍体状态为结局变量，综合运用X染色体Z值、各染色体GC含量、有效测序读段比例及母体BMI等特征，构建用于识别女胎染色体异常的有效分类方法。</w:t>
      </w:r>
    </w:p>
    <w:p w14:paraId="69E8A5B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after="160" w:line="440" w:lineRule="exact"/>
        <w:ind w:right="0" w:rightChars="0"/>
        <w:jc w:val="center"/>
        <w:textAlignment w:val="auto"/>
        <w:rPr>
          <w:rFonts w:hint="eastAsia"/>
          <w:b/>
          <w:bCs/>
          <w:spacing w:val="-3"/>
          <w:kern w:val="0"/>
          <w:sz w:val="30"/>
          <w:szCs w:val="30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二、</w:t>
      </w:r>
      <w:r>
        <w:rPr>
          <w:rFonts w:hint="eastAsia"/>
          <w:b/>
          <w:bCs/>
          <w:spacing w:val="-3"/>
          <w:kern w:val="0"/>
          <w:sz w:val="30"/>
          <w:szCs w:val="30"/>
          <w:lang w:val="en-US" w:eastAsia="zh-CN"/>
        </w:rPr>
        <w:t>问题分析</w:t>
      </w:r>
    </w:p>
    <w:p w14:paraId="2CF5966A"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变量关联性分析</w:t>
      </w:r>
    </w:p>
    <w:p w14:paraId="6F555C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Y染色体浓度与孕周和BMI存在临床经验上的关联，但具体作用形态及各因素的主次关系尚不明确。附件数据包含多项生理指标及重复检测记录，为分析提供了依据，但也引入了个体异质性的干扰。此外，Y染色体浓度是位于(0,1)区间内的比例变量，直接采用常规线性模型可能面临预测越界和异方差问题。</w:t>
      </w:r>
    </w:p>
    <w:p w14:paraId="4BFA18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基于上述条件，分析思路如下：由于同一孕妇存在多次检测，数据具有层次结构，样本间不独立，在刻画群体规律时需将个体固有差异与共性趋势分离。同时，孕周与浓度的关系可能呈现非线性形态，BMI等协变量也可能改变这种关系的速率，需预留容纳非线性和交互效应的空间。此外，BMI对浓度的影响需区分为“不同孕妇间的长期差异”和“同一孕妇自身的短期波动”两个层面，以避免混淆两类不同性质的关联。对于数据中的测序质量波动，需加以识别或控制，避免其干扰核心结论。最终需借助统计检验验证关系的显著性，并通过交叉验证和重抽样等手段评估模型的稳健性与泛化能力。</w:t>
      </w:r>
    </w:p>
    <w:p w14:paraId="6D5C68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40" w:after="40" w:line="38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2"/>
          <w:sz w:val="24"/>
          <w:szCs w:val="24"/>
          <w:highlight w:val="green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综上，本问题将围绕数据口径审计与预处理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关联形态识别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多变量分层刻画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统计检验与交叉验证稳健性评估的路径展开。</w:t>
      </w:r>
    </w:p>
    <w:p w14:paraId="0E1B9F01"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问题二</w:t>
      </w:r>
    </w:p>
    <w:p w14:paraId="694C1DC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F895BF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6B7D8F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bookmarkStart w:id="0" w:name="_GoBack"/>
      <w:bookmarkEnd w:id="0"/>
    </w:p>
    <w:p w14:paraId="243163F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337D94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42A519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69E78E1"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问题三</w:t>
      </w:r>
    </w:p>
    <w:p w14:paraId="487967D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A18849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A8D596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CF5DA9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88BD38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DDF0DB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1833C0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147BB9C"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问题四</w:t>
      </w:r>
    </w:p>
    <w:p w14:paraId="49333915"/>
    <w:p w14:paraId="68ADF4BD"/>
    <w:p w14:paraId="7865C47E"/>
    <w:p w14:paraId="5AE5AFDF"/>
    <w:p w14:paraId="70A7CA12"/>
    <w:p w14:paraId="40F05142"/>
    <w:p w14:paraId="30569ABD"/>
    <w:p w14:paraId="5C01140B"/>
    <w:p w14:paraId="5215FAD4"/>
    <w:p w14:paraId="68572DFB"/>
    <w:p w14:paraId="1BB8B1EC"/>
    <w:p w14:paraId="30476F8C"/>
    <w:p w14:paraId="2F9841D0"/>
    <w:p w14:paraId="679D33A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0" w:after="80" w:line="400" w:lineRule="exact"/>
        <w:ind w:right="0" w:rightChars="0"/>
        <w:jc w:val="center"/>
        <w:textAlignment w:val="center"/>
      </w:pPr>
      <w:r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三</w:t>
      </w:r>
      <w:r>
        <w:rPr>
          <w:rFonts w:hint="default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符号说明</w:t>
      </w:r>
    </w:p>
    <w:tbl>
      <w:tblPr>
        <w:tblStyle w:val="6"/>
        <w:tblW w:w="0" w:type="auto"/>
        <w:tblInd w:w="0" w:type="dxa"/>
        <w:tblBorders>
          <w:top w:val="threeDEmboss" w:color="auto" w:sz="24" w:space="0"/>
          <w:left w:val="none" w:color="auto" w:sz="0" w:space="0"/>
          <w:bottom w:val="threeDEngrave" w:color="auto" w:sz="2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504E4F8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28C8B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77628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  <w:tr w14:paraId="3F6A9858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72B43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2676C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  <w:tr w14:paraId="5E884129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67B93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55544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  <w:tr w14:paraId="5122D491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7DA2B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0641B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  <w:tr w14:paraId="054310F5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5133C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642BB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  <w:tr w14:paraId="4E5F4E2C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06F3B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78D5A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  <w:tr w14:paraId="406076B1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70A7B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437D8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  <w:tr w14:paraId="0FC1E9C1">
        <w:tblPrEx>
          <w:tblBorders>
            <w:top w:val="threeDEmboss" w:color="auto" w:sz="24" w:space="0"/>
            <w:left w:val="none" w:color="auto" w:sz="0" w:space="0"/>
            <w:bottom w:val="threeDEngrave" w:color="auto" w:sz="2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432CF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258DB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rPr>
                <w:vertAlign w:val="baseline"/>
              </w:rPr>
            </w:pPr>
          </w:p>
        </w:tc>
      </w:tr>
    </w:tbl>
    <w:p w14:paraId="52BD907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after="160" w:line="440" w:lineRule="exact"/>
        <w:ind w:right="0" w:rightChars="0"/>
        <w:jc w:val="center"/>
        <w:textAlignment w:val="auto"/>
        <w:rPr>
          <w:rFonts w:hint="default" w:ascii="宋体" w:hAnsi="宋体" w:eastAsia="宋体" w:cs="宋体"/>
          <w:spacing w:val="-2"/>
          <w:kern w:val="2"/>
          <w:sz w:val="24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四、模型假设</w:t>
      </w:r>
    </w:p>
    <w:p w14:paraId="344F2FCE"/>
    <w:p w14:paraId="0B269C42"/>
    <w:p w14:paraId="1F7C6226"/>
    <w:p w14:paraId="70D1730D"/>
    <w:p w14:paraId="40B2D6C4"/>
    <w:p w14:paraId="25F56A0E"/>
    <w:p w14:paraId="726B2A34"/>
    <w:p w14:paraId="62223BDF"/>
    <w:p w14:paraId="7211032F"/>
    <w:p w14:paraId="3B9AD41E"/>
    <w:p w14:paraId="1C1272A1"/>
    <w:p w14:paraId="40E0A60D"/>
    <w:p w14:paraId="4EA37DF5"/>
    <w:p w14:paraId="150FAC67"/>
    <w:p w14:paraId="6C09C9E3"/>
    <w:p w14:paraId="534C3D21"/>
    <w:p w14:paraId="75E8F55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after="160" w:line="440" w:lineRule="exact"/>
        <w:ind w:right="0" w:rightChars="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lang w:val="en-US" w:eastAsia="zh-CN" w:bidi="ar-SA"/>
        </w:rPr>
        <w:t>五、模型建立与求解</w:t>
      </w:r>
    </w:p>
    <w:p w14:paraId="53B88E34">
      <w:pPr>
        <w:pStyle w:val="2"/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问题一</w:t>
      </w:r>
    </w:p>
    <w:p w14:paraId="2CA7B28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本节针对合并技术复测后的男胎主样本建立Y染色体浓度关系模型，采用Logit变换结合二次孕周随机斜率混合效应模型刻画浓度与孕周、BMI等指标的关联。</w:t>
      </w:r>
    </w:p>
    <w:p w14:paraId="355ABD7B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数据清洗与处理</w:t>
      </w:r>
    </w:p>
    <w:p w14:paraId="03E0C9B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 w:firstLine="480" w:firstLineChars="200"/>
        <w:jc w:val="both"/>
        <w:textAlignment w:val="auto"/>
        <w:rPr>
          <w:rFonts w:hint="eastAsia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本节对原始数据进行清洗和结构化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整理，明确主模型的输入口径；</w:t>
      </w:r>
    </w:p>
    <w:p w14:paraId="2A8CA82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 w:firstLine="480" w:firstLineChars="200"/>
        <w:jc w:val="both"/>
        <w:textAlignment w:val="auto"/>
        <w:rPr>
          <w:rFonts w:hint="eastAsia" w:cs="宋体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kern w:val="2"/>
          <w:sz w:val="24"/>
          <w:szCs w:val="24"/>
          <w:lang w:val="en-US" w:eastAsia="zh-CN" w:bidi="ar-SA"/>
        </w:rPr>
        <w:t>1.数据口径筛选：原始数据包含1082条男胎检测记录。经审计发现序号683千后的数据生成机制存在结构性差异，后段仅作机制审计而不并入主模型，故主分析限定为序号小于683、孕周位于</w:t>
      </w:r>
      <w:r>
        <w:rPr>
          <w:rFonts w:hint="eastAsia" w:cs="宋体"/>
          <w:kern w:val="2"/>
          <w:position w:val="-10"/>
          <w:sz w:val="24"/>
          <w:szCs w:val="24"/>
          <w:lang w:val="en-US" w:eastAsia="zh-CN" w:bidi="ar-SA"/>
        </w:rPr>
        <w:object>
          <v:shape id="_x0000_i1025" o:spt="75" type="#_x0000_t75" style="height:17pt;width:3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周的男胎记录。且同一孕妇在同一次抽血中可能存在多次技术复测，故以“孕妇代码+抽血次数”为分组单位，对Y染色体浓度取算术均值，形成等均的抽血事件。经过上述数据处理，最终获得613个抽血事件，167名孕妇。</w:t>
      </w:r>
    </w:p>
    <w:p w14:paraId="6F0AE52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 w:firstLine="480" w:firstLineChars="20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 w:cs="宋体"/>
          <w:kern w:val="2"/>
          <w:sz w:val="24"/>
          <w:szCs w:val="24"/>
          <w:lang w:val="en-US" w:eastAsia="zh-CN" w:bidi="ar-SA"/>
        </w:rPr>
        <w:t>2.变量构造说明：在变量构造方面，对孕周和年龄分别以18周和29岁为中心进行中心化处理，以降低高次项与原始项之间的共线性；为了区分不同孕妇之间的长期BMI水平差异与同一孕妇自身的短期BMI波动的效应，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将BMI分解为妇间BMI（各次抽血BMI的均值）和个体间BMI偏差（单次BMI与妇间BMI之差）；生产次数采用原始计数，并基于GC含量生成质量标记变量用于后续灵敏度分析。</w:t>
      </w:r>
    </w:p>
    <w:p w14:paraId="7B35CE0B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模型建立</w:t>
      </w:r>
    </w:p>
    <w:p w14:paraId="68DEC63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339ABA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92514A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CD468B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4E437F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4F7DB7B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模型求解与参数估计</w:t>
      </w:r>
    </w:p>
    <w:p w14:paraId="68FD60D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C94FB5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ADC5E6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F54430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B1A683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9BE18C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EBDBD3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0FFA79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34616AA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显著性检验与模型诊断</w:t>
      </w:r>
    </w:p>
    <w:p w14:paraId="0CFD9C4B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66FE83D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C20D353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DF1DC7F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434070C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546CBE4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8A9F7C7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49DCEB7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0C6187F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稳健性评估</w:t>
      </w:r>
    </w:p>
    <w:p w14:paraId="350D125D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AE67A3B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0B6221D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0D68636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C66F7CF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CD385CE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8824E28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5D8AA58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求解结果</w:t>
      </w:r>
    </w:p>
    <w:p w14:paraId="5BFBE5CD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7F25C04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D534AF5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A316E82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9B4BAEE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0FBE341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191EACD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489246F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E30EA14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09282CD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87B0362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模型接口与使用边界</w:t>
      </w:r>
    </w:p>
    <w:p w14:paraId="207F3C0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0B1B75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C09031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C5CCE6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64EB8D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27BEF7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62FEDB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C0B7A9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3A8CAB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E02341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4D68069">
      <w:pPr>
        <w:pStyle w:val="2"/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问题二</w:t>
      </w:r>
    </w:p>
    <w:p w14:paraId="23A3409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DAB420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00A7CA4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15192F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501B53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21B1D4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6EAB51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BC2F40C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96BE16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0C73D3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23B7B9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218786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CD91C20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54DA76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C84171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A13B14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1970F0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4EECF1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3812FD4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0C2CAD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D1DF4C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5814D1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F0F790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DFF6E5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6313CBC">
      <w:pPr>
        <w:pStyle w:val="2"/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问题三</w:t>
      </w:r>
    </w:p>
    <w:p w14:paraId="3E4CC33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3DB9EF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193617F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720184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CFF9D2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EF6839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667CB8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2D888FF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92EE0E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44CCF6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4F710E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DDFDC2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FE313EA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6E831C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34F96E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F3F114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DF9029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EE285F2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C70415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58CBC1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8E0538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7893F6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4F2D85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99A4DE7">
      <w:pPr>
        <w:pStyle w:val="2"/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567" w:leftChars="0" w:right="0" w:rightChars="0" w:hanging="567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问题四</w:t>
      </w:r>
    </w:p>
    <w:p w14:paraId="45D0CA0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7131B0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ABC23B9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AA1469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67F11F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B8402C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959139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21E894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BC0DD8D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0025944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9CFA03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B8AC61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7045B06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68A01F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4CD47D2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5983BE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5C63E1C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6E24C0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12BA4AE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Chars="0" w:right="0" w:right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680E670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2EC1DBA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right="0" w:rightChars="0"/>
        <w:jc w:val="both"/>
        <w:textAlignment w:val="auto"/>
        <w:outlineLvl w:val="1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4B4D6F8B">
      <w:pPr>
        <w:pStyle w:val="2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3" w:after="0" w:line="380" w:lineRule="exact"/>
        <w:ind w:left="709" w:leftChars="0" w:right="0" w:rightChars="0" w:hanging="709" w:firstLineChars="0"/>
        <w:jc w:val="both"/>
        <w:textAlignment w:val="auto"/>
        <w:rPr>
          <w:rFonts w:hint="eastAsia"/>
          <w:b/>
          <w:bCs/>
          <w:spacing w:val="-2"/>
          <w:sz w:val="24"/>
          <w:szCs w:val="24"/>
          <w:lang w:val="en-US" w:eastAsia="zh-CN"/>
        </w:rPr>
      </w:pPr>
    </w:p>
    <w:p w14:paraId="3759F6D7"/>
    <w:p w14:paraId="76061E69"/>
    <w:p w14:paraId="6ABD94F8"/>
    <w:p w14:paraId="1DAF86E3"/>
    <w:p w14:paraId="32243215"/>
    <w:p w14:paraId="5DC6D7CA"/>
    <w:p w14:paraId="502C23E5"/>
    <w:p w14:paraId="3E93753E"/>
    <w:p w14:paraId="2903BA2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0" w:after="0" w:line="380" w:lineRule="exact"/>
        <w:ind w:right="0" w:rightChars="0"/>
        <w:jc w:val="center"/>
        <w:textAlignment w:val="auto"/>
        <w:rPr>
          <w:rFonts w:hint="eastAsia" w:cs="宋体"/>
          <w:b/>
          <w:bCs/>
          <w:i w:val="0"/>
          <w:iCs w:val="0"/>
          <w:spacing w:val="0"/>
          <w:w w:val="1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宋体"/>
          <w:b/>
          <w:bCs/>
          <w:i w:val="0"/>
          <w:iCs w:val="0"/>
          <w:spacing w:val="0"/>
          <w:w w:val="100"/>
          <w:kern w:val="0"/>
          <w:sz w:val="32"/>
          <w:szCs w:val="32"/>
          <w:highlight w:val="none"/>
          <w:lang w:val="en-US" w:eastAsia="zh-CN" w:bidi="ar-SA"/>
        </w:rPr>
        <w:t>六</w:t>
      </w:r>
      <w:r>
        <w:rPr>
          <w:rFonts w:hint="eastAsia" w:ascii="宋体" w:hAnsi="宋体" w:eastAsia="宋体" w:cs="宋体"/>
          <w:b/>
          <w:bCs/>
          <w:i w:val="0"/>
          <w:iCs w:val="0"/>
          <w:spacing w:val="0"/>
          <w:w w:val="100"/>
          <w:kern w:val="0"/>
          <w:sz w:val="32"/>
          <w:szCs w:val="32"/>
          <w:highlight w:val="none"/>
          <w:lang w:val="en-US" w:eastAsia="zh-CN" w:bidi="ar-SA"/>
        </w:rPr>
        <w:t>、</w:t>
      </w:r>
      <w:r>
        <w:rPr>
          <w:rFonts w:hint="eastAsia" w:cs="宋体"/>
          <w:b/>
          <w:bCs/>
          <w:i w:val="0"/>
          <w:iCs w:val="0"/>
          <w:spacing w:val="0"/>
          <w:w w:val="100"/>
          <w:kern w:val="0"/>
          <w:sz w:val="32"/>
          <w:szCs w:val="32"/>
          <w:highlight w:val="none"/>
          <w:lang w:val="en-US" w:eastAsia="zh-CN" w:bidi="ar-SA"/>
        </w:rPr>
        <w:t>模型推广与评价</w:t>
      </w:r>
    </w:p>
    <w:p w14:paraId="7A56A212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3" w:line="380" w:lineRule="exact"/>
        <w:ind w:left="567" w:leftChars="0" w:hanging="567" w:firstLineChars="0"/>
        <w:jc w:val="both"/>
        <w:textAlignment w:val="auto"/>
        <w:rPr>
          <w:rFonts w:hint="default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  <w:t>模型优点</w:t>
      </w:r>
    </w:p>
    <w:p w14:paraId="7715E19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42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33BED9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420" w:lineRule="exact"/>
        <w:ind w:firstLine="480" w:firstLineChars="20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31A314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420" w:lineRule="exact"/>
        <w:ind w:firstLine="480" w:firstLineChars="20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86C7B0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3" w:line="380" w:lineRule="exact"/>
        <w:ind w:left="567" w:leftChars="0" w:hanging="567" w:firstLineChars="0"/>
        <w:jc w:val="both"/>
        <w:textAlignment w:val="auto"/>
        <w:rPr>
          <w:rFonts w:hint="default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  <w:t>模型缺点</w:t>
      </w:r>
    </w:p>
    <w:p w14:paraId="11B35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3" w:line="380" w:lineRule="exact"/>
        <w:ind w:leftChars="0"/>
        <w:jc w:val="both"/>
        <w:textAlignment w:val="auto"/>
        <w:rPr>
          <w:rFonts w:hint="eastAsia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</w:pPr>
    </w:p>
    <w:p w14:paraId="5E2736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3" w:line="380" w:lineRule="exact"/>
        <w:ind w:leftChars="0"/>
        <w:jc w:val="both"/>
        <w:textAlignment w:val="auto"/>
        <w:rPr>
          <w:rFonts w:hint="eastAsia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</w:pPr>
    </w:p>
    <w:p w14:paraId="5E4EBA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3" w:line="380" w:lineRule="exact"/>
        <w:ind w:leftChars="0"/>
        <w:jc w:val="both"/>
        <w:textAlignment w:val="auto"/>
        <w:rPr>
          <w:rFonts w:hint="eastAsia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</w:pPr>
    </w:p>
    <w:p w14:paraId="7FC8B5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3" w:line="380" w:lineRule="exact"/>
        <w:ind w:leftChars="0"/>
        <w:jc w:val="both"/>
        <w:textAlignment w:val="auto"/>
        <w:rPr>
          <w:rFonts w:hint="default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</w:pPr>
    </w:p>
    <w:p w14:paraId="0350865C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3" w:line="380" w:lineRule="exact"/>
        <w:ind w:left="567" w:leftChars="0" w:hanging="567" w:firstLineChars="0"/>
        <w:jc w:val="both"/>
        <w:textAlignment w:val="auto"/>
        <w:rPr>
          <w:rFonts w:hint="default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2"/>
          <w:kern w:val="2"/>
          <w:sz w:val="24"/>
          <w:szCs w:val="30"/>
          <w:highlight w:val="none"/>
          <w:lang w:val="en-US" w:eastAsia="zh-CN" w:bidi="ar-SA"/>
        </w:rPr>
        <w:t>模型推广</w:t>
      </w:r>
    </w:p>
    <w:p w14:paraId="38AE2C2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420" w:lineRule="exact"/>
        <w:ind w:firstLine="480" w:firstLineChars="20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334C27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420" w:lineRule="exact"/>
        <w:ind w:firstLine="480" w:firstLineChars="20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3DEB1D"/>
    <w:p w14:paraId="3008FC99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5EB2A"/>
    <w:multiLevelType w:val="multilevel"/>
    <w:tmpl w:val="9B95EB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BCC38B5F"/>
    <w:multiLevelType w:val="multilevel"/>
    <w:tmpl w:val="BCC38B5F"/>
    <w:lvl w:ilvl="0" w:tentative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080730F"/>
    <w:multiLevelType w:val="multilevel"/>
    <w:tmpl w:val="1080730F"/>
    <w:lvl w:ilvl="0" w:tentative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1F5FF5E2"/>
    <w:multiLevelType w:val="multilevel"/>
    <w:tmpl w:val="1F5FF5E2"/>
    <w:lvl w:ilvl="0" w:tentative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8300C"/>
    <w:rsid w:val="78F8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43"/>
      <w:ind w:left="3951" w:hanging="602"/>
      <w:outlineLvl w:val="1"/>
    </w:pPr>
    <w:rPr>
      <w:rFonts w:ascii="宋体" w:hAnsi="宋体" w:eastAsia="宋体" w:cs="宋体"/>
      <w:sz w:val="30"/>
      <w:szCs w:val="30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359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2026-08-24T02:58:00Z</dcterms:created>
  <dc:creator>我爱炸牛奶</dc:creator>
  <cp:lastModifiedBy>我爱炸牛奶</cp:lastModifiedBy>
  <dcterms:modified xsi:type="dcterms:W3CDTF">2026-08-24T13:47:35Z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F5149CDF35BE4114B4530713B19CADBC_11</vt:lpwstr>
  </property>
  <property fmtid="{D5CDD505-2E9C-101B-9397-08002B2CF9AE}" pid="4" name="KSOTemplateDocerSaveRecord">
    <vt:lpwstr>eyJoZGlkIjoiMGVmYzE4NjVmMjEwODk4NGU3NzBhNDhmNmFkMTFlZmYiLCJ1c2VySWQiOiIxMTY1NDAyNDA5In0=</vt:lpwstr>
  </property>
</Properties>
</file>