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jc w:val="left"/>
      </w:pPr>
      <w:r>
        <w:rPr>
          <w:rFonts w:ascii="Arial" w:cs="Arial" w:eastAsia="Arial" w:hAnsi="Arial"/>
          <w:b/>
          <w:bCs/>
          <w:color w:val="01696F"/>
          <w:spacing w:val="40"/>
          <w:sz w:val="22"/>
          <w:szCs w:val="22"/>
        </w:rPr>
        <w:t xml:space="preserve">CANTON ZURICH INNOVATION SANDBOX FOR AI</w:t>
      </w:r>
    </w:p>
    <w:p>
      <w:pPr>
        <w:spacing w:after="480"/>
        <w:jc w:val="left"/>
      </w:pPr>
      <w:r>
        <w:rPr>
          <w:rFonts w:ascii="Arial" w:cs="Arial" w:eastAsia="Arial" w:hAnsi="Arial"/>
          <w:color w:val="555555"/>
          <w:sz w:val="22"/>
          <w:szCs w:val="22"/>
        </w:rPr>
        <w:t xml:space="preserve">Phase III Application — May 2026</w:t>
      </w:r>
    </w:p>
    <w:p>
      <w:pPr>
        <w:spacing w:after="200"/>
        <w:jc w:val="left"/>
      </w:pPr>
      <w:r>
        <w:rPr>
          <w:rFonts w:ascii="Arial" w:cs="Arial" w:eastAsia="Arial" w:hAnsi="Arial"/>
          <w:b/>
          <w:bCs/>
          <w:color w:val="01696F"/>
          <w:sz w:val="72"/>
          <w:szCs w:val="72"/>
        </w:rPr>
        <w:t xml:space="preserve">AareML</w:t>
      </w:r>
    </w:p>
    <w:p>
      <w:pPr>
        <w:spacing w:after="200"/>
        <w:jc w:val="left"/>
      </w:pPr>
      <w:r>
        <w:rPr>
          <w:rFonts w:ascii="Arial" w:cs="Arial" w:eastAsia="Arial" w:hAnsi="Arial"/>
          <w:color w:val="1A1A1A"/>
          <w:sz w:val="28"/>
          <w:szCs w:val="28"/>
        </w:rPr>
        <w:t xml:space="preserve">A production-ready deep learning system for</w:t>
      </w:r>
    </w:p>
    <w:p>
      <w:pPr>
        <w:spacing w:after="720"/>
        <w:jc w:val="left"/>
      </w:pPr>
      <w:r>
        <w:rPr>
          <w:rFonts w:ascii="Arial" w:cs="Arial" w:eastAsia="Arial" w:hAnsi="Arial"/>
          <w:b/>
          <w:bCs/>
          <w:color w:val="1A1A1A"/>
          <w:sz w:val="28"/>
          <w:szCs w:val="28"/>
        </w:rPr>
        <w:t xml:space="preserve">real-time water-quality forecasting in Swiss rivers</w:t>
      </w:r>
    </w:p>
    <w:p>
      <w:pPr>
        <w:spacing w:after="120"/>
        <w:jc w:val="left"/>
      </w:pPr>
      <w:r>
        <w:rPr>
          <w:rFonts w:ascii="Arial" w:cs="Arial" w:eastAsia="Arial" w:hAnsi="Arial"/>
          <w:i/>
          <w:iCs/>
          <w:color w:val="555555"/>
          <w:sz w:val="22"/>
          <w:szCs w:val="22"/>
        </w:rPr>
        <w:t xml:space="preserve">Deploying 14-day dissolved-oxygen forecasts for fisheries protection</w:t>
      </w:r>
    </w:p>
    <w:p>
      <w:pPr>
        <w:spacing w:after="1200"/>
        <w:jc w:val="left"/>
      </w:pPr>
      <w:r>
        <w:rPr>
          <w:rFonts w:ascii="Arial" w:cs="Arial" w:eastAsia="Arial" w:hAnsi="Arial"/>
          <w:i/>
          <w:iCs/>
          <w:color w:val="555555"/>
          <w:sz w:val="22"/>
          <w:szCs w:val="22"/>
        </w:rPr>
        <w:t xml:space="preserve">on the Limmat and Glatt for AWEL and the Fischereiinspektorat</w:t>
      </w:r>
    </w:p>
    <w:tbl>
      <w:tblPr>
        <w:tblW w:type="dxa" w:w="9360"/>
        <w:tblBorders>
          <w:top w:val="none"/>
          <w:left w:val="none"/>
          <w:bottom w:val="none"/>
          <w:right w:val="none"/>
          <w:insideH w:val="none"/>
          <w:insideV w:val="none"/>
        </w:tblBorders>
      </w:tblPr>
      <w:tblGrid>
        <w:gridCol w:w="2800"/>
        <w:gridCol w:w="6560"/>
      </w:tblGrid>
      <w:tr>
        <w:tc>
          <w:tcPr>
            <w:tcW w:type="dxa" w:w="2800"/>
            <w:tcBorders>
              <w:top w:val="none"/>
              <w:left w:val="none"/>
              <w:bottom w:val="none"/>
              <w:right w:val="none"/>
            </w:tcBorders>
            <w:tcMar>
              <w:top w:type="dxa" w:w="60"/>
              <w:left w:type="dxa" w:w="0"/>
              <w:bottom w:type="dxa" w:w="60"/>
              <w:right w:type="dxa" w:w="100"/>
            </w:tcMar>
          </w:tcPr>
          <w:p>
            <w:r>
              <w:rPr>
                <w:rFonts w:ascii="Arial" w:cs="Arial" w:eastAsia="Arial" w:hAnsi="Arial"/>
                <w:b/>
                <w:bCs/>
                <w:color w:val="01696F"/>
                <w:sz w:val="20"/>
                <w:szCs w:val="20"/>
              </w:rPr>
              <w:t xml:space="preserve">Applicant</w:t>
            </w:r>
          </w:p>
        </w:tc>
        <w:tc>
          <w:tcPr>
            <w:tcW w:type="dxa" w:w="6560"/>
            <w:tcBorders>
              <w:top w:val="none"/>
              <w:left w:val="none"/>
              <w:bottom w:val="none"/>
              <w:right w:val="none"/>
            </w:tcBorders>
            <w:tcMar>
              <w:top w:type="dxa" w:w="60"/>
              <w:left w:type="dxa" w:w="0"/>
              <w:bottom w:type="dxa" w:w="60"/>
              <w:right w:type="dxa" w:w="0"/>
            </w:tcMar>
          </w:tcPr>
          <w:p>
            <w:r>
              <w:rPr>
                <w:rFonts w:ascii="Arial" w:cs="Arial" w:eastAsia="Arial" w:hAnsi="Arial"/>
                <w:color w:val="1A1A1A"/>
                <w:sz w:val="20"/>
                <w:szCs w:val="20"/>
              </w:rPr>
              <w:t xml:space="preserve">AareML Project Team</w:t>
            </w:r>
          </w:p>
        </w:tc>
      </w:tr>
      <w:tr>
        <w:tc>
          <w:tcPr>
            <w:tcW w:type="dxa" w:w="2800"/>
            <w:tcBorders>
              <w:top w:val="none"/>
              <w:left w:val="none"/>
              <w:bottom w:val="none"/>
              <w:right w:val="none"/>
            </w:tcBorders>
            <w:tcMar>
              <w:top w:type="dxa" w:w="60"/>
              <w:left w:type="dxa" w:w="0"/>
              <w:bottom w:type="dxa" w:w="60"/>
              <w:right w:type="dxa" w:w="100"/>
            </w:tcMar>
          </w:tcPr>
          <w:p>
            <w:r>
              <w:rPr>
                <w:rFonts w:ascii="Arial" w:cs="Arial" w:eastAsia="Arial" w:hAnsi="Arial"/>
                <w:b/>
                <w:bCs/>
                <w:color w:val="01696F"/>
                <w:sz w:val="20"/>
                <w:szCs w:val="20"/>
              </w:rPr>
              <w:t xml:space="preserve">Lead institution</w:t>
            </w:r>
          </w:p>
        </w:tc>
        <w:tc>
          <w:tcPr>
            <w:tcW w:type="dxa" w:w="6560"/>
            <w:tcBorders>
              <w:top w:val="none"/>
              <w:left w:val="none"/>
              <w:bottom w:val="none"/>
              <w:right w:val="none"/>
            </w:tcBorders>
            <w:tcMar>
              <w:top w:type="dxa" w:w="60"/>
              <w:left w:type="dxa" w:w="0"/>
              <w:bottom w:type="dxa" w:w="60"/>
              <w:right w:type="dxa" w:w="0"/>
            </w:tcMar>
          </w:tcPr>
          <w:p>
            <w:r>
              <w:rPr>
                <w:rFonts w:ascii="Arial" w:cs="Arial" w:eastAsia="Arial" w:hAnsi="Arial"/>
                <w:color w:val="1A1A1A"/>
                <w:sz w:val="20"/>
                <w:szCs w:val="20"/>
              </w:rPr>
              <w:t xml:space="preserve">University of Bern — CAS in Advanced Machine Learning</w:t>
            </w:r>
          </w:p>
        </w:tc>
      </w:tr>
      <w:tr>
        <w:tc>
          <w:tcPr>
            <w:tcW w:type="dxa" w:w="2800"/>
            <w:tcBorders>
              <w:top w:val="none"/>
              <w:left w:val="none"/>
              <w:bottom w:val="none"/>
              <w:right w:val="none"/>
            </w:tcBorders>
            <w:tcMar>
              <w:top w:type="dxa" w:w="60"/>
              <w:left w:type="dxa" w:w="0"/>
              <w:bottom w:type="dxa" w:w="60"/>
              <w:right w:type="dxa" w:w="100"/>
            </w:tcMar>
          </w:tcPr>
          <w:p>
            <w:r>
              <w:rPr>
                <w:rFonts w:ascii="Arial" w:cs="Arial" w:eastAsia="Arial" w:hAnsi="Arial"/>
                <w:b/>
                <w:bCs/>
                <w:color w:val="01696F"/>
                <w:sz w:val="20"/>
                <w:szCs w:val="20"/>
              </w:rPr>
              <w:t xml:space="preserve">Project version</w:t>
            </w:r>
          </w:p>
        </w:tc>
        <w:tc>
          <w:tcPr>
            <w:tcW w:type="dxa" w:w="6560"/>
            <w:tcBorders>
              <w:top w:val="none"/>
              <w:left w:val="none"/>
              <w:bottom w:val="none"/>
              <w:right w:val="none"/>
            </w:tcBorders>
            <w:tcMar>
              <w:top w:type="dxa" w:w="60"/>
              <w:left w:type="dxa" w:w="0"/>
              <w:bottom w:type="dxa" w:w="60"/>
              <w:right w:type="dxa" w:w="0"/>
            </w:tcMar>
          </w:tcPr>
          <w:p>
            <w:r>
              <w:rPr>
                <w:rFonts w:ascii="Arial" w:cs="Arial" w:eastAsia="Arial" w:hAnsi="Arial"/>
                <w:color w:val="1A1A1A"/>
                <w:sz w:val="20"/>
                <w:szCs w:val="20"/>
              </w:rPr>
              <w:t xml:space="preserve">v1.21 (full technical report, June 2026)</w:t>
            </w:r>
          </w:p>
        </w:tc>
      </w:tr>
      <w:tr>
        <w:tc>
          <w:tcPr>
            <w:tcW w:type="dxa" w:w="2800"/>
            <w:tcBorders>
              <w:top w:val="none"/>
              <w:left w:val="none"/>
              <w:bottom w:val="none"/>
              <w:right w:val="none"/>
            </w:tcBorders>
            <w:tcMar>
              <w:top w:type="dxa" w:w="60"/>
              <w:left w:type="dxa" w:w="0"/>
              <w:bottom w:type="dxa" w:w="60"/>
              <w:right w:type="dxa" w:w="100"/>
            </w:tcMar>
          </w:tcPr>
          <w:p>
            <w:r>
              <w:rPr>
                <w:rFonts w:ascii="Arial" w:cs="Arial" w:eastAsia="Arial" w:hAnsi="Arial"/>
                <w:b/>
                <w:bCs/>
                <w:color w:val="01696F"/>
                <w:sz w:val="20"/>
                <w:szCs w:val="20"/>
              </w:rPr>
              <w:t xml:space="preserve">Code repository</w:t>
            </w:r>
          </w:p>
        </w:tc>
        <w:tc>
          <w:tcPr>
            <w:tcW w:type="dxa" w:w="6560"/>
            <w:tcBorders>
              <w:top w:val="none"/>
              <w:left w:val="none"/>
              <w:bottom w:val="none"/>
              <w:right w:val="none"/>
            </w:tcBorders>
            <w:tcMar>
              <w:top w:type="dxa" w:w="60"/>
              <w:left w:type="dxa" w:w="0"/>
              <w:bottom w:type="dxa" w:w="60"/>
              <w:right w:type="dxa" w:w="0"/>
            </w:tcMar>
          </w:tcPr>
          <w:p>
            <w:r>
              <w:rPr>
                <w:rFonts w:ascii="Arial" w:cs="Arial" w:eastAsia="Arial" w:hAnsi="Arial"/>
                <w:color w:val="1A1A1A"/>
                <w:sz w:val="20"/>
                <w:szCs w:val="20"/>
              </w:rPr>
              <w:t xml:space="preserve">github.com/polar-bear-after-lunch/AareML</w:t>
            </w:r>
          </w:p>
        </w:tc>
      </w:tr>
      <w:tr>
        <w:tc>
          <w:tcPr>
            <w:tcW w:type="dxa" w:w="2800"/>
            <w:tcBorders>
              <w:top w:val="none"/>
              <w:left w:val="none"/>
              <w:bottom w:val="none"/>
              <w:right w:val="none"/>
            </w:tcBorders>
            <w:tcMar>
              <w:top w:type="dxa" w:w="60"/>
              <w:left w:type="dxa" w:w="0"/>
              <w:bottom w:type="dxa" w:w="60"/>
              <w:right w:type="dxa" w:w="100"/>
            </w:tcMar>
          </w:tcPr>
          <w:p>
            <w:r>
              <w:rPr>
                <w:rFonts w:ascii="Arial" w:cs="Arial" w:eastAsia="Arial" w:hAnsi="Arial"/>
                <w:b/>
                <w:bCs/>
                <w:color w:val="01696F"/>
                <w:sz w:val="20"/>
                <w:szCs w:val="20"/>
              </w:rPr>
              <w:t xml:space="preserve">Submission date</w:t>
            </w:r>
          </w:p>
        </w:tc>
        <w:tc>
          <w:tcPr>
            <w:tcW w:type="dxa" w:w="6560"/>
            <w:tcBorders>
              <w:top w:val="none"/>
              <w:left w:val="none"/>
              <w:bottom w:val="none"/>
              <w:right w:val="none"/>
            </w:tcBorders>
            <w:tcMar>
              <w:top w:type="dxa" w:w="60"/>
              <w:left w:type="dxa" w:w="0"/>
              <w:bottom w:type="dxa" w:w="60"/>
              <w:right w:type="dxa" w:w="0"/>
            </w:tcMar>
          </w:tcPr>
          <w:p>
            <w:r>
              <w:rPr>
                <w:rFonts w:ascii="Arial" w:cs="Arial" w:eastAsia="Arial" w:hAnsi="Arial"/>
                <w:color w:val="1A1A1A"/>
                <w:sz w:val="20"/>
                <w:szCs w:val="20"/>
              </w:rPr>
              <w:t xml:space="preserve">24 May 2026</w:t>
            </w:r>
          </w:p>
        </w:tc>
      </w:tr>
      <w:tr>
        <w:tc>
          <w:tcPr>
            <w:tcW w:type="dxa" w:w="2800"/>
            <w:tcBorders>
              <w:top w:val="none"/>
              <w:left w:val="none"/>
              <w:bottom w:val="none"/>
              <w:right w:val="none"/>
            </w:tcBorders>
            <w:tcMar>
              <w:top w:type="dxa" w:w="60"/>
              <w:left w:type="dxa" w:w="0"/>
              <w:bottom w:type="dxa" w:w="60"/>
              <w:right w:type="dxa" w:w="100"/>
            </w:tcMar>
          </w:tcPr>
          <w:p>
            <w:r>
              <w:rPr>
                <w:rFonts w:ascii="Arial" w:cs="Arial" w:eastAsia="Arial" w:hAnsi="Arial"/>
                <w:b/>
                <w:bCs/>
                <w:color w:val="01696F"/>
                <w:sz w:val="20"/>
                <w:szCs w:val="20"/>
              </w:rPr>
              <w:t xml:space="preserve">Programme contact</w:t>
            </w:r>
          </w:p>
        </w:tc>
        <w:tc>
          <w:tcPr>
            <w:tcW w:type="dxa" w:w="6560"/>
            <w:tcBorders>
              <w:top w:val="none"/>
              <w:left w:val="none"/>
              <w:bottom w:val="none"/>
              <w:right w:val="none"/>
            </w:tcBorders>
            <w:tcMar>
              <w:top w:type="dxa" w:w="60"/>
              <w:left w:type="dxa" w:w="0"/>
              <w:bottom w:type="dxa" w:w="60"/>
              <w:right w:type="dxa" w:w="0"/>
            </w:tcMar>
          </w:tcPr>
          <w:p>
            <w:r>
              <w:rPr>
                <w:rFonts w:ascii="Arial" w:cs="Arial" w:eastAsia="Arial" w:hAnsi="Arial"/>
                <w:color w:val="1A1A1A"/>
                <w:sz w:val="20"/>
                <w:szCs w:val="20"/>
              </w:rPr>
              <w:t xml:space="preserve">Lukas Willi — lukas.willi@vd.zh.ch</w:t>
            </w:r>
          </w:p>
        </w:tc>
      </w:tr>
    </w:tbl>
    <w:p>
      <w:r>
        <w:br w:type="page"/>
      </w:r>
    </w:p>
    <w:p>
      <w:pPr>
        <w:pStyle w:val="Heading1"/>
        <w:spacing w:after="160" w:before="360"/>
      </w:pPr>
      <w:r>
        <w:rPr>
          <w:rFonts w:ascii="Arial" w:cs="Arial" w:eastAsia="Arial" w:hAnsi="Arial"/>
          <w:b/>
          <w:bCs/>
          <w:color w:val="01696F"/>
          <w:sz w:val="32"/>
          <w:szCs w:val="32"/>
        </w:rPr>
        <w:t xml:space="preserve">Executive Summary</w:t>
      </w:r>
    </w:p>
    <w:p>
      <w:pPr>
        <w:spacing w:after="120" w:before="0" w:line="300"/>
        <w:jc w:val="left"/>
      </w:pPr>
      <w:r>
        <w:rPr>
          <w:rFonts w:ascii="Arial" w:cs="Arial" w:eastAsia="Arial" w:hAnsi="Arial"/>
          <w:color w:val="1A1A1A"/>
          <w:sz w:val="20"/>
          <w:szCs w:val="20"/>
        </w:rPr>
        <w:t xml:space="preserve">Switzerland's rivers face increasingly frequent low-oxygen episodes that stress fish populations during heatwaves and low-flow periods. Cantonal fisheries authorities currently react to these events after fish-kill reports arrive — there is no operational early-warning capability for dissolved oxygen (DO) at horizons useful for management intervention.</w:t>
      </w:r>
    </w:p>
    <w:p>
      <w:pPr>
        <w:spacing w:after="120" w:before="0" w:line="300"/>
        <w:jc w:val="left"/>
      </w:pPr>
      <w:r>
        <w:rPr>
          <w:rFonts w:ascii="Arial" w:cs="Arial" w:eastAsia="Arial" w:hAnsi="Arial"/>
          <w:color w:val="1A1A1A"/>
          <w:sz w:val="20"/>
          <w:szCs w:val="20"/>
        </w:rPr>
        <w:t xml:space="preserve">AareML is a deep learning system (Seq2Seq LSTM) that predicts DO concentration and water temperature at a 14-day horizon. The model has been trained, validated, and benchmarked on the CAMELS-CH-Chem reference dataset of 115 Swiss catchments. On the Aare at Bern (gauge 2473), AareML achieves an RMSE of 0.300 mg/L and a Kling–Gupta Efficiency of 0.936, outperforming Ridge regression on both metrics. Zero-shot transfer to 12 unseen Swiss gauges produces a mean RMSE of 0.464 mg/L, statistically significant against Ridge (Wilcoxon p = 0.024, n = 11). The system has 88 passing tests, full SHAP attribution, and a complete technical report at version 1.21.</w:t>
      </w:r>
    </w:p>
    <w:p>
      <w:pPr>
        <w:spacing w:after="120" w:before="0" w:line="300"/>
        <w:jc w:val="left"/>
      </w:pPr>
      <w:r>
        <w:rPr>
          <w:rFonts w:ascii="Arial" w:cs="Arial" w:eastAsia="Arial" w:hAnsi="Arial"/>
          <w:b/>
          <w:bCs/>
          <w:color w:val="1A1A1A"/>
          <w:sz w:val="20"/>
          <w:szCs w:val="20"/>
        </w:rPr>
        <w:t xml:space="preserve">AareML is production-ready. The bottleneck is not the model — it is data access and the regulatory framework for deployment.</w:t>
      </w:r>
    </w:p>
    <w:p>
      <w:pPr>
        <w:spacing w:after="120" w:before="0" w:line="300"/>
        <w:jc w:val="left"/>
      </w:pPr>
      <w:r>
        <w:rPr>
          <w:rFonts w:ascii="Arial" w:cs="Arial" w:eastAsia="Arial" w:hAnsi="Arial"/>
          <w:color w:val="1A1A1A"/>
          <w:sz w:val="20"/>
          <w:szCs w:val="20"/>
        </w:rPr>
        <w:t xml:space="preserve">Two concrete bottlenecks make Phase III the natural next step:</w:t>
      </w:r>
    </w:p>
    <w:p>
      <w:pPr>
        <w:pStyle w:val="ListParagraph"/>
        <w:numPr>
          <w:ilvl w:val="0"/>
          <w:numId w:val="2"/>
        </w:numPr>
        <w:spacing w:after="80" w:line="290"/>
      </w:pPr>
      <w:r>
        <w:rPr>
          <w:rFonts w:ascii="Arial" w:cs="Arial" w:eastAsia="Arial" w:hAnsi="Arial"/>
          <w:b/>
          <w:bCs/>
          <w:color w:val="1A1A1A"/>
          <w:sz w:val="20"/>
          <w:szCs w:val="20"/>
        </w:rPr>
        <w:t xml:space="preserve">Data bottleneck: </w:t>
      </w:r>
      <w:r>
        <w:rPr>
          <w:rFonts w:ascii="Arial" w:cs="Arial" w:eastAsia="Arial" w:hAnsi="Arial"/>
          <w:color w:val="1A1A1A"/>
          <w:sz w:val="20"/>
          <w:szCs w:val="20"/>
        </w:rPr>
        <w:t xml:space="preserve">BAFU publishes only the last 7 days of raw water-quality data. AWEL operates 150+ watercourse monitoring sites in Canton Zurich, many with continuous DO and temperature sensors that are not part of CAMELS-CH-Chem. Without structured access to these series, AareML cannot be calibrated for cantonal gauges.</w:t>
      </w:r>
    </w:p>
    <w:p>
      <w:pPr>
        <w:pStyle w:val="ListParagraph"/>
        <w:numPr>
          <w:ilvl w:val="0"/>
          <w:numId w:val="2"/>
        </w:numPr>
        <w:spacing w:after="80" w:line="290"/>
      </w:pPr>
      <w:r>
        <w:rPr>
          <w:rFonts w:ascii="Arial" w:cs="Arial" w:eastAsia="Arial" w:hAnsi="Arial"/>
          <w:b/>
          <w:bCs/>
          <w:color w:val="1A1A1A"/>
          <w:sz w:val="20"/>
          <w:szCs w:val="20"/>
        </w:rPr>
        <w:t xml:space="preserve">Deployment bottleneck: </w:t>
      </w:r>
      <w:r>
        <w:rPr>
          <w:rFonts w:ascii="Arial" w:cs="Arial" w:eastAsia="Arial" w:hAnsi="Arial"/>
          <w:color w:val="1A1A1A"/>
          <w:sz w:val="20"/>
          <w:szCs w:val="20"/>
        </w:rPr>
        <w:t xml:space="preserve">No legal framework currently exists for a Swiss cantonal authority to issue fisheries advisories informed by machine learning predictions. A reusable cantonal template is needed before any operational use.</w:t>
      </w:r>
    </w:p>
    <w:p>
      <w:pPr>
        <w:spacing w:after="120" w:before="0" w:line="300"/>
        <w:jc w:val="left"/>
      </w:pPr>
      <w:r>
        <w:rPr>
          <w:rFonts w:ascii="Arial" w:cs="Arial" w:eastAsia="Arial" w:hAnsi="Arial"/>
          <w:color w:val="1A1A1A"/>
          <w:sz w:val="20"/>
          <w:szCs w:val="20"/>
        </w:rPr>
        <w:t xml:space="preserve">The Innovation Sandbox is uniquely positioned to resolve both. Through structured data brokering with AWEL and regulatory consulting with UZH ITSL, Phase III will deliver three measurable outputs by June 2027: (i) AareML retrained and validated on Canton Zurich gauges, (ii) a piloted 14-day DO alert dashboard for the Limmat and Glatt rivers serving AWEL and the Fischereiinspektorat, and (iii) a published legal-framework note on AI-informed water quality advisories — designed as a reusable template for all Swiss cantons.</w:t>
      </w:r>
    </w:p>
    <w:p>
      <w:pPr>
        <w:spacing w:after="120" w:before="0" w:line="300"/>
        <w:jc w:val="left"/>
      </w:pPr>
      <w:r>
        <w:rPr>
          <w:rFonts w:ascii="Arial" w:cs="Arial" w:eastAsia="Arial" w:hAnsi="Arial"/>
          <w:color w:val="1A1A1A"/>
          <w:sz w:val="20"/>
          <w:szCs w:val="20"/>
        </w:rPr>
        <w:t xml:space="preserve">This is not a research project. It is the controlled deployment of a tested system into a public-sector workflow, with the canton, an end-user agency, and a regulatory advisor each carrying a defined role.</w:t>
      </w:r>
    </w:p>
    <w:p>
      <w:r>
        <w:br w:type="page"/>
      </w:r>
    </w:p>
    <w:p>
      <w:pPr>
        <w:pStyle w:val="Heading1"/>
        <w:spacing w:after="160" w:before="360"/>
      </w:pPr>
      <w:r>
        <w:rPr>
          <w:rFonts w:ascii="Arial" w:cs="Arial" w:eastAsia="Arial" w:hAnsi="Arial"/>
          <w:b/>
          <w:bCs/>
          <w:color w:val="01696F"/>
          <w:sz w:val="32"/>
          <w:szCs w:val="32"/>
        </w:rPr>
        <w:t xml:space="preserve">Project Description</w:t>
      </w:r>
    </w:p>
    <w:p>
      <w:pPr>
        <w:pStyle w:val="Heading2"/>
        <w:spacing w:after="120" w:before="280"/>
      </w:pPr>
      <w:r>
        <w:rPr>
          <w:rFonts w:ascii="Arial" w:cs="Arial" w:eastAsia="Arial" w:hAnsi="Arial"/>
          <w:b/>
          <w:bCs/>
          <w:color w:val="01696F"/>
          <w:sz w:val="26"/>
          <w:szCs w:val="26"/>
        </w:rPr>
        <w:t xml:space="preserve">1. Problem Statement</w:t>
      </w:r>
    </w:p>
    <w:p>
      <w:pPr>
        <w:spacing w:after="120" w:before="0" w:line="300"/>
        <w:jc w:val="left"/>
      </w:pPr>
      <w:r>
        <w:rPr>
          <w:rFonts w:ascii="Arial" w:cs="Arial" w:eastAsia="Arial" w:hAnsi="Arial"/>
          <w:color w:val="1A1A1A"/>
          <w:sz w:val="20"/>
          <w:szCs w:val="20"/>
        </w:rPr>
        <w:t xml:space="preserve">Dissolved oxygen is the single most informative indicator of acute aquatic stress in rivers. When DO falls below roughly 6 mg/L, sensitive cold-water species (notably brown trout and grayling) experience physiological stress; sustained values below 4 mg/L cause mortality. Climate change is increasing the frequency, duration, and spatial extent of low-DO episodes in Swiss watercourses, particularly during summer low-flow periods.</w:t>
      </w:r>
    </w:p>
    <w:p>
      <w:pPr>
        <w:spacing w:after="120" w:before="0" w:line="300"/>
        <w:jc w:val="left"/>
      </w:pPr>
      <w:r>
        <w:rPr>
          <w:rFonts w:ascii="Arial" w:cs="Arial" w:eastAsia="Arial" w:hAnsi="Arial"/>
          <w:color w:val="1A1A1A"/>
          <w:sz w:val="20"/>
          <w:szCs w:val="20"/>
        </w:rPr>
        <w:t xml:space="preserve">Three operational gaps motivate this application:</w:t>
      </w:r>
    </w:p>
    <w:p>
      <w:pPr>
        <w:pStyle w:val="ListParagraph"/>
        <w:numPr>
          <w:ilvl w:val="0"/>
          <w:numId w:val="2"/>
        </w:numPr>
        <w:spacing w:after="80" w:line="290"/>
      </w:pPr>
      <w:r>
        <w:rPr>
          <w:rFonts w:ascii="Arial" w:cs="Arial" w:eastAsia="Arial" w:hAnsi="Arial"/>
          <w:b/>
          <w:bCs/>
          <w:color w:val="1A1A1A"/>
          <w:sz w:val="20"/>
          <w:szCs w:val="20"/>
        </w:rPr>
        <w:t xml:space="preserve">Forecast gap. </w:t>
      </w:r>
      <w:r>
        <w:rPr>
          <w:rFonts w:ascii="Arial" w:cs="Arial" w:eastAsia="Arial" w:hAnsi="Arial"/>
          <w:color w:val="1A1A1A"/>
          <w:sz w:val="20"/>
          <w:szCs w:val="20"/>
        </w:rPr>
        <w:t xml:space="preserve">Existing cantonal monitoring is descriptive: it records DO after the fact. There is no operational forecast of DO at a 1–2 week horizon — the window required for fisheries authorities to consider mitigation (e.g., temporary fishing closures, oxygenation interventions, communication to anglers).</w:t>
      </w:r>
    </w:p>
    <w:p>
      <w:pPr>
        <w:pStyle w:val="ListParagraph"/>
        <w:numPr>
          <w:ilvl w:val="0"/>
          <w:numId w:val="2"/>
        </w:numPr>
        <w:spacing w:after="80" w:line="290"/>
      </w:pPr>
      <w:r>
        <w:rPr>
          <w:rFonts w:ascii="Arial" w:cs="Arial" w:eastAsia="Arial" w:hAnsi="Arial"/>
          <w:b/>
          <w:bCs/>
          <w:color w:val="1A1A1A"/>
          <w:sz w:val="20"/>
          <w:szCs w:val="20"/>
        </w:rPr>
        <w:t xml:space="preserve">Data-access gap. </w:t>
      </w:r>
      <w:r>
        <w:rPr>
          <w:rFonts w:ascii="Arial" w:cs="Arial" w:eastAsia="Arial" w:hAnsi="Arial"/>
          <w:color w:val="1A1A1A"/>
          <w:sz w:val="20"/>
          <w:szCs w:val="20"/>
        </w:rPr>
        <w:t xml:space="preserve">Switzerland's NAWA programme monitors hundreds of sites nationally, and Canton Zurich's AWEL operates more than 150 watercourse monitoring sites with high-frequency DO and temperature sensors. BAFU's public portal exposes only a 7-day rolling window of raw measurements, which is insufficient for model calibration. Bilateral access requests are case-by-case and slow.</w:t>
      </w:r>
    </w:p>
    <w:p>
      <w:pPr>
        <w:pStyle w:val="ListParagraph"/>
        <w:numPr>
          <w:ilvl w:val="0"/>
          <w:numId w:val="2"/>
        </w:numPr>
        <w:spacing w:after="80" w:line="290"/>
      </w:pPr>
      <w:r>
        <w:rPr>
          <w:rFonts w:ascii="Arial" w:cs="Arial" w:eastAsia="Arial" w:hAnsi="Arial"/>
          <w:b/>
          <w:bCs/>
          <w:color w:val="1A1A1A"/>
          <w:sz w:val="20"/>
          <w:szCs w:val="20"/>
        </w:rPr>
        <w:t xml:space="preserve">Regulatory gap. </w:t>
      </w:r>
      <w:r>
        <w:rPr>
          <w:rFonts w:ascii="Arial" w:cs="Arial" w:eastAsia="Arial" w:hAnsi="Arial"/>
          <w:color w:val="1A1A1A"/>
          <w:sz w:val="20"/>
          <w:szCs w:val="20"/>
        </w:rPr>
        <w:t xml:space="preserve">There is no precedent in Swiss cantonal administration for issuing fisheries advisories that draw on machine learning forecasts. The legal status of an ML-informed advisory — its evidentiary basis, liability exposure, and procedural requirements — is unsettled.</w:t>
      </w:r>
    </w:p>
    <w:p>
      <w:pPr>
        <w:pStyle w:val="Heading2"/>
        <w:spacing w:after="120" w:before="280"/>
      </w:pPr>
      <w:r>
        <w:rPr>
          <w:rFonts w:ascii="Arial" w:cs="Arial" w:eastAsia="Arial" w:hAnsi="Arial"/>
          <w:b/>
          <w:bCs/>
          <w:color w:val="01696F"/>
          <w:sz w:val="26"/>
          <w:szCs w:val="26"/>
        </w:rPr>
        <w:t xml:space="preserve">2. The AareML System</w:t>
      </w:r>
    </w:p>
    <w:p>
      <w:pPr>
        <w:spacing w:after="120" w:before="0" w:line="300"/>
        <w:jc w:val="left"/>
      </w:pPr>
      <w:r>
        <w:rPr>
          <w:rFonts w:ascii="Arial" w:cs="Arial" w:eastAsia="Arial" w:hAnsi="Arial"/>
          <w:color w:val="1A1A1A"/>
          <w:sz w:val="20"/>
          <w:szCs w:val="20"/>
        </w:rPr>
        <w:t xml:space="preserve">AareML is an encoder–decoder LSTM trained to predict DO and water temperature 14 days ahead from a 60-day input window of streamflow, water temperature, DO, and meteorological forcings. It is built on the CAMELS-CH-Chem reference dataset (Nascimento et al., 2025): 115 Swiss catchments, of which 86 carry high-frequency DO data over 1981–2020.</w:t>
      </w:r>
    </w:p>
    <w:p>
      <w:pPr>
        <w:spacing w:after="120" w:before="0" w:line="300"/>
        <w:jc w:val="left"/>
      </w:pPr>
      <w:r>
        <w:rPr>
          <w:rFonts w:ascii="Arial" w:cs="Arial" w:eastAsia="Arial" w:hAnsi="Arial"/>
          <w:color w:val="1A1A1A"/>
          <w:sz w:val="20"/>
          <w:szCs w:val="20"/>
        </w:rPr>
        <w:t xml:space="preserve">Key validation results:</w:t>
      </w:r>
    </w:p>
    <w:p>
      <w:pPr>
        <w:pStyle w:val="ListParagraph"/>
        <w:numPr>
          <w:ilvl w:val="0"/>
          <w:numId w:val="2"/>
        </w:numPr>
        <w:spacing w:after="80" w:line="290"/>
      </w:pPr>
      <w:r>
        <w:rPr>
          <w:rFonts w:ascii="Arial" w:cs="Arial" w:eastAsia="Arial" w:hAnsi="Arial"/>
          <w:b/>
          <w:bCs/>
          <w:color w:val="1A1A1A"/>
          <w:sz w:val="20"/>
          <w:szCs w:val="20"/>
        </w:rPr>
        <w:t xml:space="preserve">Reference site (Aare at Bern, gauge 2473): </w:t>
      </w:r>
      <w:r>
        <w:rPr>
          <w:rFonts w:ascii="Arial" w:cs="Arial" w:eastAsia="Arial" w:hAnsi="Arial"/>
          <w:color w:val="1A1A1A"/>
          <w:sz w:val="20"/>
          <w:szCs w:val="20"/>
        </w:rPr>
        <w:t xml:space="preserve">DO RMSE = 0.300 mg/L; KGE = 0.936. AareML outperforms a Ridge regression baseline on both metrics on this gauge.</w:t>
      </w:r>
    </w:p>
    <w:p>
      <w:pPr>
        <w:pStyle w:val="ListParagraph"/>
        <w:numPr>
          <w:ilvl w:val="0"/>
          <w:numId w:val="2"/>
        </w:numPr>
        <w:spacing w:after="80" w:line="290"/>
      </w:pPr>
      <w:r>
        <w:rPr>
          <w:rFonts w:ascii="Arial" w:cs="Arial" w:eastAsia="Arial" w:hAnsi="Arial"/>
          <w:b/>
          <w:bCs/>
          <w:color w:val="1A1A1A"/>
          <w:sz w:val="20"/>
          <w:szCs w:val="20"/>
        </w:rPr>
        <w:t xml:space="preserve">Zero-shot Swiss transfer (12 unseen gauges): </w:t>
      </w:r>
      <w:r>
        <w:rPr>
          <w:rFonts w:ascii="Arial" w:cs="Arial" w:eastAsia="Arial" w:hAnsi="Arial"/>
          <w:color w:val="1A1A1A"/>
          <w:sz w:val="20"/>
          <w:szCs w:val="20"/>
        </w:rPr>
        <w:t xml:space="preserve">Mean DO RMSE = 0.464 mg/L. The improvement over Ridge is statistically significant by a Wilcoxon signed-rank test (p = 0.024, n = 11 paired gauges).</w:t>
      </w:r>
    </w:p>
    <w:p>
      <w:pPr>
        <w:pStyle w:val="ListParagraph"/>
        <w:numPr>
          <w:ilvl w:val="0"/>
          <w:numId w:val="2"/>
        </w:numPr>
        <w:spacing w:after="80" w:line="290"/>
      </w:pPr>
      <w:r>
        <w:rPr>
          <w:rFonts w:ascii="Arial" w:cs="Arial" w:eastAsia="Arial" w:hAnsi="Arial"/>
          <w:b/>
          <w:bCs/>
          <w:color w:val="1A1A1A"/>
          <w:sz w:val="20"/>
          <w:szCs w:val="20"/>
        </w:rPr>
        <w:t xml:space="preserve">Cross-continental transfer (4 US rivers, no retraining): </w:t>
      </w:r>
      <w:r>
        <w:rPr>
          <w:rFonts w:ascii="Arial" w:cs="Arial" w:eastAsia="Arial" w:hAnsi="Arial"/>
          <w:color w:val="1A1A1A"/>
          <w:sz w:val="20"/>
          <w:szCs w:val="20"/>
        </w:rPr>
        <w:t xml:space="preserve">Mean DO RMSE = 1.376 mg/L. Demonstrates that the model generalises beyond its training distribution.</w:t>
      </w:r>
    </w:p>
    <w:p>
      <w:pPr>
        <w:pStyle w:val="ListParagraph"/>
        <w:numPr>
          <w:ilvl w:val="0"/>
          <w:numId w:val="2"/>
        </w:numPr>
        <w:spacing w:after="80" w:line="290"/>
      </w:pPr>
      <w:r>
        <w:rPr>
          <w:rFonts w:ascii="Arial" w:cs="Arial" w:eastAsia="Arial" w:hAnsi="Arial"/>
          <w:b/>
          <w:bCs/>
          <w:color w:val="1A1A1A"/>
          <w:sz w:val="20"/>
          <w:szCs w:val="20"/>
        </w:rPr>
        <w:t xml:space="preserve">Swiss lake adaptation (21 lakes, Bärenbold et al. 2026): </w:t>
      </w:r>
      <w:r>
        <w:rPr>
          <w:rFonts w:ascii="Arial" w:cs="Arial" w:eastAsia="Arial" w:hAnsi="Arial"/>
          <w:color w:val="1A1A1A"/>
          <w:sz w:val="20"/>
          <w:szCs w:val="20"/>
        </w:rPr>
        <w:t xml:space="preserve">After retraining, mean DO RMSE = 0.768 mg/L, 1.82× better than the published LakeBeD-US benchmark.</w:t>
      </w:r>
    </w:p>
    <w:p>
      <w:pPr>
        <w:pStyle w:val="ListParagraph"/>
        <w:numPr>
          <w:ilvl w:val="0"/>
          <w:numId w:val="2"/>
        </w:numPr>
        <w:spacing w:after="80" w:line="290"/>
      </w:pPr>
      <w:r>
        <w:rPr>
          <w:rFonts w:ascii="Arial" w:cs="Arial" w:eastAsia="Arial" w:hAnsi="Arial"/>
          <w:b/>
          <w:bCs/>
          <w:color w:val="1A1A1A"/>
          <w:sz w:val="20"/>
          <w:szCs w:val="20"/>
        </w:rPr>
        <w:t xml:space="preserve">Interpretability: </w:t>
      </w:r>
      <w:r>
        <w:rPr>
          <w:rFonts w:ascii="Arial" w:cs="Arial" w:eastAsia="Arial" w:hAnsi="Arial"/>
          <w:color w:val="1A1A1A"/>
          <w:sz w:val="20"/>
          <w:szCs w:val="20"/>
        </w:rPr>
        <w:t xml:space="preserve">SHAP attribution identifies temperature[t-1] as the dominant predictor (|SHAP| = 0.644), consistent with the physical chemistry of oxygen saturation.</w:t>
      </w:r>
    </w:p>
    <w:p>
      <w:pPr>
        <w:pStyle w:val="ListParagraph"/>
        <w:numPr>
          <w:ilvl w:val="0"/>
          <w:numId w:val="2"/>
        </w:numPr>
        <w:spacing w:after="80" w:line="290"/>
      </w:pPr>
      <w:r>
        <w:rPr>
          <w:rFonts w:ascii="Arial" w:cs="Arial" w:eastAsia="Arial" w:hAnsi="Arial"/>
          <w:b/>
          <w:bCs/>
          <w:color w:val="1A1A1A"/>
          <w:sz w:val="20"/>
          <w:szCs w:val="20"/>
        </w:rPr>
        <w:t xml:space="preserve">Software quality: </w:t>
      </w:r>
      <w:r>
        <w:rPr>
          <w:rFonts w:ascii="Arial" w:cs="Arial" w:eastAsia="Arial" w:hAnsi="Arial"/>
          <w:color w:val="1A1A1A"/>
          <w:sz w:val="20"/>
          <w:szCs w:val="20"/>
        </w:rPr>
        <w:t xml:space="preserve">88 passing tests; reproducible training pipeline; full technical report at v1.21; CAS in Advanced Machine Learning at the University of Bern (June 2026).</w:t>
      </w:r>
    </w:p>
    <w:p>
      <w:pPr>
        <w:spacing w:after="120" w:before="0" w:line="300"/>
        <w:jc w:val="left"/>
      </w:pPr>
      <w:r>
        <w:rPr>
          <w:rFonts w:ascii="Arial" w:cs="Arial" w:eastAsia="Arial" w:hAnsi="Arial"/>
          <w:color w:val="1A1A1A"/>
          <w:sz w:val="20"/>
          <w:szCs w:val="20"/>
        </w:rPr>
        <w:t xml:space="preserve">The repository, including notebook 09 (a complete Canton Zurich analysis on currently-available data) and a 12-page Canton Zurich chapter PDF, is publicly available at github.com/polar-bear-after-lunch/AareML.</w:t>
      </w:r>
    </w:p>
    <w:p>
      <w:pPr>
        <w:pStyle w:val="Heading2"/>
        <w:spacing w:after="120" w:before="280"/>
      </w:pPr>
      <w:r>
        <w:rPr>
          <w:rFonts w:ascii="Arial" w:cs="Arial" w:eastAsia="Arial" w:hAnsi="Arial"/>
          <w:b/>
          <w:bCs/>
          <w:color w:val="01696F"/>
          <w:sz w:val="26"/>
          <w:szCs w:val="26"/>
        </w:rPr>
        <w:t xml:space="preserve">3. Why the Sandbox Is the Right Vehicle</w:t>
      </w:r>
    </w:p>
    <w:p>
      <w:pPr>
        <w:spacing w:after="120" w:before="0" w:line="300"/>
        <w:jc w:val="left"/>
      </w:pPr>
      <w:r>
        <w:rPr>
          <w:rFonts w:ascii="Arial" w:cs="Arial" w:eastAsia="Arial" w:hAnsi="Arial"/>
          <w:color w:val="1A1A1A"/>
          <w:sz w:val="20"/>
          <w:szCs w:val="20"/>
        </w:rPr>
        <w:t xml:space="preserve">AareML does not need a research grant. The science has been completed at the level required for a CAS-AML final project and an internal technical report. What AareML needs is exactly what the Innovation Sandbox provides:</w:t>
      </w:r>
    </w:p>
    <w:p>
      <w:pPr>
        <w:pStyle w:val="ListParagraph"/>
        <w:numPr>
          <w:ilvl w:val="0"/>
          <w:numId w:val="2"/>
        </w:numPr>
        <w:spacing w:after="80" w:line="290"/>
      </w:pPr>
      <w:r>
        <w:rPr>
          <w:rFonts w:ascii="Arial" w:cs="Arial" w:eastAsia="Arial" w:hAnsi="Arial"/>
          <w:b/>
          <w:bCs/>
          <w:color w:val="1A1A1A"/>
          <w:sz w:val="20"/>
          <w:szCs w:val="20"/>
        </w:rPr>
        <w:t xml:space="preserve">Structured cantonal data access. </w:t>
      </w:r>
      <w:r>
        <w:rPr>
          <w:rFonts w:ascii="Arial" w:cs="Arial" w:eastAsia="Arial" w:hAnsi="Arial"/>
          <w:color w:val="1A1A1A"/>
          <w:sz w:val="20"/>
          <w:szCs w:val="20"/>
        </w:rPr>
        <w:t xml:space="preserve">A brokered agreement with AWEL for retrospective DO and temperature time series at 10–20 monitoring sites — the missing ingredient for cantonal calibration. The sandbox's existing relationships with cantonal offices make this tractable in a way that bilateral outreach is not.</w:t>
      </w:r>
    </w:p>
    <w:p>
      <w:pPr>
        <w:pStyle w:val="ListParagraph"/>
        <w:numPr>
          <w:ilvl w:val="0"/>
          <w:numId w:val="2"/>
        </w:numPr>
        <w:spacing w:after="80" w:line="290"/>
      </w:pPr>
      <w:r>
        <w:rPr>
          <w:rFonts w:ascii="Arial" w:cs="Arial" w:eastAsia="Arial" w:hAnsi="Arial"/>
          <w:b/>
          <w:bCs/>
          <w:color w:val="1A1A1A"/>
          <w:sz w:val="20"/>
          <w:szCs w:val="20"/>
        </w:rPr>
        <w:t xml:space="preserve">Regulatory consulting. </w:t>
      </w:r>
      <w:r>
        <w:rPr>
          <w:rFonts w:ascii="Arial" w:cs="Arial" w:eastAsia="Arial" w:hAnsi="Arial"/>
          <w:color w:val="1A1A1A"/>
          <w:sz w:val="20"/>
          <w:szCs w:val="20"/>
        </w:rPr>
        <w:t xml:space="preserve">UZH ITSL's embedded role in the sandbox enables co-authorship of a legal-framework note on AI-informed water quality advisories. This is precisely the kind of cross-cutting legal work the sandbox is designed to enable.</w:t>
      </w:r>
    </w:p>
    <w:p>
      <w:pPr>
        <w:pStyle w:val="ListParagraph"/>
        <w:numPr>
          <w:ilvl w:val="0"/>
          <w:numId w:val="2"/>
        </w:numPr>
        <w:spacing w:after="80" w:line="290"/>
      </w:pPr>
      <w:r>
        <w:rPr>
          <w:rFonts w:ascii="Arial" w:cs="Arial" w:eastAsia="Arial" w:hAnsi="Arial"/>
          <w:b/>
          <w:bCs/>
          <w:color w:val="1A1A1A"/>
          <w:sz w:val="20"/>
          <w:szCs w:val="20"/>
        </w:rPr>
        <w:t xml:space="preserve">A public-sector deployment partner. </w:t>
      </w:r>
      <w:r>
        <w:rPr>
          <w:rFonts w:ascii="Arial" w:cs="Arial" w:eastAsia="Arial" w:hAnsi="Arial"/>
          <w:color w:val="1A1A1A"/>
          <w:sz w:val="20"/>
          <w:szCs w:val="20"/>
        </w:rPr>
        <w:t xml:space="preserve">AWEL as host and the Fischereiinspektorat as end-user provide a real workflow against which a 14-day forecast dashboard can be evaluated. Without this partnership AareML remains a model on a laptop.</w:t>
      </w:r>
    </w:p>
    <w:p>
      <w:pPr>
        <w:spacing w:after="120" w:before="0" w:line="300"/>
        <w:jc w:val="left"/>
      </w:pPr>
      <w:r>
        <w:rPr>
          <w:rFonts w:ascii="Arial" w:cs="Arial" w:eastAsia="Arial" w:hAnsi="Arial"/>
          <w:color w:val="1A1A1A"/>
          <w:sz w:val="20"/>
          <w:szCs w:val="20"/>
        </w:rPr>
        <w:t xml:space="preserve">The most analogous successful Phase II project is the cantonal bridge-monitoring sandbox: sensor data + AI + a cantonal infrastructure authority + an early-warning output. AareML is the environmental equivalent — sensor data + AI + a cantonal environmental authority + an early-warning output for fish populations.</w:t>
      </w:r>
    </w:p>
    <w:p>
      <w:r>
        <w:br w:type="page"/>
      </w:r>
    </w:p>
    <w:p>
      <w:pPr>
        <w:pStyle w:val="Heading1"/>
        <w:spacing w:after="160" w:before="360"/>
      </w:pPr>
      <w:r>
        <w:rPr>
          <w:rFonts w:ascii="Arial" w:cs="Arial" w:eastAsia="Arial" w:hAnsi="Arial"/>
          <w:b/>
          <w:bCs/>
          <w:color w:val="01696F"/>
          <w:sz w:val="32"/>
          <w:szCs w:val="32"/>
        </w:rPr>
        <w:t xml:space="preserve">Implementation Plan</w:t>
      </w:r>
    </w:p>
    <w:p>
      <w:pPr>
        <w:spacing w:after="120" w:before="0" w:line="300"/>
        <w:jc w:val="left"/>
      </w:pPr>
      <w:r>
        <w:rPr>
          <w:rFonts w:ascii="Arial" w:cs="Arial" w:eastAsia="Arial" w:hAnsi="Arial"/>
          <w:color w:val="1A1A1A"/>
          <w:sz w:val="20"/>
          <w:szCs w:val="20"/>
        </w:rPr>
        <w:t xml:space="preserve">Phase III runs ten months, September 2026 through June 2027. The plan is deliberately tight: three deliverables, each measurable, each with a named accountable partner.</w:t>
      </w:r>
    </w:p>
    <w:p>
      <w:pPr>
        <w:pStyle w:val="Heading3"/>
        <w:spacing w:after="80" w:before="200"/>
      </w:pPr>
      <w:r>
        <w:rPr>
          <w:rFonts w:ascii="Arial" w:cs="Arial" w:eastAsia="Arial" w:hAnsi="Arial"/>
          <w:b/>
          <w:bCs/>
          <w:color w:val="1A1A1A"/>
          <w:sz w:val="22"/>
          <w:szCs w:val="22"/>
        </w:rPr>
        <w:t xml:space="preserve">Deliverable 1 — Cantonal data integration and validated accuracy map</w:t>
      </w:r>
    </w:p>
    <w:p>
      <w:pPr>
        <w:spacing w:after="120" w:before="0" w:line="300"/>
        <w:jc w:val="left"/>
      </w:pPr>
      <w:r>
        <w:rPr>
          <w:rFonts w:ascii="Arial" w:cs="Arial" w:eastAsia="Arial" w:hAnsi="Arial"/>
          <w:b/>
          <w:bCs/>
          <w:color w:val="1A1A1A"/>
          <w:sz w:val="20"/>
          <w:szCs w:val="20"/>
        </w:rPr>
        <w:t xml:space="preserve">Output: </w:t>
      </w:r>
      <w:r>
        <w:rPr>
          <w:rFonts w:ascii="Arial" w:cs="Arial" w:eastAsia="Arial" w:hAnsi="Arial"/>
          <w:color w:val="1A1A1A"/>
          <w:sz w:val="20"/>
          <w:szCs w:val="20"/>
        </w:rPr>
        <w:t xml:space="preserve">AareML retrained on Canton Zurich gauges; a quantitative accuracy map (RMSE, KGE per gauge) covering all Canton Zurich monitoring sites with sufficient DO history. </w:t>
      </w:r>
      <w:r>
        <w:rPr>
          <w:rFonts w:ascii="Arial" w:cs="Arial" w:eastAsia="Arial" w:hAnsi="Arial"/>
          <w:b/>
          <w:bCs/>
          <w:color w:val="1A1A1A"/>
          <w:sz w:val="20"/>
          <w:szCs w:val="20"/>
        </w:rPr>
        <w:t xml:space="preserve">Lead: </w:t>
      </w:r>
      <w:r>
        <w:rPr>
          <w:rFonts w:ascii="Arial" w:cs="Arial" w:eastAsia="Arial" w:hAnsi="Arial"/>
          <w:color w:val="1A1A1A"/>
          <w:sz w:val="20"/>
          <w:szCs w:val="20"/>
        </w:rPr>
        <w:t xml:space="preserve">AareML team + AWEL. </w:t>
      </w:r>
      <w:r>
        <w:rPr>
          <w:rFonts w:ascii="Arial" w:cs="Arial" w:eastAsia="Arial" w:hAnsi="Arial"/>
          <w:b/>
          <w:bCs/>
          <w:color w:val="1A1A1A"/>
          <w:sz w:val="20"/>
          <w:szCs w:val="20"/>
        </w:rPr>
        <w:t xml:space="preserve">Sandbox role: </w:t>
      </w:r>
      <w:r>
        <w:rPr>
          <w:rFonts w:ascii="Arial" w:cs="Arial" w:eastAsia="Arial" w:hAnsi="Arial"/>
          <w:color w:val="1A1A1A"/>
          <w:sz w:val="20"/>
          <w:szCs w:val="20"/>
        </w:rPr>
        <w:t xml:space="preserve">Broker the AWEL data-sharing agreement (10–20 sites, retrospective DO and water temperature time series, plus station metadata). </w:t>
      </w:r>
      <w:r>
        <w:rPr>
          <w:rFonts w:ascii="Arial" w:cs="Arial" w:eastAsia="Arial" w:hAnsi="Arial"/>
          <w:b/>
          <w:bCs/>
          <w:color w:val="1A1A1A"/>
          <w:sz w:val="20"/>
          <w:szCs w:val="20"/>
        </w:rPr>
        <w:t xml:space="preserve">Milestones: </w:t>
      </w:r>
      <w:r>
        <w:rPr>
          <w:rFonts w:ascii="Arial" w:cs="Arial" w:eastAsia="Arial" w:hAnsi="Arial"/>
          <w:color w:val="1A1A1A"/>
          <w:sz w:val="20"/>
          <w:szCs w:val="20"/>
        </w:rPr>
        <w:t xml:space="preserve">Data agreement Sep–Oct 2026; data ingestion and harmonisation Nov–Dec 2026; retraining and validation Jan–Feb 2027; accuracy map Mar 2027.</w:t>
      </w:r>
    </w:p>
    <w:p>
      <w:pPr>
        <w:pStyle w:val="Heading3"/>
        <w:spacing w:after="80" w:before="200"/>
      </w:pPr>
      <w:r>
        <w:rPr>
          <w:rFonts w:ascii="Arial" w:cs="Arial" w:eastAsia="Arial" w:hAnsi="Arial"/>
          <w:b/>
          <w:bCs/>
          <w:color w:val="1A1A1A"/>
          <w:sz w:val="22"/>
          <w:szCs w:val="22"/>
        </w:rPr>
        <w:t xml:space="preserve">Deliverable 2 — Real-time 14-day DO alert dashboard (Limmat and Glatt pilot)</w:t>
      </w:r>
    </w:p>
    <w:p>
      <w:pPr>
        <w:spacing w:after="120" w:before="0" w:line="300"/>
        <w:jc w:val="left"/>
      </w:pPr>
      <w:r>
        <w:rPr>
          <w:rFonts w:ascii="Arial" w:cs="Arial" w:eastAsia="Arial" w:hAnsi="Arial"/>
          <w:b/>
          <w:bCs/>
          <w:color w:val="1A1A1A"/>
          <w:sz w:val="20"/>
          <w:szCs w:val="20"/>
        </w:rPr>
        <w:t xml:space="preserve">Output: </w:t>
      </w:r>
      <w:r>
        <w:rPr>
          <w:rFonts w:ascii="Arial" w:cs="Arial" w:eastAsia="Arial" w:hAnsi="Arial"/>
          <w:color w:val="1A1A1A"/>
          <w:sz w:val="20"/>
          <w:szCs w:val="20"/>
        </w:rPr>
        <w:t xml:space="preserve">A web dashboard that displays the next 14-day DO and temperature forecast at AWEL's Limmat and Glatt gauges, with threshold-based alert categories aligned to fisheries-relevant DO bands. </w:t>
      </w:r>
      <w:r>
        <w:rPr>
          <w:rFonts w:ascii="Arial" w:cs="Arial" w:eastAsia="Arial" w:hAnsi="Arial"/>
          <w:b/>
          <w:bCs/>
          <w:color w:val="1A1A1A"/>
          <w:sz w:val="20"/>
          <w:szCs w:val="20"/>
        </w:rPr>
        <w:t xml:space="preserve">Lead: </w:t>
      </w:r>
      <w:r>
        <w:rPr>
          <w:rFonts w:ascii="Arial" w:cs="Arial" w:eastAsia="Arial" w:hAnsi="Arial"/>
          <w:color w:val="1A1A1A"/>
          <w:sz w:val="20"/>
          <w:szCs w:val="20"/>
        </w:rPr>
        <w:t xml:space="preserve">AareML team + AWEL operations; usability review by the Canton Zurich Fischereiinspektorat. </w:t>
      </w:r>
      <w:r>
        <w:rPr>
          <w:rFonts w:ascii="Arial" w:cs="Arial" w:eastAsia="Arial" w:hAnsi="Arial"/>
          <w:b/>
          <w:bCs/>
          <w:color w:val="1A1A1A"/>
          <w:sz w:val="20"/>
          <w:szCs w:val="20"/>
        </w:rPr>
        <w:t xml:space="preserve">Sandbox role: </w:t>
      </w:r>
      <w:r>
        <w:rPr>
          <w:rFonts w:ascii="Arial" w:cs="Arial" w:eastAsia="Arial" w:hAnsi="Arial"/>
          <w:color w:val="1A1A1A"/>
          <w:sz w:val="20"/>
          <w:szCs w:val="20"/>
        </w:rPr>
        <w:t xml:space="preserve">Hosting environment guidance, security review, alignment with cantonal data-protection requirements. </w:t>
      </w:r>
      <w:r>
        <w:rPr>
          <w:rFonts w:ascii="Arial" w:cs="Arial" w:eastAsia="Arial" w:hAnsi="Arial"/>
          <w:b/>
          <w:bCs/>
          <w:color w:val="1A1A1A"/>
          <w:sz w:val="20"/>
          <w:szCs w:val="20"/>
        </w:rPr>
        <w:t xml:space="preserve">Milestones: </w:t>
      </w:r>
      <w:r>
        <w:rPr>
          <w:rFonts w:ascii="Arial" w:cs="Arial" w:eastAsia="Arial" w:hAnsi="Arial"/>
          <w:color w:val="1A1A1A"/>
          <w:sz w:val="20"/>
          <w:szCs w:val="20"/>
        </w:rPr>
        <w:t xml:space="preserve">Dashboard prototype Feb 2027; internal pilot Apr 2027; user-acceptance review with the Fischereiinspektorat May 2027; pilot report Jun 2027.</w:t>
      </w:r>
    </w:p>
    <w:p>
      <w:pPr>
        <w:pStyle w:val="Heading3"/>
        <w:spacing w:after="80" w:before="200"/>
      </w:pPr>
      <w:r>
        <w:rPr>
          <w:rFonts w:ascii="Arial" w:cs="Arial" w:eastAsia="Arial" w:hAnsi="Arial"/>
          <w:b/>
          <w:bCs/>
          <w:color w:val="1A1A1A"/>
          <w:sz w:val="22"/>
          <w:szCs w:val="22"/>
        </w:rPr>
        <w:t xml:space="preserve">Deliverable 3 — Legal framework note on AI-informed water-quality advisories</w:t>
      </w:r>
    </w:p>
    <w:p>
      <w:pPr>
        <w:spacing w:after="120" w:before="0" w:line="300"/>
        <w:jc w:val="left"/>
      </w:pPr>
      <w:r>
        <w:rPr>
          <w:rFonts w:ascii="Arial" w:cs="Arial" w:eastAsia="Arial" w:hAnsi="Arial"/>
          <w:b/>
          <w:bCs/>
          <w:color w:val="1A1A1A"/>
          <w:sz w:val="20"/>
          <w:szCs w:val="20"/>
        </w:rPr>
        <w:t xml:space="preserve">Output: </w:t>
      </w:r>
      <w:r>
        <w:rPr>
          <w:rFonts w:ascii="Arial" w:cs="Arial" w:eastAsia="Arial" w:hAnsi="Arial"/>
          <w:color w:val="1A1A1A"/>
          <w:sz w:val="20"/>
          <w:szCs w:val="20"/>
        </w:rPr>
        <w:t xml:space="preserve">A publishable note, co-authored with UZH ITSL, specifying the legal basis, procedural safeguards, and liability considerations for a Swiss cantonal authority issuing fisheries advisories informed by machine learning forecasts. The note is structured as a reusable template for all 26 cantons. </w:t>
      </w:r>
      <w:r>
        <w:rPr>
          <w:rFonts w:ascii="Arial" w:cs="Arial" w:eastAsia="Arial" w:hAnsi="Arial"/>
          <w:b/>
          <w:bCs/>
          <w:color w:val="1A1A1A"/>
          <w:sz w:val="20"/>
          <w:szCs w:val="20"/>
        </w:rPr>
        <w:t xml:space="preserve">Lead: </w:t>
      </w:r>
      <w:r>
        <w:rPr>
          <w:rFonts w:ascii="Arial" w:cs="Arial" w:eastAsia="Arial" w:hAnsi="Arial"/>
          <w:color w:val="1A1A1A"/>
          <w:sz w:val="20"/>
          <w:szCs w:val="20"/>
        </w:rPr>
        <w:t xml:space="preserve">UZH ITSL + AareML team. </w:t>
      </w:r>
      <w:r>
        <w:rPr>
          <w:rFonts w:ascii="Arial" w:cs="Arial" w:eastAsia="Arial" w:hAnsi="Arial"/>
          <w:b/>
          <w:bCs/>
          <w:color w:val="1A1A1A"/>
          <w:sz w:val="20"/>
          <w:szCs w:val="20"/>
        </w:rPr>
        <w:t xml:space="preserve">Sandbox role: </w:t>
      </w:r>
      <w:r>
        <w:rPr>
          <w:rFonts w:ascii="Arial" w:cs="Arial" w:eastAsia="Arial" w:hAnsi="Arial"/>
          <w:color w:val="1A1A1A"/>
          <w:sz w:val="20"/>
          <w:szCs w:val="20"/>
        </w:rPr>
        <w:t xml:space="preserve">Existing UZH ITSL engagement; coordination with AWEL legal services. </w:t>
      </w:r>
      <w:r>
        <w:rPr>
          <w:rFonts w:ascii="Arial" w:cs="Arial" w:eastAsia="Arial" w:hAnsi="Arial"/>
          <w:b/>
          <w:bCs/>
          <w:color w:val="1A1A1A"/>
          <w:sz w:val="20"/>
          <w:szCs w:val="20"/>
        </w:rPr>
        <w:t xml:space="preserve">Milestones: </w:t>
      </w:r>
      <w:r>
        <w:rPr>
          <w:rFonts w:ascii="Arial" w:cs="Arial" w:eastAsia="Arial" w:hAnsi="Arial"/>
          <w:color w:val="1A1A1A"/>
          <w:sz w:val="20"/>
          <w:szCs w:val="20"/>
        </w:rPr>
        <w:t xml:space="preserve">Scoping workshop Nov 2026; draft note Mar 2027; cantonal review Apr–May 2027; published note Jun 2027.</w:t>
      </w:r>
    </w:p>
    <w:p>
      <w:pPr>
        <w:spacing w:after="120" w:before="0" w:line="300"/>
        <w:jc w:val="left"/>
      </w:pPr>
      <w:r>
        <w:rPr>
          <w:rFonts w:ascii="Arial" w:cs="Arial" w:eastAsia="Arial" w:hAnsi="Arial"/>
          <w:i/>
          <w:iCs/>
          <w:color w:val="555555"/>
          <w:sz w:val="20"/>
          <w:szCs w:val="20"/>
        </w:rPr>
        <w:t xml:space="preserve">What Phase III will not deliver: </w:t>
      </w:r>
      <w:r>
        <w:rPr>
          <w:rFonts w:ascii="Arial" w:cs="Arial" w:eastAsia="Arial" w:hAnsi="Arial"/>
          <w:color w:val="1A1A1A"/>
          <w:sz w:val="20"/>
          <w:szCs w:val="20"/>
        </w:rPr>
        <w:t xml:space="preserve">a national operational rollout; a multi-canton harmonisation effort; new model architectures beyond targeted Canton Zurich retraining. These are appropriate next steps after the pilot — they are out of scope here.</w:t>
      </w:r>
    </w:p>
    <w:p>
      <w:r>
        <w:br w:type="page"/>
      </w:r>
    </w:p>
    <w:p>
      <w:pPr>
        <w:pStyle w:val="Heading1"/>
        <w:spacing w:after="160" w:before="360"/>
      </w:pPr>
      <w:r>
        <w:rPr>
          <w:rFonts w:ascii="Arial" w:cs="Arial" w:eastAsia="Arial" w:hAnsi="Arial"/>
          <w:b/>
          <w:bCs/>
          <w:color w:val="01696F"/>
          <w:sz w:val="32"/>
          <w:szCs w:val="32"/>
        </w:rPr>
        <w:t xml:space="preserve">Selection Criteria — Point-by-Point Match</w:t>
      </w:r>
    </w:p>
    <w:p>
      <w:pPr>
        <w:spacing w:after="120" w:before="0" w:line="300"/>
        <w:jc w:val="left"/>
      </w:pPr>
      <w:r>
        <w:rPr>
          <w:rFonts w:ascii="Arial" w:cs="Arial" w:eastAsia="Arial" w:hAnsi="Arial"/>
          <w:color w:val="1A1A1A"/>
          <w:sz w:val="20"/>
          <w:szCs w:val="20"/>
        </w:rPr>
        <w:t xml:space="preserve">The table below maps AareML against the six published Phase III selection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5C7" w:sz="4"/>
              <w:left w:val="single" w:color="B8C5C7" w:sz="4"/>
              <w:bottom w:val="single" w:color="B8C5C7" w:sz="4"/>
              <w:right w:val="single" w:color="B8C5C7" w:sz="4"/>
            </w:tcBorders>
            <w:shd w:fill="01696F" w:val="clear"/>
            <w:tcMar>
              <w:top w:type="dxa" w:w="100"/>
              <w:left w:type="dxa" w:w="140"/>
              <w:bottom w:type="dxa" w:w="100"/>
              <w:right w:type="dxa" w:w="140"/>
            </w:tcMar>
          </w:tcPr>
          <w:p>
            <w:pPr>
              <w:spacing w:after="40" w:line="280"/>
            </w:pPr>
            <w:r>
              <w:rPr>
                <w:rFonts w:ascii="Arial" w:cs="Arial" w:eastAsia="Arial" w:hAnsi="Arial"/>
                <w:b/>
                <w:bCs/>
                <w:color w:val="FFFFFF"/>
                <w:sz w:val="18"/>
                <w:szCs w:val="18"/>
              </w:rPr>
              <w:t xml:space="preserve">Criterion</w:t>
            </w:r>
          </w:p>
        </w:tc>
        <w:tc>
          <w:tcPr>
            <w:tcW w:type="dxa" w:w="6960"/>
            <w:tcBorders>
              <w:top w:val="single" w:color="B8C5C7" w:sz="4"/>
              <w:left w:val="single" w:color="B8C5C7" w:sz="4"/>
              <w:bottom w:val="single" w:color="B8C5C7" w:sz="4"/>
              <w:right w:val="single" w:color="B8C5C7" w:sz="4"/>
            </w:tcBorders>
            <w:shd w:fill="01696F" w:val="clear"/>
            <w:tcMar>
              <w:top w:type="dxa" w:w="100"/>
              <w:left w:type="dxa" w:w="140"/>
              <w:bottom w:type="dxa" w:w="100"/>
              <w:right w:type="dxa" w:w="140"/>
            </w:tcMar>
          </w:tcPr>
          <w:p>
            <w:pPr>
              <w:spacing w:after="40" w:line="280"/>
            </w:pPr>
            <w:r>
              <w:rPr>
                <w:rFonts w:ascii="Arial" w:cs="Arial" w:eastAsia="Arial" w:hAnsi="Arial"/>
                <w:b/>
                <w:bCs/>
                <w:color w:val="FFFFFF"/>
                <w:sz w:val="18"/>
                <w:szCs w:val="18"/>
              </w:rPr>
              <w:t xml:space="preserve">AareML match</w:t>
            </w:r>
          </w:p>
        </w:tc>
      </w:tr>
      <w:tr>
        <w:trPr>
          <w:tblHeader w:val="false"/>
        </w:trPr>
        <w:tc>
          <w:tcPr>
            <w:tcW w:type="dxa" w:w="240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AI maturity</w:t>
            </w:r>
          </w:p>
        </w:tc>
        <w:tc>
          <w:tcPr>
            <w:tcW w:type="dxa" w:w="696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Trained, validated, benchmarked Seq2Seq LSTM on CAMELS-CH-Chem; KGE = 0.936 at the reference gauge; 88 passing tests; SHAP interpretability; full technical report at v1.21.</w:t>
            </w:r>
          </w:p>
        </w:tc>
      </w:tr>
      <w:tr>
        <w:trPr>
          <w:tblHeader w:val="false"/>
        </w:trPr>
        <w:tc>
          <w:tcPr>
            <w:tcW w:type="dxa" w:w="240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Regulatory learning potential</w:t>
            </w:r>
          </w:p>
        </w:tc>
        <w:tc>
          <w:tcPr>
            <w:tcW w:type="dxa" w:w="696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High. No existing Swiss cantonal precedent for ML-informed fisheries advisories. UZH ITSL co-authored legal-framework note is designed as a 26-canton reusable template.</w:t>
            </w:r>
          </w:p>
        </w:tc>
      </w:tr>
      <w:tr>
        <w:trPr>
          <w:tblHeader w:val="false"/>
        </w:trPr>
        <w:tc>
          <w:tcPr>
            <w:tcW w:type="dxa" w:w="240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Societal added value</w:t>
            </w:r>
          </w:p>
        </w:tc>
        <w:tc>
          <w:tcPr>
            <w:tcW w:type="dxa" w:w="696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Direct protection of fish populations through earlier intervention windows; supports cantonal fulfilment of water-protection mandates; transparent and reproducible by construction.</w:t>
            </w:r>
          </w:p>
        </w:tc>
      </w:tr>
      <w:tr>
        <w:trPr>
          <w:tblHeader w:val="false"/>
        </w:trPr>
        <w:tc>
          <w:tcPr>
            <w:tcW w:type="dxa" w:w="240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Innovation level</w:t>
            </w:r>
          </w:p>
        </w:tc>
        <w:tc>
          <w:tcPr>
            <w:tcW w:type="dxa" w:w="696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First operational 14-day DO forecast for Swiss rivers; first integration of CAMELS-CH-Chem-trained models into a cantonal workflow; explicit cross-continental generalisation evidence.</w:t>
            </w:r>
          </w:p>
        </w:tc>
      </w:tr>
      <w:tr>
        <w:trPr>
          <w:tblHeader w:val="false"/>
        </w:trPr>
        <w:tc>
          <w:tcPr>
            <w:tcW w:type="dxa" w:w="240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Technical feasibility</w:t>
            </w:r>
          </w:p>
        </w:tc>
        <w:tc>
          <w:tcPr>
            <w:tcW w:type="dxa" w:w="696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Production-ready code base; reproducible pipeline; clearly bounded retraining task; cantonal data already collected by AWEL — no new sensors required.</w:t>
            </w:r>
          </w:p>
        </w:tc>
      </w:tr>
      <w:tr>
        <w:trPr>
          <w:tblHeader w:val="false"/>
        </w:trPr>
        <w:tc>
          <w:tcPr>
            <w:tcW w:type="dxa" w:w="240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Transferability</w:t>
            </w:r>
          </w:p>
        </w:tc>
        <w:tc>
          <w:tcPr>
            <w:tcW w:type="dxa" w:w="696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Architecture is canton-agnostic. All 26 cantons operate similar water-quality monitoring networks. The legal-framework note is template-grade by design. Notebook 09 documents the Canton Zurich analysis as a reusable workflow.</w:t>
            </w:r>
          </w:p>
        </w:tc>
      </w:tr>
    </w:tbl>
    <w:p>
      <w:pPr>
        <w:spacing w:after="200"/>
      </w:pPr>
      <w:r>
        <w:t xml:space="preserve"/>
      </w:r>
    </w:p>
    <w:p>
      <w:pPr>
        <w:pStyle w:val="Heading1"/>
        <w:spacing w:after="160" w:before="360"/>
      </w:pPr>
      <w:r>
        <w:rPr>
          <w:rFonts w:ascii="Arial" w:cs="Arial" w:eastAsia="Arial" w:hAnsi="Arial"/>
          <w:b/>
          <w:bCs/>
          <w:color w:val="01696F"/>
          <w:sz w:val="32"/>
          <w:szCs w:val="32"/>
        </w:rPr>
        <w:t xml:space="preserve">Partners</w:t>
      </w:r>
    </w:p>
    <w:p>
      <w:pPr>
        <w:spacing w:after="120" w:before="0" w:line="300"/>
        <w:jc w:val="left"/>
      </w:pPr>
      <w:r>
        <w:rPr>
          <w:rFonts w:ascii="Arial" w:cs="Arial" w:eastAsia="Arial" w:hAnsi="Arial"/>
          <w:color w:val="1A1A1A"/>
          <w:sz w:val="20"/>
          <w:szCs w:val="20"/>
        </w:rPr>
        <w:t xml:space="preserve">Phase III is delivered by a small, named, cross-institutional consortium. Each partner carries one defined role; none of the roles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tcBorders>
              <w:top w:val="single" w:color="B8C5C7" w:sz="4"/>
              <w:left w:val="single" w:color="B8C5C7" w:sz="4"/>
              <w:bottom w:val="single" w:color="B8C5C7" w:sz="4"/>
              <w:right w:val="single" w:color="B8C5C7" w:sz="4"/>
            </w:tcBorders>
            <w:shd w:fill="01696F" w:val="clear"/>
            <w:tcMar>
              <w:top w:type="dxa" w:w="100"/>
              <w:left w:type="dxa" w:w="140"/>
              <w:bottom w:type="dxa" w:w="100"/>
              <w:right w:type="dxa" w:w="140"/>
            </w:tcMar>
          </w:tcPr>
          <w:p>
            <w:pPr>
              <w:spacing w:after="40" w:line="280"/>
            </w:pPr>
            <w:r>
              <w:rPr>
                <w:rFonts w:ascii="Arial" w:cs="Arial" w:eastAsia="Arial" w:hAnsi="Arial"/>
                <w:b/>
                <w:bCs/>
                <w:color w:val="FFFFFF"/>
                <w:sz w:val="18"/>
                <w:szCs w:val="18"/>
              </w:rPr>
              <w:t xml:space="preserve">Partner</w:t>
            </w:r>
          </w:p>
        </w:tc>
        <w:tc>
          <w:tcPr>
            <w:tcW w:type="dxa" w:w="3600"/>
            <w:tcBorders>
              <w:top w:val="single" w:color="B8C5C7" w:sz="4"/>
              <w:left w:val="single" w:color="B8C5C7" w:sz="4"/>
              <w:bottom w:val="single" w:color="B8C5C7" w:sz="4"/>
              <w:right w:val="single" w:color="B8C5C7" w:sz="4"/>
            </w:tcBorders>
            <w:shd w:fill="01696F" w:val="clear"/>
            <w:tcMar>
              <w:top w:type="dxa" w:w="100"/>
              <w:left w:type="dxa" w:w="140"/>
              <w:bottom w:type="dxa" w:w="100"/>
              <w:right w:type="dxa" w:w="140"/>
            </w:tcMar>
          </w:tcPr>
          <w:p>
            <w:pPr>
              <w:spacing w:after="40" w:line="280"/>
            </w:pPr>
            <w:r>
              <w:rPr>
                <w:rFonts w:ascii="Arial" w:cs="Arial" w:eastAsia="Arial" w:hAnsi="Arial"/>
                <w:b/>
                <w:bCs/>
                <w:color w:val="FFFFFF"/>
                <w:sz w:val="18"/>
                <w:szCs w:val="18"/>
              </w:rPr>
              <w:t xml:space="preserve">Role</w:t>
            </w:r>
          </w:p>
        </w:tc>
        <w:tc>
          <w:tcPr>
            <w:tcW w:type="dxa" w:w="3660"/>
            <w:tcBorders>
              <w:top w:val="single" w:color="B8C5C7" w:sz="4"/>
              <w:left w:val="single" w:color="B8C5C7" w:sz="4"/>
              <w:bottom w:val="single" w:color="B8C5C7" w:sz="4"/>
              <w:right w:val="single" w:color="B8C5C7" w:sz="4"/>
            </w:tcBorders>
            <w:shd w:fill="01696F" w:val="clear"/>
            <w:tcMar>
              <w:top w:type="dxa" w:w="100"/>
              <w:left w:type="dxa" w:w="140"/>
              <w:bottom w:type="dxa" w:w="100"/>
              <w:right w:type="dxa" w:w="140"/>
            </w:tcMar>
          </w:tcPr>
          <w:p>
            <w:pPr>
              <w:spacing w:after="40" w:line="280"/>
            </w:pPr>
            <w:r>
              <w:rPr>
                <w:rFonts w:ascii="Arial" w:cs="Arial" w:eastAsia="Arial" w:hAnsi="Arial"/>
                <w:b/>
                <w:bCs/>
                <w:color w:val="FFFFFF"/>
                <w:sz w:val="18"/>
                <w:szCs w:val="18"/>
              </w:rPr>
              <w:t xml:space="preserve">Status</w:t>
            </w:r>
          </w:p>
        </w:tc>
      </w:tr>
      <w:tr>
        <w:trPr>
          <w:tblHeader w:val="false"/>
        </w:trPr>
        <w:tc>
          <w:tcPr>
            <w:tcW w:type="dxa" w:w="210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Eawag</w:t>
            </w:r>
          </w:p>
        </w:tc>
        <w:tc>
          <w:tcPr>
            <w:tcW w:type="dxa" w:w="360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Scientific anchor; CAMELS-CH-Chem dataset stewardship; scientific quality assurance.</w:t>
            </w:r>
          </w:p>
        </w:tc>
        <w:tc>
          <w:tcPr>
            <w:tcW w:type="dxa" w:w="366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Thiago Nascimento (CAMELS-CH-Chem lead author) already engaged positively on the project.</w:t>
            </w:r>
          </w:p>
        </w:tc>
      </w:tr>
      <w:tr>
        <w:trPr>
          <w:tblHeader w:val="false"/>
        </w:trPr>
        <w:tc>
          <w:tcPr>
            <w:tcW w:type="dxa" w:w="210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AWEL — Canton Zurich Office for Waste, Water, Energy and Air</w:t>
            </w:r>
          </w:p>
        </w:tc>
        <w:tc>
          <w:tcPr>
            <w:tcW w:type="dxa" w:w="360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Deployment partner; cantonal DO and temperature data provider for 10–20 monitoring sites.</w:t>
            </w:r>
          </w:p>
        </w:tc>
        <w:tc>
          <w:tcPr>
            <w:tcW w:type="dxa" w:w="366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Sandbox to broker formal data-sharing agreement.</w:t>
            </w:r>
          </w:p>
        </w:tc>
      </w:tr>
      <w:tr>
        <w:trPr>
          <w:tblHeader w:val="false"/>
        </w:trPr>
        <w:tc>
          <w:tcPr>
            <w:tcW w:type="dxa" w:w="210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Fischereiinspektorat — Canton Zurich</w:t>
            </w:r>
          </w:p>
        </w:tc>
        <w:tc>
          <w:tcPr>
            <w:tcW w:type="dxa" w:w="360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End-user agency; dashboard usability review; advisory-issuance workflow co-design.</w:t>
            </w:r>
          </w:p>
        </w:tc>
        <w:tc>
          <w:tcPr>
            <w:tcW w:type="dxa" w:w="366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To be engaged through the sandbox at project kick-off.</w:t>
            </w:r>
          </w:p>
        </w:tc>
      </w:tr>
      <w:tr>
        <w:trPr>
          <w:tblHeader w:val="false"/>
        </w:trPr>
        <w:tc>
          <w:tcPr>
            <w:tcW w:type="dxa" w:w="210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ETH AI Center</w:t>
            </w:r>
          </w:p>
        </w:tc>
        <w:tc>
          <w:tcPr>
            <w:tcW w:type="dxa" w:w="360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Technical advisory on model deployment, monitoring, and ML operations.</w:t>
            </w:r>
          </w:p>
        </w:tc>
        <w:tc>
          <w:tcPr>
            <w:tcW w:type="dxa" w:w="366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Already a sandbox partner.</w:t>
            </w:r>
          </w:p>
        </w:tc>
      </w:tr>
      <w:tr>
        <w:trPr>
          <w:tblHeader w:val="false"/>
        </w:trPr>
        <w:tc>
          <w:tcPr>
            <w:tcW w:type="dxa" w:w="210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UZH ITSL</w:t>
            </w:r>
          </w:p>
        </w:tc>
        <w:tc>
          <w:tcPr>
            <w:tcW w:type="dxa" w:w="360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Co-author of the legal-framework note on AI-informed water-quality advisories.</w:t>
            </w:r>
          </w:p>
        </w:tc>
        <w:tc>
          <w:tcPr>
            <w:tcW w:type="dxa" w:w="366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Already embedded in the Innovation Sandbox.</w:t>
            </w:r>
          </w:p>
        </w:tc>
      </w:tr>
      <w:tr>
        <w:trPr>
          <w:tblHeader w:val="false"/>
        </w:trPr>
        <w:tc>
          <w:tcPr>
            <w:tcW w:type="dxa" w:w="210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University of Bern — CAS in Advanced Machine Learning</w:t>
            </w:r>
          </w:p>
        </w:tc>
        <w:tc>
          <w:tcPr>
            <w:tcW w:type="dxa" w:w="360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Applicant; technical lead on the model and pipeline.</w:t>
            </w:r>
          </w:p>
        </w:tc>
        <w:tc>
          <w:tcPr>
            <w:tcW w:type="dxa" w:w="366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AareML v1.21 is the CAS final-project deliverable (June 2026).</w:t>
            </w:r>
          </w:p>
        </w:tc>
      </w:tr>
    </w:tbl>
    <w:p>
      <w:r>
        <w:br w:type="page"/>
      </w:r>
    </w:p>
    <w:p>
      <w:pPr>
        <w:pStyle w:val="Heading1"/>
        <w:spacing w:after="160" w:before="360"/>
      </w:pPr>
      <w:r>
        <w:rPr>
          <w:rFonts w:ascii="Arial" w:cs="Arial" w:eastAsia="Arial" w:hAnsi="Arial"/>
          <w:b/>
          <w:bCs/>
          <w:color w:val="01696F"/>
          <w:sz w:val="32"/>
          <w:szCs w:val="32"/>
        </w:rPr>
        <w:t xml:space="preserve">Expected Outputs and Transferability</w:t>
      </w:r>
    </w:p>
    <w:p>
      <w:pPr>
        <w:pStyle w:val="Heading3"/>
        <w:spacing w:after="80" w:before="200"/>
      </w:pPr>
      <w:r>
        <w:rPr>
          <w:rFonts w:ascii="Arial" w:cs="Arial" w:eastAsia="Arial" w:hAnsi="Arial"/>
          <w:b/>
          <w:bCs/>
          <w:color w:val="1A1A1A"/>
          <w:sz w:val="22"/>
          <w:szCs w:val="22"/>
        </w:rPr>
        <w:t xml:space="preserve">Outputs delivered by June 2027</w:t>
      </w:r>
    </w:p>
    <w:p>
      <w:pPr>
        <w:pStyle w:val="ListParagraph"/>
        <w:numPr>
          <w:ilvl w:val="0"/>
          <w:numId w:val="2"/>
        </w:numPr>
        <w:spacing w:after="80" w:line="290"/>
      </w:pPr>
      <w:r>
        <w:rPr>
          <w:rFonts w:ascii="Arial" w:cs="Arial" w:eastAsia="Arial" w:hAnsi="Arial"/>
          <w:color w:val="1A1A1A"/>
          <w:sz w:val="20"/>
          <w:szCs w:val="20"/>
        </w:rPr>
        <w:t xml:space="preserve">Cantonal accuracy map: per-gauge RMSE and KGE for all Canton Zurich gauges with sufficient DO history (anticipated 10–20 sites).</w:t>
      </w:r>
    </w:p>
    <w:p>
      <w:pPr>
        <w:pStyle w:val="ListParagraph"/>
        <w:numPr>
          <w:ilvl w:val="0"/>
          <w:numId w:val="2"/>
        </w:numPr>
        <w:spacing w:after="80" w:line="290"/>
      </w:pPr>
      <w:r>
        <w:rPr>
          <w:rFonts w:ascii="Arial" w:cs="Arial" w:eastAsia="Arial" w:hAnsi="Arial"/>
          <w:color w:val="1A1A1A"/>
          <w:sz w:val="20"/>
          <w:szCs w:val="20"/>
        </w:rPr>
        <w:t xml:space="preserve">Operational pilot dashboard for the Limmat and Glatt, hosted under AWEL governance, with documented threshold-alert categories.</w:t>
      </w:r>
    </w:p>
    <w:p>
      <w:pPr>
        <w:pStyle w:val="ListParagraph"/>
        <w:numPr>
          <w:ilvl w:val="0"/>
          <w:numId w:val="2"/>
        </w:numPr>
        <w:spacing w:after="80" w:line="290"/>
      </w:pPr>
      <w:r>
        <w:rPr>
          <w:rFonts w:ascii="Arial" w:cs="Arial" w:eastAsia="Arial" w:hAnsi="Arial"/>
          <w:color w:val="1A1A1A"/>
          <w:sz w:val="20"/>
          <w:szCs w:val="20"/>
        </w:rPr>
        <w:t xml:space="preserve">Pilot evaluation report co-signed by AWEL and the Fischereiinspektorat.</w:t>
      </w:r>
    </w:p>
    <w:p>
      <w:pPr>
        <w:pStyle w:val="ListParagraph"/>
        <w:numPr>
          <w:ilvl w:val="0"/>
          <w:numId w:val="2"/>
        </w:numPr>
        <w:spacing w:after="80" w:line="290"/>
      </w:pPr>
      <w:r>
        <w:rPr>
          <w:rFonts w:ascii="Arial" w:cs="Arial" w:eastAsia="Arial" w:hAnsi="Arial"/>
          <w:color w:val="1A1A1A"/>
          <w:sz w:val="20"/>
          <w:szCs w:val="20"/>
        </w:rPr>
        <w:t xml:space="preserve">Published legal-framework note (UZH ITSL co-authorship) on AI-informed water-quality advisories — drafted as a 26-canton template.</w:t>
      </w:r>
    </w:p>
    <w:p>
      <w:pPr>
        <w:pStyle w:val="ListParagraph"/>
        <w:numPr>
          <w:ilvl w:val="0"/>
          <w:numId w:val="2"/>
        </w:numPr>
        <w:spacing w:after="80" w:line="290"/>
      </w:pPr>
      <w:r>
        <w:rPr>
          <w:rFonts w:ascii="Arial" w:cs="Arial" w:eastAsia="Arial" w:hAnsi="Arial"/>
          <w:color w:val="1A1A1A"/>
          <w:sz w:val="20"/>
          <w:szCs w:val="20"/>
        </w:rPr>
        <w:t xml:space="preserve">Open-source code release at AareML v2.x with cantonal calibration adapters and the dashboard front-end.</w:t>
      </w:r>
    </w:p>
    <w:p>
      <w:pPr>
        <w:pStyle w:val="ListParagraph"/>
        <w:numPr>
          <w:ilvl w:val="0"/>
          <w:numId w:val="2"/>
        </w:numPr>
        <w:spacing w:after="80" w:line="290"/>
      </w:pPr>
      <w:r>
        <w:rPr>
          <w:rFonts w:ascii="Arial" w:cs="Arial" w:eastAsia="Arial" w:hAnsi="Arial"/>
          <w:color w:val="1A1A1A"/>
          <w:sz w:val="20"/>
          <w:szCs w:val="20"/>
        </w:rPr>
        <w:t xml:space="preserve">A short scientific publication summarising the cantonal validation results (target: open-access water-resources journal).</w:t>
      </w:r>
    </w:p>
    <w:p>
      <w:pPr>
        <w:pStyle w:val="Heading3"/>
        <w:spacing w:after="80" w:before="200"/>
      </w:pPr>
      <w:r>
        <w:rPr>
          <w:rFonts w:ascii="Arial" w:cs="Arial" w:eastAsia="Arial" w:hAnsi="Arial"/>
          <w:b/>
          <w:bCs/>
          <w:color w:val="1A1A1A"/>
          <w:sz w:val="22"/>
          <w:szCs w:val="22"/>
        </w:rPr>
        <w:t xml:space="preserve">Transferability</w:t>
      </w:r>
    </w:p>
    <w:p>
      <w:pPr>
        <w:spacing w:after="120" w:before="0" w:line="300"/>
        <w:jc w:val="left"/>
      </w:pPr>
      <w:r>
        <w:rPr>
          <w:rFonts w:ascii="Arial" w:cs="Arial" w:eastAsia="Arial" w:hAnsi="Arial"/>
          <w:color w:val="1A1A1A"/>
          <w:sz w:val="20"/>
          <w:szCs w:val="20"/>
        </w:rPr>
        <w:t xml:space="preserve">The AareML architecture, the data-ingestion pipeline, and the dashboard front-end are all canton-agnostic. The decisive transferability lever, however, is the legal-framework note: once one Swiss canton has published a defensible procedural basis for ML-informed fisheries advisories, the other 25 cantons can adopt or adapt the template without rebuilding the legal reasoning. The model adapts to a new canton by ingesting that canton's monitoring data and rerunning the calibration workflow documented in notebook 09. No new modelling research is required.</w:t>
      </w:r>
    </w:p>
    <w:p>
      <w:pPr>
        <w:pStyle w:val="Heading3"/>
        <w:spacing w:after="80" w:before="200"/>
      </w:pPr>
      <w:r>
        <w:rPr>
          <w:rFonts w:ascii="Arial" w:cs="Arial" w:eastAsia="Arial" w:hAnsi="Arial"/>
          <w:b/>
          <w:bCs/>
          <w:color w:val="1A1A1A"/>
          <w:sz w:val="22"/>
          <w:szCs w:val="22"/>
        </w:rPr>
        <w:t xml:space="preserve">What we explicitly do not promise</w:t>
      </w:r>
    </w:p>
    <w:p>
      <w:pPr>
        <w:spacing w:after="120" w:before="0" w:line="300"/>
        <w:jc w:val="left"/>
      </w:pPr>
      <w:r>
        <w:rPr>
          <w:rFonts w:ascii="Arial" w:cs="Arial" w:eastAsia="Arial" w:hAnsi="Arial"/>
          <w:color w:val="1A1A1A"/>
          <w:sz w:val="20"/>
          <w:szCs w:val="20"/>
        </w:rPr>
        <w:t xml:space="preserve">AareML will not replace cantonal monitoring; it complements it. The dashboard is decision-support, not autonomous decision-making. All advisory issuance remains with the Fischereiinspektorat. The model has known limitations — performance degrades on gauges with very short DO records, and the 14-day horizon is the upper end of usable skill for DO. These limitations are documented in the v1.21 technical report.</w:t>
      </w:r>
    </w:p>
    <w:p>
      <w:r>
        <w:br w:type="page"/>
      </w:r>
    </w:p>
    <w:p>
      <w:pPr>
        <w:pStyle w:val="Heading1"/>
        <w:spacing w:after="160" w:before="360"/>
      </w:pPr>
      <w:r>
        <w:rPr>
          <w:rFonts w:ascii="Arial" w:cs="Arial" w:eastAsia="Arial" w:hAnsi="Arial"/>
          <w:b/>
          <w:bCs/>
          <w:color w:val="01696F"/>
          <w:sz w:val="32"/>
          <w:szCs w:val="32"/>
        </w:rPr>
        <w:t xml:space="preserve">Appendix — Key Technical Results</w:t>
      </w:r>
    </w:p>
    <w:p>
      <w:pPr>
        <w:spacing w:after="120" w:before="0" w:line="300"/>
        <w:jc w:val="left"/>
      </w:pPr>
      <w:r>
        <w:rPr>
          <w:rFonts w:ascii="Arial" w:cs="Arial" w:eastAsia="Arial" w:hAnsi="Arial"/>
          <w:color w:val="1A1A1A"/>
          <w:sz w:val="20"/>
          <w:szCs w:val="20"/>
        </w:rPr>
        <w:t xml:space="preserve">All figures below are reported from AareML v1.21 (June 2026). Detailed methodology, hyperparameters, train/validation/test splits, and ablations are documented in the v1.21 technical report and the public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B8C5C7" w:sz="4"/>
              <w:left w:val="single" w:color="B8C5C7" w:sz="4"/>
              <w:bottom w:val="single" w:color="B8C5C7" w:sz="4"/>
              <w:right w:val="single" w:color="B8C5C7" w:sz="4"/>
            </w:tcBorders>
            <w:shd w:fill="01696F" w:val="clear"/>
            <w:tcMar>
              <w:top w:type="dxa" w:w="100"/>
              <w:left w:type="dxa" w:w="140"/>
              <w:bottom w:type="dxa" w:w="100"/>
              <w:right w:type="dxa" w:w="140"/>
            </w:tcMar>
          </w:tcPr>
          <w:p>
            <w:pPr>
              <w:spacing w:after="40" w:line="280"/>
            </w:pPr>
            <w:r>
              <w:rPr>
                <w:rFonts w:ascii="Arial" w:cs="Arial" w:eastAsia="Arial" w:hAnsi="Arial"/>
                <w:b/>
                <w:bCs/>
                <w:color w:val="FFFFFF"/>
                <w:sz w:val="18"/>
                <w:szCs w:val="18"/>
              </w:rPr>
              <w:t xml:space="preserve">Metric</w:t>
            </w:r>
          </w:p>
        </w:tc>
        <w:tc>
          <w:tcPr>
            <w:tcW w:type="dxa" w:w="2600"/>
            <w:tcBorders>
              <w:top w:val="single" w:color="B8C5C7" w:sz="4"/>
              <w:left w:val="single" w:color="B8C5C7" w:sz="4"/>
              <w:bottom w:val="single" w:color="B8C5C7" w:sz="4"/>
              <w:right w:val="single" w:color="B8C5C7" w:sz="4"/>
            </w:tcBorders>
            <w:shd w:fill="01696F" w:val="clear"/>
            <w:tcMar>
              <w:top w:type="dxa" w:w="100"/>
              <w:left w:type="dxa" w:w="140"/>
              <w:bottom w:type="dxa" w:w="100"/>
              <w:right w:type="dxa" w:w="140"/>
            </w:tcMar>
          </w:tcPr>
          <w:p>
            <w:pPr>
              <w:spacing w:after="40" w:line="280"/>
            </w:pPr>
            <w:r>
              <w:rPr>
                <w:rFonts w:ascii="Arial" w:cs="Arial" w:eastAsia="Arial" w:hAnsi="Arial"/>
                <w:b/>
                <w:bCs/>
                <w:color w:val="FFFFFF"/>
                <w:sz w:val="18"/>
                <w:szCs w:val="18"/>
              </w:rPr>
              <w:t xml:space="preserve">Result</w:t>
            </w:r>
          </w:p>
        </w:tc>
        <w:tc>
          <w:tcPr>
            <w:tcW w:type="dxa" w:w="3760"/>
            <w:tcBorders>
              <w:top w:val="single" w:color="B8C5C7" w:sz="4"/>
              <w:left w:val="single" w:color="B8C5C7" w:sz="4"/>
              <w:bottom w:val="single" w:color="B8C5C7" w:sz="4"/>
              <w:right w:val="single" w:color="B8C5C7" w:sz="4"/>
            </w:tcBorders>
            <w:shd w:fill="01696F" w:val="clear"/>
            <w:tcMar>
              <w:top w:type="dxa" w:w="100"/>
              <w:left w:type="dxa" w:w="140"/>
              <w:bottom w:type="dxa" w:w="100"/>
              <w:right w:type="dxa" w:w="140"/>
            </w:tcMar>
          </w:tcPr>
          <w:p>
            <w:pPr>
              <w:spacing w:after="40" w:line="280"/>
            </w:pPr>
            <w:r>
              <w:rPr>
                <w:rFonts w:ascii="Arial" w:cs="Arial" w:eastAsia="Arial" w:hAnsi="Arial"/>
                <w:b/>
                <w:bCs/>
                <w:color w:val="FFFFFF"/>
                <w:sz w:val="18"/>
                <w:szCs w:val="18"/>
              </w:rPr>
              <w:t xml:space="preserve">Reference</w:t>
            </w:r>
          </w:p>
        </w:tc>
      </w:tr>
      <w:tr>
        <w:trPr>
          <w:tblHeader w:val="false"/>
        </w:trPr>
        <w:tc>
          <w:tcPr>
            <w:tcW w:type="dxa" w:w="300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DO RMSE — Aare at Bern (gauge 2473)</w:t>
            </w:r>
          </w:p>
        </w:tc>
        <w:tc>
          <w:tcPr>
            <w:tcW w:type="dxa" w:w="260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0.300 mg/L</w:t>
            </w:r>
          </w:p>
        </w:tc>
        <w:tc>
          <w:tcPr>
            <w:tcW w:type="dxa" w:w="376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AareML v1.21, primary validation site</w:t>
            </w:r>
          </w:p>
        </w:tc>
      </w:tr>
      <w:tr>
        <w:trPr>
          <w:tblHeader w:val="false"/>
        </w:trPr>
        <w:tc>
          <w:tcPr>
            <w:tcW w:type="dxa" w:w="300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KGE — Aare at Bern (gauge 2473)</w:t>
            </w:r>
          </w:p>
        </w:tc>
        <w:tc>
          <w:tcPr>
            <w:tcW w:type="dxa" w:w="260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0.936</w:t>
            </w:r>
          </w:p>
        </w:tc>
        <w:tc>
          <w:tcPr>
            <w:tcW w:type="dxa" w:w="376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Outperforms Ridge baseline on both metrics</w:t>
            </w:r>
          </w:p>
        </w:tc>
      </w:tr>
      <w:tr>
        <w:trPr>
          <w:tblHeader w:val="false"/>
        </w:trPr>
        <w:tc>
          <w:tcPr>
            <w:tcW w:type="dxa" w:w="300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Zero-shot DO RMSE — 12 unseen Swiss gauges</w:t>
            </w:r>
          </w:p>
        </w:tc>
        <w:tc>
          <w:tcPr>
            <w:tcW w:type="dxa" w:w="260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0.464 mg/L (mean)</w:t>
            </w:r>
          </w:p>
        </w:tc>
        <w:tc>
          <w:tcPr>
            <w:tcW w:type="dxa" w:w="376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Wilcoxon vs Ridge: p = 0.024, n = 11</w:t>
            </w:r>
          </w:p>
        </w:tc>
      </w:tr>
      <w:tr>
        <w:trPr>
          <w:tblHeader w:val="false"/>
        </w:trPr>
        <w:tc>
          <w:tcPr>
            <w:tcW w:type="dxa" w:w="300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Cross-continental DO RMSE — 4 US rivers</w:t>
            </w:r>
          </w:p>
        </w:tc>
        <w:tc>
          <w:tcPr>
            <w:tcW w:type="dxa" w:w="260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1.376 mg/L (mean)</w:t>
            </w:r>
          </w:p>
        </w:tc>
        <w:tc>
          <w:tcPr>
            <w:tcW w:type="dxa" w:w="376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No retraining; out-of-distribution test</w:t>
            </w:r>
          </w:p>
        </w:tc>
      </w:tr>
      <w:tr>
        <w:trPr>
          <w:tblHeader w:val="false"/>
        </w:trPr>
        <w:tc>
          <w:tcPr>
            <w:tcW w:type="dxa" w:w="300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Swiss lake DO RMSE — 21 lakes (retrained)</w:t>
            </w:r>
          </w:p>
        </w:tc>
        <w:tc>
          <w:tcPr>
            <w:tcW w:type="dxa" w:w="260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0.768 mg/L (mean)</w:t>
            </w:r>
          </w:p>
        </w:tc>
        <w:tc>
          <w:tcPr>
            <w:tcW w:type="dxa" w:w="376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1.82× better than LakeBeD-US benchmark; Bärenbold et al. 2026</w:t>
            </w:r>
          </w:p>
        </w:tc>
      </w:tr>
      <w:tr>
        <w:trPr>
          <w:tblHeader w:val="false"/>
        </w:trPr>
        <w:tc>
          <w:tcPr>
            <w:tcW w:type="dxa" w:w="300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Dominant SHAP feature</w:t>
            </w:r>
          </w:p>
        </w:tc>
        <w:tc>
          <w:tcPr>
            <w:tcW w:type="dxa" w:w="260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temperature[t-1] (|SHAP| = 0.644)</w:t>
            </w:r>
          </w:p>
        </w:tc>
        <w:tc>
          <w:tcPr>
            <w:tcW w:type="dxa" w:w="376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Physically consistent with oxygen-saturation chemistry</w:t>
            </w:r>
          </w:p>
        </w:tc>
      </w:tr>
      <w:tr>
        <w:trPr>
          <w:tblHeader w:val="false"/>
        </w:trPr>
        <w:tc>
          <w:tcPr>
            <w:tcW w:type="dxa" w:w="300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Software test coverage</w:t>
            </w:r>
          </w:p>
        </w:tc>
        <w:tc>
          <w:tcPr>
            <w:tcW w:type="dxa" w:w="260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88 passing tests</w:t>
            </w:r>
          </w:p>
        </w:tc>
        <w:tc>
          <w:tcPr>
            <w:tcW w:type="dxa" w:w="376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Reproducible training and inference pipeline</w:t>
            </w:r>
          </w:p>
        </w:tc>
      </w:tr>
      <w:tr>
        <w:trPr>
          <w:tblHeader w:val="false"/>
        </w:trPr>
        <w:tc>
          <w:tcPr>
            <w:tcW w:type="dxa" w:w="300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Training dataset</w:t>
            </w:r>
          </w:p>
        </w:tc>
        <w:tc>
          <w:tcPr>
            <w:tcW w:type="dxa" w:w="260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CAMELS-CH-Chem (115 catchments; 86 with DO; 1981–2020)</w:t>
            </w:r>
          </w:p>
        </w:tc>
        <w:tc>
          <w:tcPr>
            <w:tcW w:type="dxa" w:w="376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Nascimento et al., 2025</w:t>
            </w:r>
          </w:p>
        </w:tc>
      </w:tr>
      <w:tr>
        <w:trPr>
          <w:tblHeader w:val="false"/>
        </w:trPr>
        <w:tc>
          <w:tcPr>
            <w:tcW w:type="dxa" w:w="300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Architecture</w:t>
            </w:r>
          </w:p>
        </w:tc>
        <w:tc>
          <w:tcPr>
            <w:tcW w:type="dxa" w:w="260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Encoder–decoder Seq2Seq LSTM; 60-day input → 14-day forecast</w:t>
            </w:r>
          </w:p>
        </w:tc>
        <w:tc>
          <w:tcPr>
            <w:tcW w:type="dxa" w:w="3760"/>
            <w:tcBorders>
              <w:top w:val="single" w:color="B8C5C7" w:sz="4"/>
              <w:left w:val="single" w:color="B8C5C7" w:sz="4"/>
              <w:bottom w:val="single" w:color="B8C5C7" w:sz="4"/>
              <w:right w:val="single" w:color="B8C5C7" w:sz="4"/>
            </w:tcBorders>
            <w:shd w:fill="FFFFFF"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AareML v1.21 technical report</w:t>
            </w:r>
          </w:p>
        </w:tc>
      </w:tr>
      <w:tr>
        <w:trPr>
          <w:tblHeader w:val="false"/>
        </w:trPr>
        <w:tc>
          <w:tcPr>
            <w:tcW w:type="dxa" w:w="300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Existing cantonal artefacts</w:t>
            </w:r>
          </w:p>
        </w:tc>
        <w:tc>
          <w:tcPr>
            <w:tcW w:type="dxa" w:w="260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Notebook 09 (Canton Zurich analysis); 12-page Canton Zurich chapter PDF</w:t>
            </w:r>
          </w:p>
        </w:tc>
        <w:tc>
          <w:tcPr>
            <w:tcW w:type="dxa" w:w="3760"/>
            <w:tcBorders>
              <w:top w:val="single" w:color="B8C5C7" w:sz="4"/>
              <w:left w:val="single" w:color="B8C5C7" w:sz="4"/>
              <w:bottom w:val="single" w:color="B8C5C7" w:sz="4"/>
              <w:right w:val="single" w:color="B8C5C7" w:sz="4"/>
            </w:tcBorders>
            <w:shd w:fill="F4F8F9" w:val="clear"/>
            <w:tcMar>
              <w:top w:type="dxa" w:w="100"/>
              <w:left w:type="dxa" w:w="140"/>
              <w:bottom w:type="dxa" w:w="100"/>
              <w:right w:type="dxa" w:w="140"/>
            </w:tcMar>
          </w:tcPr>
          <w:p>
            <w:pPr>
              <w:spacing w:after="40" w:line="280"/>
            </w:pPr>
            <w:r>
              <w:rPr>
                <w:rFonts w:ascii="Arial" w:cs="Arial" w:eastAsia="Arial" w:hAnsi="Arial"/>
                <w:color w:val="1A1A1A"/>
                <w:sz w:val="18"/>
                <w:szCs w:val="18"/>
              </w:rPr>
              <w:t xml:space="preserve">Public on GitHub repository</w:t>
            </w:r>
          </w:p>
        </w:tc>
      </w:tr>
    </w:tbl>
    <w:p>
      <w:pPr>
        <w:spacing w:after="120" w:before="240"/>
      </w:pPr>
      <w:r>
        <w:rPr>
          <w:rFonts w:ascii="Arial" w:cs="Arial" w:eastAsia="Arial" w:hAnsi="Arial"/>
          <w:b/>
          <w:bCs/>
          <w:color w:val="01696F"/>
          <w:sz w:val="22"/>
          <w:szCs w:val="22"/>
        </w:rPr>
        <w:t xml:space="preserve">References and links</w:t>
      </w:r>
    </w:p>
    <w:p>
      <w:pPr>
        <w:spacing w:after="100"/>
      </w:pPr>
      <w:r>
        <w:rPr>
          <w:rFonts w:ascii="Arial" w:cs="Arial" w:eastAsia="Arial" w:hAnsi="Arial"/>
          <w:color w:val="1A1A1A"/>
          <w:sz w:val="20"/>
          <w:szCs w:val="20"/>
        </w:rPr>
        <w:t xml:space="preserve">AareML repository: </w:t>
      </w:r>
      <w:hyperlink w:history="1" r:id="rId51n6zjaw0n7r065d5-td4">
        <w:r>
          <w:rPr>
            <w:rFonts w:ascii="Arial" w:cs="Arial" w:eastAsia="Arial" w:hAnsi="Arial"/>
            <w:color w:val="01696F"/>
            <w:sz w:val="20"/>
            <w:szCs w:val="20"/>
            <w:u w:val="single"/>
          </w:rPr>
          <w:t xml:space="preserve">github.com/polar-bear-after-lunch/AareML</w:t>
        </w:r>
      </w:hyperlink>
    </w:p>
    <w:p>
      <w:pPr>
        <w:spacing w:after="100"/>
      </w:pPr>
      <w:r>
        <w:rPr>
          <w:rFonts w:ascii="Arial" w:cs="Arial" w:eastAsia="Arial" w:hAnsi="Arial"/>
          <w:color w:val="1A1A1A"/>
          <w:sz w:val="20"/>
          <w:szCs w:val="20"/>
        </w:rPr>
        <w:t xml:space="preserve">CAMELS-CH-Chem (Nascimento et al., 2025): hydrochemical reference dataset for Swiss catchments.</w:t>
      </w:r>
    </w:p>
    <w:p>
      <w:pPr>
        <w:spacing w:after="100"/>
      </w:pPr>
      <w:r>
        <w:rPr>
          <w:rFonts w:ascii="Arial" w:cs="Arial" w:eastAsia="Arial" w:hAnsi="Arial"/>
          <w:color w:val="1A1A1A"/>
          <w:sz w:val="20"/>
          <w:szCs w:val="20"/>
        </w:rPr>
        <w:t xml:space="preserve">Bärenbold et al. (2026): Swiss lake DO retraining reference; LakeBeD-US benchmark.</w:t>
      </w:r>
    </w:p>
    <w:p>
      <w:pPr>
        <w:spacing w:after="100"/>
      </w:pPr>
      <w:r>
        <w:rPr>
          <w:rFonts w:ascii="Arial" w:cs="Arial" w:eastAsia="Arial" w:hAnsi="Arial"/>
          <w:color w:val="1A1A1A"/>
          <w:sz w:val="20"/>
          <w:szCs w:val="20"/>
        </w:rPr>
        <w:t xml:space="preserve">Programme contact: Lukas Willi, lukas.willi@vd.zh.ch, +41 43 258 44 59.</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AareML — Innovation Sandbox Phase III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1696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1696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1n6zjaw0n7r065d5-td4" Type="http://schemas.openxmlformats.org/officeDocument/2006/relationships/hyperlink" Target="https://github.com/polar-bear-after-lunch/AareM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AareML — Canton Zurich Innovation Sandbox Phase III Application</dc:title>
  <dc:creator>AareML Project Team</dc:creator>
  <dc:description>Phase III application for the Canton Zurich Innovation Sandbox for AI</dc:description>
  <cp:lastModifiedBy>Un-named</cp:lastModifiedBy>
  <cp:revision>1</cp:revision>
  <dcterms:created xsi:type="dcterms:W3CDTF">2026-05-11T13:25:40.637Z</dcterms:created>
  <dcterms:modified xsi:type="dcterms:W3CDTF">2026-05-11T13:25:40.637Z</dcterms:modified>
</cp:coreProperties>
</file>

<file path=docProps/custom.xml><?xml version="1.0" encoding="utf-8"?>
<Properties xmlns="http://schemas.openxmlformats.org/officeDocument/2006/custom-properties" xmlns:vt="http://schemas.openxmlformats.org/officeDocument/2006/docPropsVTypes"/>
</file>