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0"/>
        <w:jc w:val="center"/>
      </w:pPr>
      <w:r>
        <w:rPr>
          <w:rFonts w:ascii="Lexend" w:hAnsi="Lexend"/>
          <w:b/>
          <w:i w:val="0"/>
          <w:color w:val="30B8B0"/>
          <w:sz w:val="22"/>
        </w:rPr>
        <w:t>SISTEMA AMG 2026</w:t>
      </w:r>
    </w:p>
    <w:p>
      <w:pPr>
        <w:spacing w:after="240"/>
        <w:jc w:val="center"/>
      </w:pPr>
      <w:r>
        <w:rPr>
          <w:rFonts w:ascii="Lexend" w:hAnsi="Lexend"/>
          <w:b/>
          <w:i w:val="0"/>
          <w:color w:val="183888"/>
          <w:sz w:val="52"/>
        </w:rPr>
        <w:t>DOCUMENTO MAESTRO DE PROCESOS</w:t>
      </w:r>
    </w:p>
    <w:p>
      <w:pPr>
        <w:spacing w:after="560"/>
        <w:jc w:val="center"/>
      </w:pPr>
      <w:r>
        <w:rPr>
          <w:rFonts w:ascii="Lexend" w:hAnsi="Lexend"/>
          <w:b w:val="0"/>
          <w:i/>
          <w:color w:val="2C2C2C"/>
          <w:sz w:val="22"/>
        </w:rPr>
        <w:t>De dónde sale la información · Cómo se procesa · Métricas por red social · Amplificación por IA · Rol de los KOLs médicos</w:t>
      </w:r>
    </w:p>
    <w:p>
      <w:pPr>
        <w:spacing w:after="80"/>
        <w:jc w:val="center"/>
      </w:pPr>
      <w:r>
        <w:rPr>
          <w:rFonts w:ascii="Lexend" w:hAnsi="Lexend"/>
          <w:b/>
          <w:i w:val="0"/>
          <w:color w:val="183888"/>
          <w:sz w:val="28"/>
        </w:rPr>
        <w:t>México Sin Cáncer Gástrico 2026</w:t>
      </w:r>
    </w:p>
    <w:p>
      <w:pPr>
        <w:spacing w:after="400"/>
        <w:jc w:val="center"/>
      </w:pPr>
      <w:r>
        <w:rPr>
          <w:rFonts w:ascii="Lexend" w:hAnsi="Lexend"/>
          <w:b w:val="0"/>
          <w:i w:val="0"/>
          <w:color w:val="2C2C2C"/>
          <w:sz w:val="21"/>
        </w:rPr>
        <w:t>Carnot Laboratorios · Ki-CAB (tegoprazán) · Aval AMG A.C.</w:t>
      </w:r>
    </w:p>
    <w:p>
      <w:pPr>
        <w:spacing w:after="40"/>
        <w:jc w:val="center"/>
      </w:pPr>
      <w:r>
        <w:rPr>
          <w:rFonts w:ascii="Lexend" w:hAnsi="Lexend"/>
          <w:b w:val="0"/>
          <w:i w:val="0"/>
          <w:color w:val="6B7280"/>
          <w:sz w:val="20"/>
        </w:rPr>
        <w:t>Preparado por Polar Multimedia · Dirección Estratégica</w:t>
      </w:r>
    </w:p>
    <w:p>
      <w:pPr>
        <w:spacing w:after="40"/>
        <w:jc w:val="center"/>
      </w:pPr>
      <w:r>
        <w:rPr>
          <w:rFonts w:ascii="Lexend" w:hAnsi="Lexend"/>
          <w:b w:val="0"/>
          <w:i/>
          <w:color w:val="6B7280"/>
          <w:sz w:val="18"/>
        </w:rPr>
        <w:t>Versión 1.0 · 24 de Abril de 2026</w:t>
      </w:r>
    </w:p>
    <w:p>
      <w:r>
        <w:br w:type="page"/>
      </w:r>
    </w:p>
    <w:p>
      <w:pPr>
        <w:spacing w:before="360" w:after="200"/>
      </w:pPr>
      <w:r>
        <w:rPr>
          <w:rFonts w:ascii="Lexend" w:hAnsi="Lexend"/>
          <w:b/>
          <w:color w:val="183888"/>
          <w:sz w:val="44"/>
        </w:rPr>
        <w:t>1. Resumen ejecutivo</w:t>
      </w:r>
    </w:p>
    <w:p>
      <w:pPr>
        <w:spacing w:after="120"/>
        <w:jc w:val="left"/>
      </w:pPr>
      <w:r>
        <w:rPr>
          <w:rFonts w:ascii="Lexend" w:hAnsi="Lexend"/>
          <w:b w:val="0"/>
          <w:i w:val="0"/>
          <w:color w:val="2C2C2C"/>
          <w:sz w:val="21"/>
        </w:rPr>
        <w:t>Este documento describe el sistema integral de comunicación y detección para la campaña "México Sin Cáncer Gástrico 2026", avalada por la Asociación Mexicana de Gastroenterología (AMG) y desarrollada por Polar Multimedia para Carnot Laboratorios. El sistema articula cinco capas interdependientes — estrategia, producción, revisión, distribución y medición — donde la inteligencia artificial actúa como capa de amplificación transversal, y los influencers médicos operan como capa de credibilidad orgánica en la comunidad de profesionales de la salud.</w:t>
      </w:r>
    </w:p>
    <w:p>
      <w:pPr>
        <w:spacing w:after="120"/>
        <w:jc w:val="left"/>
      </w:pPr>
      <w:r>
        <w:rPr>
          <w:rFonts w:ascii="Lexend" w:hAnsi="Lexend"/>
          <w:b w:val="0"/>
          <w:i w:val="0"/>
          <w:color w:val="2C2C2C"/>
          <w:sz w:val="21"/>
        </w:rPr>
        <w:t>El alcance operativo del sistema cubre ocho ciclos mensuales (mayo a diciembre de 2026), 150 representantes de fuerza de ventas con tablets Android, un portal público abierto al paciente, un hub interno de revisión colaborativa, y un pool de KOLs médicos seleccionados por Polar y AMG. La amplificación por IA se traduce en 35 semanas de calendario editorial producidas en días en lugar de meses, con coherencia de canon visual garantizada y compliance pharma verificada en cadena de custodia.</w:t>
      </w:r>
    </w:p>
    <w:p>
      <w:pPr>
        <w:spacing w:before="160" w:after="160"/>
        <w:ind w:left="288"/>
        <w:shd w:val="clear" w:color="auto" w:fill="E8F5F4"/>
      </w:pPr>
      <w:r>
        <w:rPr>
          <w:rFonts w:ascii="Lexend" w:hAnsi="Lexend"/>
          <w:i/>
          <w:color w:val="2C2C2C"/>
          <w:sz w:val="20"/>
        </w:rPr>
        <w:t>Principio operativo central: la IA nunca inventa. Solo recombina, expande y adapta contenido que ya fue aprobado por Carnot y AMG. Todo el corpus clínico, todas las cifras, todos los claims y todas las referencias bibliográficas provienen del skill maestro "amg-pylori" que es la fuente única de verdad del sistema.</w:t>
      </w:r>
    </w:p>
    <w:p>
      <w:pPr>
        <w:spacing w:before="360" w:after="200"/>
      </w:pPr>
      <w:r>
        <w:rPr>
          <w:rFonts w:ascii="Lexend" w:hAnsi="Lexend"/>
          <w:b/>
          <w:color w:val="183888"/>
          <w:sz w:val="44"/>
        </w:rPr>
        <w:t>2. Arquitectura del sistema</w:t>
      </w:r>
    </w:p>
    <w:p>
      <w:pPr>
        <w:spacing w:before="280" w:after="120"/>
      </w:pPr>
      <w:r>
        <w:rPr>
          <w:rFonts w:ascii="Lexend" w:hAnsi="Lexend"/>
          <w:b/>
          <w:color w:val="30B8B0"/>
          <w:sz w:val="30"/>
        </w:rPr>
        <w:t>2.1 Capa 1 — Fuente de verdad (Strategy Layer)</w:t>
      </w:r>
    </w:p>
    <w:p>
      <w:pPr>
        <w:spacing w:after="120"/>
        <w:jc w:val="left"/>
      </w:pPr>
      <w:r>
        <w:rPr>
          <w:rFonts w:ascii="Lexend" w:hAnsi="Lexend"/>
          <w:b w:val="0"/>
          <w:i w:val="0"/>
          <w:color w:val="2C2C2C"/>
          <w:sz w:val="21"/>
        </w:rPr>
        <w:t>Esta capa contiene la lógica estratégica aprobada por el comité Carnot–AMG y vive en el skill maestro amg-pylori. Es la fuente única de verdad del sistema y cualquier colaborador humano o IA debe invocarla antes de producir cualquier artefacto.</w:t>
      </w:r>
    </w:p>
    <w:p>
      <w:pPr>
        <w:spacing w:after="120"/>
        <w:jc w:val="left"/>
      </w:pPr>
      <w:r>
        <w:rPr>
          <w:rFonts w:ascii="Lexend" w:hAnsi="Lexend"/>
          <w:b w:val="0"/>
          <w:i w:val="0"/>
          <w:color w:val="2C2C2C"/>
          <w:sz w:val="21"/>
        </w:rPr>
        <w:t>Los componentes son:</w:t>
      </w:r>
    </w:p>
    <w:p>
      <w:pPr>
        <w:pStyle w:val="ListBullet"/>
        <w:spacing w:after="60"/>
        <w:ind w:left="432"/>
      </w:pPr>
      <w:r>
        <w:rPr>
          <w:rFonts w:ascii="Lexend" w:hAnsi="Lexend"/>
          <w:color w:val="2C2C2C"/>
          <w:sz w:val="21"/>
        </w:rPr>
        <w:t>Brief estratégico de ocho meses con objetivos por mes, métricas objetivo, audiencias prioritarias y narrativa madre de la campaña.</w:t>
      </w:r>
    </w:p>
    <w:p>
      <w:pPr>
        <w:pStyle w:val="ListBullet"/>
        <w:spacing w:after="60"/>
        <w:ind w:left="432"/>
      </w:pPr>
      <w:r>
        <w:rPr>
          <w:rFonts w:ascii="Lexend" w:hAnsi="Lexend"/>
          <w:color w:val="2C2C2C"/>
          <w:sz w:val="21"/>
        </w:rPr>
        <w:t>Calendario editorial que mapea los doce claims clínicos contra 35 semanas del año, especificando qué claim toca cada semana, con qué variante visual y en qué red social.</w:t>
      </w:r>
    </w:p>
    <w:p>
      <w:pPr>
        <w:pStyle w:val="ListBullet"/>
        <w:spacing w:after="60"/>
        <w:ind w:left="432"/>
      </w:pPr>
      <w:r>
        <w:rPr>
          <w:rFonts w:ascii="Lexend" w:hAnsi="Lexend"/>
          <w:color w:val="2C2C2C"/>
          <w:sz w:val="21"/>
        </w:rPr>
        <w:t>Canon visual inviolable: paleta oficial (navy #183888, teal #30B8B0, dorado #887028), franja degradada, halo teal semiótico, tipografía Montserrat + Open Sans, y las siete variantes V0 a V6 con sus usos canónicos.</w:t>
      </w:r>
    </w:p>
    <w:p>
      <w:pPr>
        <w:pStyle w:val="ListBullet"/>
        <w:spacing w:after="60"/>
        <w:ind w:left="432"/>
      </w:pPr>
      <w:r>
        <w:rPr>
          <w:rFonts w:ascii="Lexend" w:hAnsi="Lexend"/>
          <w:color w:val="2C2C2C"/>
          <w:sz w:val="21"/>
        </w:rPr>
        <w:t>Corpus de mensajes aprobados por Carnot y AMG, cada uno con su referencia bibliográfica trazable.</w:t>
      </w:r>
    </w:p>
    <w:p>
      <w:pPr>
        <w:pStyle w:val="ListBullet"/>
        <w:spacing w:after="60"/>
        <w:ind w:left="432"/>
      </w:pPr>
      <w:r>
        <w:rPr>
          <w:rFonts w:ascii="Lexend" w:hAnsi="Lexend"/>
          <w:color w:val="2C2C2C"/>
          <w:sz w:val="21"/>
        </w:rPr>
        <w:t>Matriz de compliance por categoría, país y tipo de audiencia.</w:t>
      </w:r>
    </w:p>
    <w:p>
      <w:pPr>
        <w:spacing w:before="280" w:after="120"/>
      </w:pPr>
      <w:r>
        <w:rPr>
          <w:rFonts w:ascii="Lexend" w:hAnsi="Lexend"/>
          <w:b/>
          <w:color w:val="30B8B0"/>
          <w:sz w:val="30"/>
        </w:rPr>
        <w:t>2.2 Capa 2 — Producción amplificada por IA (Creation Layer)</w:t>
      </w:r>
    </w:p>
    <w:p>
      <w:pPr>
        <w:spacing w:after="120"/>
        <w:jc w:val="left"/>
      </w:pPr>
      <w:r>
        <w:rPr>
          <w:rFonts w:ascii="Lexend" w:hAnsi="Lexend"/>
          <w:b w:val="0"/>
          <w:i w:val="0"/>
          <w:color w:val="2C2C2C"/>
          <w:sz w:val="21"/>
        </w:rPr>
        <w:t>La IA transforma la fuente de verdad en piezas concretas a una velocidad que sería imposible para un equipo creativo humano operando solo. Son tres procesos:</w:t>
      </w:r>
    </w:p>
    <w:p>
      <w:pPr>
        <w:spacing w:before="200" w:after="80"/>
      </w:pPr>
      <w:r>
        <w:rPr>
          <w:rFonts w:ascii="Lexend" w:hAnsi="Lexend"/>
          <w:b/>
          <w:color w:val="183888"/>
          <w:sz w:val="24"/>
        </w:rPr>
        <w:t>Generación visual</w:t>
      </w:r>
    </w:p>
    <w:p>
      <w:pPr>
        <w:spacing w:after="120"/>
        <w:jc w:val="left"/>
      </w:pPr>
      <w:r>
        <w:rPr>
          <w:rFonts w:ascii="Lexend" w:hAnsi="Lexend"/>
          <w:b w:val="0"/>
          <w:i w:val="0"/>
          <w:color w:val="2C2C2C"/>
          <w:sz w:val="21"/>
        </w:rPr>
        <w:t>Imágenes hiper-realistas de personajes hispanos generadas con el modelo gpt-image-1 de OpenAI y con herramientas como Nanobanana, siempre usando el prompt canónico Polar AMG (persona hispana a la izquierda del encuadre, atmósfera teal en el tercio izquierdo, espacio blanco a la derecha reservado para tipografía, estilo editorial documental, sin texto en imagen). Para el piloto inicial se generaron doce personajes que representan a cada claim de la campaña, con entre tres y cuatro expresiones por persona: sintomática, aliviada, consultando al médico, con familia.</w:t>
      </w:r>
    </w:p>
    <w:p>
      <w:pPr>
        <w:spacing w:before="200" w:after="80"/>
      </w:pPr>
      <w:r>
        <w:rPr>
          <w:rFonts w:ascii="Lexend" w:hAnsi="Lexend"/>
          <w:b/>
          <w:color w:val="183888"/>
          <w:sz w:val="24"/>
        </w:rPr>
        <w:t>Redacción de copy</w:t>
      </w:r>
    </w:p>
    <w:p>
      <w:pPr>
        <w:spacing w:after="120"/>
        <w:jc w:val="left"/>
      </w:pPr>
      <w:r>
        <w:rPr>
          <w:rFonts w:ascii="Lexend" w:hAnsi="Lexend"/>
          <w:b w:val="0"/>
          <w:i w:val="0"/>
          <w:color w:val="2C2C2C"/>
          <w:sz w:val="21"/>
        </w:rPr>
        <w:t>Claude redacta las variantes de copy para cada red social respetando el tono, vocabulario y restricciones de compliance definidos en el skill. Cada pieza se produce en múltiples longitudes — headline, subheadline, caption larga para Facebook, caption corta para Instagram, hook para TikTok, post profesional para LinkedIn — desde el mismo claim base.</w:t>
      </w:r>
    </w:p>
    <w:p>
      <w:pPr>
        <w:spacing w:before="200" w:after="80"/>
      </w:pPr>
      <w:r>
        <w:rPr>
          <w:rFonts w:ascii="Lexend" w:hAnsi="Lexend"/>
          <w:b/>
          <w:color w:val="183888"/>
          <w:sz w:val="24"/>
        </w:rPr>
        <w:t>Adaptación multi-formato</w:t>
      </w:r>
    </w:p>
    <w:p>
      <w:pPr>
        <w:spacing w:after="120"/>
        <w:jc w:val="left"/>
      </w:pPr>
      <w:r>
        <w:rPr>
          <w:rFonts w:ascii="Lexend" w:hAnsi="Lexend"/>
          <w:b w:val="0"/>
          <w:i w:val="0"/>
          <w:color w:val="2C2C2C"/>
          <w:sz w:val="21"/>
        </w:rPr>
        <w:t>Una vez aprobada la pieza base, la IA adapta automáticamente el mismo mensaje a los cuatro formatos canónicos: 1:1 para feed de Instagram y Facebook, 4:5 optimizado para scroll, 9:16 para Stories, Reels y TikTok, y 16:9 para LinkedIn y YouTube. Esta adaptación no es un simple resize: recalcula proporciones de cifras, posición del copy-block, tamaño del sello AMG y jerarquía visual para que cada formato funcione como pieza independiente sin perder la identidad de campaña.</w:t>
      </w:r>
    </w:p>
    <w:p>
      <w:pPr>
        <w:spacing w:before="280" w:after="120"/>
      </w:pPr>
      <w:r>
        <w:rPr>
          <w:rFonts w:ascii="Lexend" w:hAnsi="Lexend"/>
          <w:b/>
          <w:color w:val="30B8B0"/>
          <w:sz w:val="30"/>
        </w:rPr>
        <w:t>2.3 Capa 3 — Revisión colaborativa (Approval Layer)</w:t>
      </w:r>
    </w:p>
    <w:p>
      <w:pPr>
        <w:spacing w:after="120"/>
        <w:jc w:val="left"/>
      </w:pPr>
      <w:r>
        <w:rPr>
          <w:rFonts w:ascii="Lexend" w:hAnsi="Lexend"/>
          <w:b w:val="0"/>
          <w:i w:val="0"/>
          <w:color w:val="2C2C2C"/>
          <w:sz w:val="21"/>
        </w:rPr>
        <w:t>Todo lo producido pasa por un hub central llamado sistema_piezas_AMG_Hub.html que vive en github.com/polar-multimedia/amg-pylori-hub. Este hub tiene un panel lateral contextual estilo Dreamweaver donde Polar, Carnot, AMG y los KOLs pueden revisar las piezas en tiempo real, editar textos, ajustar imágenes, mover el sello AMG, comentar y aprobar. Las ediciones se sincronizan mediante Firebase Realtime Database a todos los revisores simultáneamente y cada cambio queda registrado con timestamp y autor.</w:t>
      </w:r>
    </w:p>
    <w:p>
      <w:pPr>
        <w:spacing w:after="120"/>
        <w:jc w:val="left"/>
      </w:pPr>
      <w:r>
        <w:rPr>
          <w:rFonts w:ascii="Lexend" w:hAnsi="Lexend"/>
          <w:b w:val="0"/>
          <w:i w:val="0"/>
          <w:color w:val="2C2C2C"/>
          <w:sz w:val="21"/>
        </w:rPr>
        <w:t>La ganancia operativa es significativa: lo que tradicionalmente son veinte correos de ida y vuelta con archivos comprimidos adjuntos, se colapsa en una sesión síncrona de media hora donde todos ven el mismo estado en tiempo real. Además, el sistema incorpora una bitácora de sincronización que muestra el estado de cada guardado (pendiente, sincronizado, error) por lo que nunca hay duda sobre si un cambio fue persistido.</w:t>
      </w:r>
    </w:p>
    <w:p>
      <w:pPr>
        <w:spacing w:before="160" w:after="160"/>
        <w:ind w:left="288"/>
        <w:shd w:val="clear" w:color="auto" w:fill="E8F5F4"/>
      </w:pPr>
      <w:r>
        <w:rPr>
          <w:rFonts w:ascii="Lexend" w:hAnsi="Lexend"/>
          <w:i/>
          <w:color w:val="2C2C2C"/>
          <w:sz w:val="20"/>
        </w:rPr>
        <w:t>El hub también incluye un generador de imágenes con IA integrado (botón 🎨 en la pestaña Imagen del panel lateral), que permite a Carnot regenerar una foto si no le gustó, sin pasar por Polar, usando el prompt canónico pre-configurado y aplicando la nueva imagen a todas las piezas del mismo claim en un clic.</w:t>
      </w:r>
    </w:p>
    <w:p>
      <w:pPr>
        <w:spacing w:before="280" w:after="120"/>
      </w:pPr>
      <w:r>
        <w:rPr>
          <w:rFonts w:ascii="Lexend" w:hAnsi="Lexend"/>
          <w:b/>
          <w:color w:val="30B8B0"/>
          <w:sz w:val="30"/>
        </w:rPr>
        <w:t>2.4 Capa 4 — Distribución multi-canal (Deploy Layer)</w:t>
      </w:r>
    </w:p>
    <w:p>
      <w:pPr>
        <w:spacing w:after="120"/>
        <w:jc w:val="left"/>
      </w:pPr>
      <w:r>
        <w:rPr>
          <w:rFonts w:ascii="Lexend" w:hAnsi="Lexend"/>
          <w:b w:val="0"/>
          <w:i w:val="0"/>
          <w:color w:val="2C2C2C"/>
          <w:sz w:val="21"/>
        </w:rPr>
        <w:t>Las piezas aprobadas se distribuyen por cuatro ductos complementarios, cada uno con una audiencia y función diferentes:</w:t>
      </w:r>
    </w:p>
    <w:p>
      <w:pPr>
        <w:spacing w:before="200" w:after="80"/>
      </w:pPr>
      <w:r>
        <w:rPr>
          <w:rFonts w:ascii="Lexend" w:hAnsi="Lexend"/>
          <w:b/>
          <w:color w:val="183888"/>
          <w:sz w:val="24"/>
        </w:rPr>
        <w:t>Portal público mexicosincancergastrico.com.mx</w:t>
      </w:r>
    </w:p>
    <w:p>
      <w:pPr>
        <w:spacing w:after="120"/>
        <w:jc w:val="left"/>
      </w:pPr>
      <w:r>
        <w:rPr>
          <w:rFonts w:ascii="Lexend" w:hAnsi="Lexend"/>
          <w:b w:val="0"/>
          <w:i w:val="0"/>
          <w:color w:val="2C2C2C"/>
          <w:sz w:val="21"/>
        </w:rPr>
        <w:t>Sitio web abierto al paciente general y al médico que busca información. Incluye home con las tres cifras fuertes de campaña, sección de artículos educativos (actualmente cuatro artículos, expandibles mes a mes), landing de detección gratuita con formulario de registro a la campaña, y una zona profesional para médicos con evidencia clínica y referencias.</w:t>
      </w:r>
    </w:p>
    <w:p>
      <w:pPr>
        <w:spacing w:before="200" w:after="80"/>
      </w:pPr>
      <w:r>
        <w:rPr>
          <w:rFonts w:ascii="Lexend" w:hAnsi="Lexend"/>
          <w:b/>
          <w:color w:val="183888"/>
          <w:sz w:val="24"/>
        </w:rPr>
        <w:t>Redes sociales Instagram, TikTok, Facebook, LinkedIn</w:t>
      </w:r>
    </w:p>
    <w:p>
      <w:pPr>
        <w:spacing w:after="120"/>
        <w:jc w:val="left"/>
      </w:pPr>
      <w:r>
        <w:rPr>
          <w:rFonts w:ascii="Lexend" w:hAnsi="Lexend"/>
          <w:b w:val="0"/>
          <w:i w:val="0"/>
          <w:color w:val="2C2C2C"/>
          <w:sz w:val="21"/>
        </w:rPr>
        <w:t>Programación automatizada desde el calendario editorial. Cada red recibe piezas optimizadas al formato y lenguaje nativo, con volumen calibrado según las métricas históricas y objetivos del ciclo. El detalle de volumen por red y semana está en el Anexo de métricas.</w:t>
      </w:r>
    </w:p>
    <w:p>
      <w:pPr>
        <w:spacing w:before="200" w:after="80"/>
      </w:pPr>
      <w:r>
        <w:rPr>
          <w:rFonts w:ascii="Lexend" w:hAnsi="Lexend"/>
          <w:b/>
          <w:color w:val="183888"/>
          <w:sz w:val="24"/>
        </w:rPr>
        <w:t>Visita Médica PWA (aplicación de detailing)</w:t>
      </w:r>
    </w:p>
    <w:p>
      <w:pPr>
        <w:spacing w:after="120"/>
        <w:jc w:val="left"/>
      </w:pPr>
      <w:r>
        <w:rPr>
          <w:rFonts w:ascii="Lexend" w:hAnsi="Lexend"/>
          <w:b w:val="0"/>
          <w:i w:val="0"/>
          <w:color w:val="2C2C2C"/>
          <w:sz w:val="21"/>
        </w:rPr>
        <w:t>Web-app progresiva instalable en tablets Android que los 150 representantes llevan al consultorio del médico. Funciona sin internet en consultorio y sincroniza analytics cuando la tablet vuelve a tener conexión. Incluye cuatro interactivos: calculadora de riesgo de H. pylori (seis preguntas, score 0-17, recomendación de prueba), visor 3D anatómico del estómago con la progresión de Correa, comparador Ki-CAB versus triple terapia con gráficas y datos de resistencia a claritromicina por región de México, y generador de QR de seguimiento personalizado por médico visitado.</w:t>
      </w:r>
    </w:p>
    <w:p>
      <w:pPr>
        <w:spacing w:before="200" w:after="80"/>
      </w:pPr>
      <w:r>
        <w:rPr>
          <w:rFonts w:ascii="Lexend" w:hAnsi="Lexend"/>
          <w:b/>
          <w:color w:val="183888"/>
          <w:sz w:val="24"/>
        </w:rPr>
        <w:t>Pack de ciclo para KOLs</w:t>
      </w:r>
    </w:p>
    <w:p>
      <w:pPr>
        <w:spacing w:after="120"/>
        <w:jc w:val="left"/>
      </w:pPr>
      <w:r>
        <w:rPr>
          <w:rFonts w:ascii="Lexend" w:hAnsi="Lexend"/>
          <w:b w:val="0"/>
          <w:i w:val="0"/>
          <w:color w:val="2C2C2C"/>
          <w:sz w:val="21"/>
        </w:rPr>
        <w:t>Pack privado que reciben mensualmente los influencers médicos contratados. Contiene un brief clínico con las referencias del ciclo, copy sugerido adaptado a la voz personal de cada KOL, artes listas para publicar desde su cuenta con la paleta ligada a campaña y el sello AMG visible, y un video introductorio de treinta segundos grabado por Carnot.</w:t>
      </w:r>
    </w:p>
    <w:p>
      <w:pPr>
        <w:spacing w:before="280" w:after="120"/>
      </w:pPr>
      <w:r>
        <w:rPr>
          <w:rFonts w:ascii="Lexend" w:hAnsi="Lexend"/>
          <w:b/>
          <w:color w:val="30B8B0"/>
          <w:sz w:val="30"/>
        </w:rPr>
        <w:t>2.5 Capa 5 — Medición (Analytics Layer)</w:t>
      </w:r>
    </w:p>
    <w:p>
      <w:pPr>
        <w:spacing w:after="120"/>
        <w:jc w:val="left"/>
      </w:pPr>
      <w:r>
        <w:rPr>
          <w:rFonts w:ascii="Lexend" w:hAnsi="Lexend"/>
          <w:b w:val="0"/>
          <w:i w:val="0"/>
          <w:color w:val="2C2C2C"/>
          <w:sz w:val="21"/>
        </w:rPr>
        <w:t>El sistema captura data heterogénea de los tres hubs activos: qué pieza vio cada usuario en el portal público, qué slide del detailing usó cada rep con qué médico, qué calculadora corrió cada usuario, qué QR generó cada rep. Todo esto se combina con los analytics nativos de cada red social (engagement rate, save rate, watch time, shares, CTR, CPA) y con los posts publicados por los KOLs en sus cuentas personales.</w:t>
      </w:r>
    </w:p>
    <w:p>
      <w:pPr>
        <w:spacing w:after="120"/>
        <w:jc w:val="left"/>
      </w:pPr>
      <w:r>
        <w:rPr>
          <w:rFonts w:ascii="Lexend" w:hAnsi="Lexend"/>
          <w:b w:val="0"/>
          <w:i w:val="0"/>
          <w:color w:val="2C2C2C"/>
          <w:sz w:val="21"/>
        </w:rPr>
        <w:t>El resultado es un performance report mensual que condensa toda esta data en insights accionables: qué claim tuvo mayor engagement, qué variante visual convirtió mejor en cada red, qué red está subperformando contra sus benchmarks, qué KOL generó el mayor alcance orgánico en comunidad médica. Este reporte alimenta directamente las decisiones de calendario del ciclo siguiente, cerrando el loop estratégico.</w:t>
      </w:r>
    </w:p>
    <w:p>
      <w:r>
        <w:br w:type="page"/>
      </w:r>
    </w:p>
    <w:p>
      <w:pPr>
        <w:spacing w:before="360" w:after="200"/>
      </w:pPr>
      <w:r>
        <w:rPr>
          <w:rFonts w:ascii="Lexend" w:hAnsi="Lexend"/>
          <w:b/>
          <w:color w:val="183888"/>
          <w:sz w:val="44"/>
        </w:rPr>
        <w:t>3. De dónde sale la información</w:t>
      </w:r>
    </w:p>
    <w:p>
      <w:pPr>
        <w:spacing w:after="120"/>
        <w:jc w:val="left"/>
      </w:pPr>
      <w:r>
        <w:rPr>
          <w:rFonts w:ascii="Lexend" w:hAnsi="Lexend"/>
          <w:b w:val="0"/>
          <w:i w:val="0"/>
          <w:color w:val="2C2C2C"/>
          <w:sz w:val="21"/>
        </w:rPr>
        <w:t>Cada dato que alimenta el sistema tiene fuente identificable y responsable asignado. Data que no pase estos dos filtros no entra al modelo de decisión. Esta sección documenta la cadena de custodia completa.</w:t>
      </w:r>
    </w:p>
    <w:p>
      <w:pPr>
        <w:spacing w:before="280" w:after="120"/>
      </w:pPr>
      <w:r>
        <w:rPr>
          <w:rFonts w:ascii="Lexend" w:hAnsi="Lexend"/>
          <w:b/>
          <w:color w:val="30B8B0"/>
          <w:sz w:val="30"/>
        </w:rPr>
        <w:t>3.1 Información clínica y mensajes aprobados</w:t>
      </w:r>
    </w:p>
    <w:p>
      <w:pPr>
        <w:spacing w:after="120"/>
        <w:jc w:val="left"/>
      </w:pPr>
      <w:r>
        <w:rPr>
          <w:rFonts w:ascii="Lexend" w:hAnsi="Lexend"/>
          <w:b w:val="0"/>
          <w:i w:val="0"/>
          <w:color w:val="2C2C2C"/>
          <w:sz w:val="21"/>
        </w:rPr>
        <w:t>El corpus clínico proviene del brief médico de Carnot Laboratorios consolidado con el libro de mensajes de la AMG. Cada claim de campaña (por ejemplo, "7 de 10 mexicanos portan H. pylori") tiene su referencia bibliográfica específica: Porras-Hurtado GL et al. Revista de Gastroenterología de México 2019 para prevalencia nacional, IARC-WHO clasificación Grupo 1 carcinógeno para la relación con cáncer gástrico, Maastricht VI/Florence Consensus 2022 para criterios diagnósticos y de tratamiento, y Chey WD et al. American Journal of Gastroenterology 2022 para la evidencia específica del tegoprazán. Todas estas referencias viven dentro del skill amg-pylori y se incluyen inline en cada pieza publicada en canales profesionales.</w:t>
      </w:r>
    </w:p>
    <w:p>
      <w:pPr>
        <w:spacing w:before="280" w:after="120"/>
      </w:pPr>
      <w:r>
        <w:rPr>
          <w:rFonts w:ascii="Lexend" w:hAnsi="Lexend"/>
          <w:b/>
          <w:color w:val="30B8B0"/>
          <w:sz w:val="30"/>
        </w:rPr>
        <w:t>3.2 Canon visual y directrices de marca</w:t>
      </w:r>
    </w:p>
    <w:p>
      <w:pPr>
        <w:spacing w:after="120"/>
        <w:jc w:val="left"/>
      </w:pPr>
      <w:r>
        <w:rPr>
          <w:rFonts w:ascii="Lexend" w:hAnsi="Lexend"/>
          <w:b w:val="0"/>
          <w:i w:val="0"/>
          <w:color w:val="2C2C2C"/>
          <w:sz w:val="21"/>
        </w:rPr>
        <w:t>El canon visual se construyó en conjunto por Polar y Carnot sobre la identidad de la AMG. Está documentado en el skill polar-piezas-visuales, archivo references/sistema-visual.md, con trece secciones que cubren paleta cromática, uso de la franja degradada, halo teal semiótico, tipografía, siete variantes visuales V0 a V6, CTA verbatim, uso del sello AMG y compliance. Este canon es inviolable: cualquier desviación debe ser aprobada por el director creativo de Polar y validada por el comité AMG.</w:t>
      </w:r>
    </w:p>
    <w:p>
      <w:pPr>
        <w:spacing w:before="280" w:after="120"/>
      </w:pPr>
      <w:r>
        <w:rPr>
          <w:rFonts w:ascii="Lexend" w:hAnsi="Lexend"/>
          <w:b/>
          <w:color w:val="30B8B0"/>
          <w:sz w:val="30"/>
        </w:rPr>
        <w:t>3.3 Fotografías de personajes</w:t>
      </w:r>
    </w:p>
    <w:p>
      <w:pPr>
        <w:spacing w:after="120"/>
        <w:jc w:val="left"/>
      </w:pPr>
      <w:r>
        <w:rPr>
          <w:rFonts w:ascii="Lexend" w:hAnsi="Lexend"/>
          <w:b w:val="0"/>
          <w:i w:val="0"/>
          <w:color w:val="2C2C2C"/>
          <w:sz w:val="21"/>
        </w:rPr>
        <w:t>Las fotografías de personajes hispanos que aparecen en las piezas se generan con el modelo gpt-image-1 de OpenAI usando un prompt canónico parametrizable. El prompt base es: "Editorial photograph for a Mexican gastric cancer awareness campaign by AMG. Persona on the LEFT side of the frame looking at camera, soft natural lighting, neutral background with subtle teal #30B8B0 atmosphere on the left third, clear white space on the RIGHT side reserved for typography overlay. Documentary style, photorealistic, calm professional mood, age 35-55, Mexican ethnicity, no text in image. Square 1:1 composition." Este prompt se personaliza por claim (ej. "showing mild abdominal discomfort" o "consulting with a physician") y se ejecuta desde la pestaña Imagen del sidebar del hub interno.</w:t>
      </w:r>
    </w:p>
    <w:p>
      <w:pPr>
        <w:spacing w:before="280" w:after="120"/>
      </w:pPr>
      <w:r>
        <w:rPr>
          <w:rFonts w:ascii="Lexend" w:hAnsi="Lexend"/>
          <w:b/>
          <w:color w:val="30B8B0"/>
          <w:sz w:val="30"/>
        </w:rPr>
        <w:t>3.4 Métricas de performance</w:t>
      </w:r>
    </w:p>
    <w:p>
      <w:pPr>
        <w:spacing w:after="120"/>
        <w:jc w:val="left"/>
      </w:pPr>
      <w:r>
        <w:rPr>
          <w:rFonts w:ascii="Lexend" w:hAnsi="Lexend"/>
          <w:b w:val="0"/>
          <w:i w:val="0"/>
          <w:color w:val="2C2C2C"/>
          <w:sz w:val="21"/>
        </w:rPr>
        <w:t>Las métricas en tiempo real provienen de tres tipos de fuentes:</w:t>
      </w:r>
    </w:p>
    <w:p>
      <w:pPr>
        <w:pStyle w:val="ListBullet"/>
        <w:spacing w:after="60"/>
        <w:ind w:left="432"/>
      </w:pPr>
      <w:r>
        <w:rPr>
          <w:rFonts w:ascii="Lexend" w:hAnsi="Lexend"/>
          <w:color w:val="2C2C2C"/>
          <w:sz w:val="21"/>
        </w:rPr>
        <w:t>APIs oficiales: Meta Graph API para Facebook e Instagram, TikTok Business API, LinkedIn Marketing Solutions API, Google Analytics 4 para el portal. La sincronización es diaria y los datos se agregan en Firebase Realtime Database bajo el nodo /analytics_*.</w:t>
      </w:r>
    </w:p>
    <w:p>
      <w:pPr>
        <w:pStyle w:val="ListBullet"/>
        <w:spacing w:after="60"/>
        <w:ind w:left="432"/>
      </w:pPr>
      <w:r>
        <w:rPr>
          <w:rFonts w:ascii="Lexend" w:hAnsi="Lexend"/>
          <w:color w:val="2C2C2C"/>
          <w:sz w:val="21"/>
        </w:rPr>
        <w:t>Firebase Realtime Database para datos propios del ecosistema: interacciones en el hub interno (nodo /polar-amg-hub-2026), analytics de la Visita Médica PWA (nodo /vm_amg_2026/events), feedbacks post-visita (nodo /vm_amg_2026/feedbacks).</w:t>
      </w:r>
    </w:p>
    <w:p>
      <w:pPr>
        <w:pStyle w:val="ListBullet"/>
        <w:spacing w:after="60"/>
        <w:ind w:left="432"/>
      </w:pPr>
      <w:r>
        <w:rPr>
          <w:rFonts w:ascii="Lexend" w:hAnsi="Lexend"/>
          <w:color w:val="2C2C2C"/>
          <w:sz w:val="21"/>
        </w:rPr>
        <w:t>Data de prescripciones: Close Up IMS o Dataview Rx México, reportado mensualmente, para medir el impacto comercial real del sistema en el recetarío de Ki-CAB.</w:t>
      </w:r>
    </w:p>
    <w:p>
      <w:pPr>
        <w:spacing w:before="280" w:after="120"/>
      </w:pPr>
      <w:r>
        <w:rPr>
          <w:rFonts w:ascii="Lexend" w:hAnsi="Lexend"/>
          <w:b/>
          <w:color w:val="30B8B0"/>
          <w:sz w:val="30"/>
        </w:rPr>
        <w:t>3.5 Fuente de decisiones de calendario</w:t>
      </w:r>
    </w:p>
    <w:p>
      <w:pPr>
        <w:spacing w:after="120"/>
        <w:jc w:val="left"/>
      </w:pPr>
      <w:r>
        <w:rPr>
          <w:rFonts w:ascii="Lexend" w:hAnsi="Lexend"/>
          <w:b w:val="0"/>
          <w:i w:val="0"/>
          <w:color w:val="2C2C2C"/>
          <w:sz w:val="21"/>
        </w:rPr>
        <w:t>El calendario semanal no se decide por intuición. Se genera a partir de un modelo algorítmico con siete vectores ponderados descritos en la hoja "Decisión_Algoritmica" del Anexo de métricas. Los vectores son: objetivo del ciclo (30%), performance histórica (25%), audiencia activa de la semana (15%), estacionalidad y efemérides de salud (10%), presupuesto de pauta disponible (10%), disponibilidad de KOLs (5%), y compliance override si hay algún pendiente legal (5%).</w:t>
      </w:r>
    </w:p>
    <w:p>
      <w:r>
        <w:br w:type="page"/>
      </w:r>
    </w:p>
    <w:p>
      <w:pPr>
        <w:spacing w:before="360" w:after="200"/>
      </w:pPr>
      <w:r>
        <w:rPr>
          <w:rFonts w:ascii="Lexend" w:hAnsi="Lexend"/>
          <w:b/>
          <w:color w:val="183888"/>
          <w:sz w:val="44"/>
        </w:rPr>
        <w:t>4. Cómo se procesa la información</w:t>
      </w:r>
    </w:p>
    <w:p>
      <w:pPr>
        <w:spacing w:after="120"/>
        <w:jc w:val="left"/>
      </w:pPr>
      <w:r>
        <w:rPr>
          <w:rFonts w:ascii="Lexend" w:hAnsi="Lexend"/>
          <w:b w:val="0"/>
          <w:i w:val="0"/>
          <w:color w:val="2C2C2C"/>
          <w:sz w:val="21"/>
        </w:rPr>
        <w:t>El flujo operativo semanal tiene un ritmo establecido:</w:t>
      </w:r>
    </w:p>
    <w:p>
      <w:pPr>
        <w:spacing w:before="280" w:after="120"/>
      </w:pPr>
      <w:r>
        <w:rPr>
          <w:rFonts w:ascii="Lexend" w:hAnsi="Lexend"/>
          <w:b/>
          <w:color w:val="30B8B0"/>
          <w:sz w:val="30"/>
        </w:rPr>
        <w:t>4.1 Lunes — Planificación del ciclo</w:t>
      </w:r>
    </w:p>
    <w:p>
      <w:pPr>
        <w:spacing w:after="120"/>
        <w:jc w:val="left"/>
      </w:pPr>
      <w:r>
        <w:rPr>
          <w:rFonts w:ascii="Lexend" w:hAnsi="Lexend"/>
          <w:b w:val="0"/>
          <w:i w:val="0"/>
          <w:color w:val="2C2C2C"/>
          <w:sz w:val="21"/>
        </w:rPr>
        <w:t>Cada lunes a primera hora, el equipo de estrategia de Polar corre el modelo de decisión algorítmica con los datos actualizados del fin de semana anterior. El modelo produce un ranking de piezas candidatas por cada slot del calendario semanal (red × día × hora), ordenado por probabilidad de impacto en los KPIs objetivo del ciclo.</w:t>
      </w:r>
    </w:p>
    <w:p>
      <w:pPr>
        <w:spacing w:before="280" w:after="120"/>
      </w:pPr>
      <w:r>
        <w:rPr>
          <w:rFonts w:ascii="Lexend" w:hAnsi="Lexend"/>
          <w:b/>
          <w:color w:val="30B8B0"/>
          <w:sz w:val="30"/>
        </w:rPr>
        <w:t>4.2 Martes — Producción IA</w:t>
      </w:r>
    </w:p>
    <w:p>
      <w:pPr>
        <w:spacing w:after="120"/>
        <w:jc w:val="left"/>
      </w:pPr>
      <w:r>
        <w:rPr>
          <w:rFonts w:ascii="Lexend" w:hAnsi="Lexend"/>
          <w:b w:val="0"/>
          <w:i w:val="0"/>
          <w:color w:val="2C2C2C"/>
          <w:sz w:val="21"/>
        </w:rPr>
        <w:t>Claude y gpt-image-1 producen las variantes de copy e imagen para las piezas del ranking top. Esto se hace en una sesión de producción asistida donde el director creativo de Polar supervisa las salidas, rechaza lo que no cumple canon, y re-genera hasta obtener el pool aprobable. En promedio, una semana completa de contenido (15 a 22 piezas finales) se produce en una mañana.</w:t>
      </w:r>
    </w:p>
    <w:p>
      <w:pPr>
        <w:spacing w:before="280" w:after="120"/>
      </w:pPr>
      <w:r>
        <w:rPr>
          <w:rFonts w:ascii="Lexend" w:hAnsi="Lexend"/>
          <w:b/>
          <w:color w:val="30B8B0"/>
          <w:sz w:val="30"/>
        </w:rPr>
        <w:t>4.3 Miércoles — Revisión colaborativa</w:t>
      </w:r>
    </w:p>
    <w:p>
      <w:pPr>
        <w:spacing w:after="120"/>
        <w:jc w:val="left"/>
      </w:pPr>
      <w:r>
        <w:rPr>
          <w:rFonts w:ascii="Lexend" w:hAnsi="Lexend"/>
          <w:b w:val="0"/>
          <w:i w:val="0"/>
          <w:color w:val="2C2C2C"/>
          <w:sz w:val="21"/>
        </w:rPr>
        <w:t>Se convoca a la sesión síncrona en el hub interno. Entran Polar, el equipo creativo de Carnot, el vocero científico de AMG y, cuando aplica, un KOL senior. Cada participante puede editar textos, ajustar imágenes, mover sellos y comentar. La sesión dura típicamente 30 a 45 minutos y al final cada pieza tiene uno de cuatro estados: aprobada, aprobada con cambios menores, requiere re-trabajo, vetada por compliance.</w:t>
      </w:r>
    </w:p>
    <w:p>
      <w:pPr>
        <w:spacing w:before="280" w:after="120"/>
      </w:pPr>
      <w:r>
        <w:rPr>
          <w:rFonts w:ascii="Lexend" w:hAnsi="Lexend"/>
          <w:b/>
          <w:color w:val="30B8B0"/>
          <w:sz w:val="30"/>
        </w:rPr>
        <w:t>4.4 Jueves — Pack KOLs y programación</w:t>
      </w:r>
    </w:p>
    <w:p>
      <w:pPr>
        <w:spacing w:after="120"/>
        <w:jc w:val="left"/>
      </w:pPr>
      <w:r>
        <w:rPr>
          <w:rFonts w:ascii="Lexend" w:hAnsi="Lexend"/>
          <w:b w:val="0"/>
          <w:i w:val="0"/>
          <w:color w:val="2C2C2C"/>
          <w:sz w:val="21"/>
        </w:rPr>
        <w:t>Las piezas aprobadas se empaquetan en los packs mensuales de KOLs, que se les envían vía URL privada. Paralelamente, el equipo de paid media de Polar programa los posts en las plataformas nativas (Meta Business Suite, TikTok Ads Manager, LinkedIn Campaign Manager, Buffer para el resto) con los horarios óptimos que indica el modelo.</w:t>
      </w:r>
    </w:p>
    <w:p>
      <w:pPr>
        <w:spacing w:before="280" w:after="120"/>
      </w:pPr>
      <w:r>
        <w:rPr>
          <w:rFonts w:ascii="Lexend" w:hAnsi="Lexend"/>
          <w:b/>
          <w:color w:val="30B8B0"/>
          <w:sz w:val="30"/>
        </w:rPr>
        <w:t>4.5 Viernes — Cierre y reporte</w:t>
      </w:r>
    </w:p>
    <w:p>
      <w:pPr>
        <w:spacing w:after="120"/>
        <w:jc w:val="left"/>
      </w:pPr>
      <w:r>
        <w:rPr>
          <w:rFonts w:ascii="Lexend" w:hAnsi="Lexend"/>
          <w:b w:val="0"/>
          <w:i w:val="0"/>
          <w:color w:val="2C2C2C"/>
          <w:sz w:val="21"/>
        </w:rPr>
        <w:t>El sistema cierra la semana con un snapshot de métricas que alimenta el vector de "performance histórica" para la siguiente planificación. El equipo de analytics de Polar prepara el micro-reporte semanal (una hoja) que circula a Carnot cada viernes por la tarde.</w:t>
      </w:r>
    </w:p>
    <w:p>
      <w:pPr>
        <w:spacing w:before="160" w:after="160"/>
        <w:ind w:left="288"/>
        <w:shd w:val="clear" w:color="auto" w:fill="E8F5F4"/>
      </w:pPr>
      <w:r>
        <w:rPr>
          <w:rFonts w:ascii="Lexend" w:hAnsi="Lexend"/>
          <w:i/>
          <w:color w:val="2C2C2C"/>
          <w:sz w:val="20"/>
        </w:rPr>
        <w:t>Este ritmo no es aspiracional: es el ciclo operativo real con el que se produce una semana de campaña. La IA colapsa lo que antes tomaba 12-15 días de trabajo humano a 5 días con supervisión humana continua en puntos de decisión estratégica.</w:t>
      </w:r>
    </w:p>
    <w:p>
      <w:r>
        <w:br w:type="page"/>
      </w:r>
    </w:p>
    <w:p>
      <w:pPr>
        <w:spacing w:before="360" w:after="200"/>
      </w:pPr>
      <w:r>
        <w:rPr>
          <w:rFonts w:ascii="Lexend" w:hAnsi="Lexend"/>
          <w:b/>
          <w:color w:val="183888"/>
          <w:sz w:val="44"/>
        </w:rPr>
        <w:t>5. Métricas y criterios por red social</w:t>
      </w:r>
    </w:p>
    <w:p>
      <w:pPr>
        <w:spacing w:after="120"/>
        <w:jc w:val="left"/>
      </w:pPr>
      <w:r>
        <w:rPr>
          <w:rFonts w:ascii="Lexend" w:hAnsi="Lexend"/>
          <w:b w:val="0"/>
          <w:i w:val="0"/>
          <w:color w:val="2C2C2C"/>
          <w:sz w:val="21"/>
        </w:rPr>
        <w:t>El detalle cuantitativo vive en el anexo Excel (Matriz_Metricas_Calendarios_AMG_2026.xlsx). Aquí se describe la lógica cualitativa.</w:t>
      </w:r>
    </w:p>
    <w:p>
      <w:pPr>
        <w:spacing w:before="280" w:after="120"/>
      </w:pPr>
      <w:r>
        <w:rPr>
          <w:rFonts w:ascii="Lexend" w:hAnsi="Lexend"/>
          <w:b/>
          <w:color w:val="30B8B0"/>
          <w:sz w:val="30"/>
        </w:rPr>
        <w:t>5.1 Instagram</w:t>
      </w:r>
    </w:p>
    <w:p>
      <w:pPr>
        <w:spacing w:after="120"/>
        <w:jc w:val="left"/>
      </w:pPr>
      <w:r>
        <w:rPr>
          <w:rFonts w:ascii="Lexend" w:hAnsi="Lexend"/>
          <w:b w:val="0"/>
          <w:i w:val="0"/>
          <w:color w:val="2C2C2C"/>
          <w:sz w:val="21"/>
        </w:rPr>
        <w:t>Target principal es el paciente adulto entre 25 y 55 años, con mayoría femenina. La red prioriza contenido que se "guarda" (save rate) como signal de utilidad clínica real — si la usuaria lo guardó, es porque planea regresar a ver. Por eso el save rate es nuestro KPI de utilidad en Instagram, con objetivo de 2.1% (benchmark pharma OTC México 0.9%, top decile 2.4%). La variante dominante es V0 fotográfica en feed 1:1 y V2 dinámica en Stories/Reels.</w:t>
      </w:r>
    </w:p>
    <w:p>
      <w:pPr>
        <w:spacing w:before="280" w:after="120"/>
      </w:pPr>
      <w:r>
        <w:rPr>
          <w:rFonts w:ascii="Lexend" w:hAnsi="Lexend"/>
          <w:b/>
          <w:color w:val="30B8B0"/>
          <w:sz w:val="30"/>
        </w:rPr>
        <w:t>5.2 TikTok</w:t>
      </w:r>
    </w:p>
    <w:p>
      <w:pPr>
        <w:spacing w:after="120"/>
        <w:jc w:val="left"/>
      </w:pPr>
      <w:r>
        <w:rPr>
          <w:rFonts w:ascii="Lexend" w:hAnsi="Lexend"/>
          <w:b w:val="0"/>
          <w:i w:val="0"/>
          <w:color w:val="2C2C2C"/>
          <w:sz w:val="21"/>
        </w:rPr>
        <w:t>Target paciente joven 18-35. Lo que gobierna aquí es el watch time en los primeros tres segundos: si no pasa del 50% de retención en ese tramo, el tipo de apertura se descarta para el siguiente ciclo. Es la red más costosa de alimentar porque necesita ritmo narrativo específico. Volumen recomendado: 2-3 videos por semana. Variante dominante: V2 Reels-style y V6 diagnóstico teal.</w:t>
      </w:r>
    </w:p>
    <w:p>
      <w:pPr>
        <w:spacing w:before="280" w:after="120"/>
      </w:pPr>
      <w:r>
        <w:rPr>
          <w:rFonts w:ascii="Lexend" w:hAnsi="Lexend"/>
          <w:b/>
          <w:color w:val="30B8B0"/>
          <w:sz w:val="30"/>
        </w:rPr>
        <w:t>5.3 Facebook</w:t>
      </w:r>
    </w:p>
    <w:p>
      <w:pPr>
        <w:spacing w:after="120"/>
        <w:jc w:val="left"/>
      </w:pPr>
      <w:r>
        <w:rPr>
          <w:rFonts w:ascii="Lexend" w:hAnsi="Lexend"/>
          <w:b w:val="0"/>
          <w:i w:val="0"/>
          <w:color w:val="2C2C2C"/>
          <w:sz w:val="21"/>
        </w:rPr>
        <w:t>Target paciente 40-65, mayoría mujeres, decisor del hogar. Facebook permite copy largo educativo, así que es la mejor red para desplegar los claims complejos (progresión de Correa, métodos diagnósticos, comparaciones de tratamiento). Variante dominante: V4 bacteriológica y V5 contextual simbólica.</w:t>
      </w:r>
    </w:p>
    <w:p>
      <w:pPr>
        <w:spacing w:before="280" w:after="120"/>
      </w:pPr>
      <w:r>
        <w:rPr>
          <w:rFonts w:ascii="Lexend" w:hAnsi="Lexend"/>
          <w:b/>
          <w:color w:val="30B8B0"/>
          <w:sz w:val="30"/>
        </w:rPr>
        <w:t>5.4 LinkedIn</w:t>
      </w:r>
    </w:p>
    <w:p>
      <w:pPr>
        <w:spacing w:after="120"/>
        <w:jc w:val="left"/>
      </w:pPr>
      <w:r>
        <w:rPr>
          <w:rFonts w:ascii="Lexend" w:hAnsi="Lexend"/>
          <w:b w:val="0"/>
          <w:i w:val="0"/>
          <w:color w:val="2C2C2C"/>
          <w:sz w:val="21"/>
        </w:rPr>
        <w:t>Target HCP especialistas de gastroenterología, medicina interna y oncología, más KAMs de farmacias y directores médicos. Lenguaje técnico, referencias bibliográficas visibles. KPI primario: porcentaje de impresiones que caen en cuentas con título profesional médico (meta 35% HCP sobre total). Es donde los KOLs tienen mayor peso orgánico. Variante dominante: V3 datos clínicos y V5 infografía territorial.</w:t>
      </w:r>
    </w:p>
    <w:p>
      <w:r>
        <w:br w:type="page"/>
      </w:r>
    </w:p>
    <w:p>
      <w:pPr>
        <w:spacing w:before="360" w:after="200"/>
      </w:pPr>
      <w:r>
        <w:rPr>
          <w:rFonts w:ascii="Lexend" w:hAnsi="Lexend"/>
          <w:b/>
          <w:color w:val="183888"/>
          <w:sz w:val="44"/>
        </w:rPr>
        <w:t>6. Amplificación por inteligencia artificial</w:t>
      </w:r>
    </w:p>
    <w:p>
      <w:pPr>
        <w:spacing w:after="120"/>
        <w:jc w:val="left"/>
      </w:pPr>
      <w:r>
        <w:rPr>
          <w:rFonts w:ascii="Lexend" w:hAnsi="Lexend"/>
          <w:b w:val="0"/>
          <w:i w:val="0"/>
          <w:color w:val="2C2C2C"/>
          <w:sz w:val="21"/>
        </w:rPr>
        <w:t>La IA amplifica cada capa del sistema de forma específica, nunca sustituye la decisión humana en puntos críticos. La siguiente tabla resume dónde actúa cada herramienta.</w:t>
      </w:r>
    </w:p>
    <w:tbl>
      <w:tblPr>
        <w:tblW w:type="auto" w:w="0"/>
        <w:jc w:val="center"/>
        <w:tblLayout w:type="fixed"/>
        <w:tblLook w:firstColumn="1" w:firstRow="1" w:lastColumn="0" w:lastRow="0" w:noHBand="0" w:noVBand="1" w:val="04A0"/>
      </w:tblPr>
      <w:tblGrid>
        <w:gridCol w:w="3120"/>
        <w:gridCol w:w="3120"/>
        <w:gridCol w:w="3120"/>
      </w:tblGrid>
      <w:tr>
        <w:tc>
          <w:tcPr>
            <w:tcW w:type="dxa" w:w="1872"/>
            <w:vAlign w:val="center"/>
            <w:shd w:val="clear" w:color="auto" w:fill="183888"/>
          </w:tcPr>
          <w:p>
            <w:pPr>
              <w:jc w:val="center"/>
            </w:pPr>
            <w:r/>
            <w:r>
              <w:rPr>
                <w:rFonts w:ascii="Lexend" w:hAnsi="Lexend"/>
                <w:b/>
                <w:color w:val="FFFFFF"/>
                <w:sz w:val="21"/>
              </w:rPr>
              <w:t>Capa</w:t>
            </w:r>
          </w:p>
        </w:tc>
        <w:tc>
          <w:tcPr>
            <w:tcW w:type="dxa" w:w="3456"/>
            <w:vAlign w:val="center"/>
            <w:shd w:val="clear" w:color="auto" w:fill="183888"/>
          </w:tcPr>
          <w:p>
            <w:pPr>
              <w:jc w:val="center"/>
            </w:pPr>
            <w:r/>
            <w:r>
              <w:rPr>
                <w:rFonts w:ascii="Lexend" w:hAnsi="Lexend"/>
                <w:b/>
                <w:color w:val="FFFFFF"/>
                <w:sz w:val="21"/>
              </w:rPr>
              <w:t>Herramienta IA</w:t>
            </w:r>
          </w:p>
        </w:tc>
        <w:tc>
          <w:tcPr>
            <w:tcW w:type="dxa" w:w="4320"/>
            <w:vAlign w:val="center"/>
            <w:shd w:val="clear" w:color="auto" w:fill="183888"/>
          </w:tcPr>
          <w:p>
            <w:pPr>
              <w:jc w:val="center"/>
            </w:pPr>
            <w:r/>
            <w:r>
              <w:rPr>
                <w:rFonts w:ascii="Lexend" w:hAnsi="Lexend"/>
                <w:b/>
                <w:color w:val="FFFFFF"/>
                <w:sz w:val="21"/>
              </w:rPr>
              <w:t>Qué hace y qué NO hace</w:t>
            </w:r>
          </w:p>
        </w:tc>
      </w:tr>
      <w:tr>
        <w:tc>
          <w:tcPr>
            <w:tcW w:type="dxa" w:w="1872"/>
            <w:vAlign w:val="center"/>
          </w:tcPr>
          <w:p>
            <w:pPr>
              <w:jc w:val="left"/>
            </w:pPr>
            <w:r/>
            <w:r>
              <w:rPr>
                <w:rFonts w:ascii="Lexend" w:hAnsi="Lexend"/>
                <w:b/>
                <w:color w:val="2C2C2C"/>
                <w:sz w:val="19"/>
              </w:rPr>
              <w:t>Strategy</w:t>
            </w:r>
          </w:p>
        </w:tc>
        <w:tc>
          <w:tcPr>
            <w:tcW w:type="dxa" w:w="3456"/>
            <w:vAlign w:val="center"/>
          </w:tcPr>
          <w:p>
            <w:pPr>
              <w:jc w:val="left"/>
            </w:pPr>
            <w:r/>
            <w:r>
              <w:rPr>
                <w:rFonts w:ascii="Lexend" w:hAnsi="Lexend"/>
                <w:b w:val="0"/>
                <w:color w:val="2C2C2C"/>
                <w:sz w:val="19"/>
              </w:rPr>
              <w:t>Claude + skill amg-pylori</w:t>
            </w:r>
          </w:p>
        </w:tc>
        <w:tc>
          <w:tcPr>
            <w:tcW w:type="dxa" w:w="4320"/>
            <w:vAlign w:val="center"/>
          </w:tcPr>
          <w:p>
            <w:pPr>
              <w:jc w:val="left"/>
            </w:pPr>
            <w:r/>
            <w:r>
              <w:rPr>
                <w:rFonts w:ascii="Lexend" w:hAnsi="Lexend"/>
                <w:b w:val="0"/>
                <w:color w:val="2C2C2C"/>
                <w:sz w:val="19"/>
              </w:rPr>
              <w:t>Valida que cada pieza producida respete el corpus aprobado. Bloquea desviaciones. NO modifica estrategia sin aprobación Carnot.</w:t>
            </w:r>
          </w:p>
        </w:tc>
      </w:tr>
      <w:tr>
        <w:tc>
          <w:tcPr>
            <w:tcW w:type="dxa" w:w="1872"/>
            <w:vAlign w:val="center"/>
          </w:tcPr>
          <w:p>
            <w:pPr>
              <w:jc w:val="left"/>
            </w:pPr>
            <w:r/>
            <w:r>
              <w:rPr>
                <w:rFonts w:ascii="Lexend" w:hAnsi="Lexend"/>
                <w:b/>
                <w:color w:val="2C2C2C"/>
                <w:sz w:val="19"/>
              </w:rPr>
              <w:t>Creation</w:t>
            </w:r>
          </w:p>
        </w:tc>
        <w:tc>
          <w:tcPr>
            <w:tcW w:type="dxa" w:w="3456"/>
            <w:vAlign w:val="center"/>
          </w:tcPr>
          <w:p>
            <w:pPr>
              <w:jc w:val="left"/>
            </w:pPr>
            <w:r/>
            <w:r>
              <w:rPr>
                <w:rFonts w:ascii="Lexend" w:hAnsi="Lexend"/>
                <w:b w:val="0"/>
                <w:color w:val="2C2C2C"/>
                <w:sz w:val="19"/>
              </w:rPr>
              <w:t>gpt-image-1 + Nanobanana</w:t>
            </w:r>
          </w:p>
        </w:tc>
        <w:tc>
          <w:tcPr>
            <w:tcW w:type="dxa" w:w="4320"/>
            <w:vAlign w:val="center"/>
          </w:tcPr>
          <w:p>
            <w:pPr>
              <w:jc w:val="left"/>
            </w:pPr>
            <w:r/>
            <w:r>
              <w:rPr>
                <w:rFonts w:ascii="Lexend" w:hAnsi="Lexend"/>
                <w:b w:val="0"/>
                <w:color w:val="2C2C2C"/>
                <w:sz w:val="19"/>
              </w:rPr>
              <w:t>Genera 48 fotos hiper-realistas con prompt canónico. Adapta a 4 formatos. NO genera contenido clínico; solo visual.</w:t>
            </w:r>
          </w:p>
        </w:tc>
      </w:tr>
      <w:tr>
        <w:tc>
          <w:tcPr>
            <w:tcW w:type="dxa" w:w="1872"/>
            <w:vAlign w:val="center"/>
          </w:tcPr>
          <w:p>
            <w:pPr>
              <w:jc w:val="left"/>
            </w:pPr>
            <w:r/>
            <w:r>
              <w:rPr>
                <w:rFonts w:ascii="Lexend" w:hAnsi="Lexend"/>
                <w:b/>
                <w:color w:val="2C2C2C"/>
                <w:sz w:val="19"/>
              </w:rPr>
              <w:t>Creation</w:t>
            </w:r>
          </w:p>
        </w:tc>
        <w:tc>
          <w:tcPr>
            <w:tcW w:type="dxa" w:w="3456"/>
            <w:vAlign w:val="center"/>
          </w:tcPr>
          <w:p>
            <w:pPr>
              <w:jc w:val="left"/>
            </w:pPr>
            <w:r/>
            <w:r>
              <w:rPr>
                <w:rFonts w:ascii="Lexend" w:hAnsi="Lexend"/>
                <w:b w:val="0"/>
                <w:color w:val="2C2C2C"/>
                <w:sz w:val="19"/>
              </w:rPr>
              <w:t>Claude (redacción)</w:t>
            </w:r>
          </w:p>
        </w:tc>
        <w:tc>
          <w:tcPr>
            <w:tcW w:type="dxa" w:w="4320"/>
            <w:vAlign w:val="center"/>
          </w:tcPr>
          <w:p>
            <w:pPr>
              <w:jc w:val="left"/>
            </w:pPr>
            <w:r/>
            <w:r>
              <w:rPr>
                <w:rFonts w:ascii="Lexend" w:hAnsi="Lexend"/>
                <w:b w:val="0"/>
                <w:color w:val="2C2C2C"/>
                <w:sz w:val="19"/>
              </w:rPr>
              <w:t>Redacta variantes de copy respetando tono y vocabulario. NO inventa cifras ni referencias.</w:t>
            </w:r>
          </w:p>
        </w:tc>
      </w:tr>
      <w:tr>
        <w:tc>
          <w:tcPr>
            <w:tcW w:type="dxa" w:w="1872"/>
            <w:vAlign w:val="center"/>
          </w:tcPr>
          <w:p>
            <w:pPr>
              <w:jc w:val="left"/>
            </w:pPr>
            <w:r/>
            <w:r>
              <w:rPr>
                <w:rFonts w:ascii="Lexend" w:hAnsi="Lexend"/>
                <w:b/>
                <w:color w:val="2C2C2C"/>
                <w:sz w:val="19"/>
              </w:rPr>
              <w:t>Approval</w:t>
            </w:r>
          </w:p>
        </w:tc>
        <w:tc>
          <w:tcPr>
            <w:tcW w:type="dxa" w:w="3456"/>
            <w:vAlign w:val="center"/>
          </w:tcPr>
          <w:p>
            <w:pPr>
              <w:jc w:val="left"/>
            </w:pPr>
            <w:r/>
            <w:r>
              <w:rPr>
                <w:rFonts w:ascii="Lexend" w:hAnsi="Lexend"/>
                <w:b w:val="0"/>
                <w:color w:val="2C2C2C"/>
                <w:sz w:val="19"/>
              </w:rPr>
              <w:t>HubSync (sidebar Dreamweaver)</w:t>
            </w:r>
          </w:p>
        </w:tc>
        <w:tc>
          <w:tcPr>
            <w:tcW w:type="dxa" w:w="4320"/>
            <w:vAlign w:val="center"/>
          </w:tcPr>
          <w:p>
            <w:pPr>
              <w:jc w:val="left"/>
            </w:pPr>
            <w:r/>
            <w:r>
              <w:rPr>
                <w:rFonts w:ascii="Lexend" w:hAnsi="Lexend"/>
                <w:b w:val="0"/>
                <w:color w:val="2C2C2C"/>
                <w:sz w:val="19"/>
              </w:rPr>
              <w:t>Sincroniza ediciones entre múltiples revisores en tiempo real vía Firebase. NO aprueba piezas automáticamente.</w:t>
            </w:r>
          </w:p>
        </w:tc>
      </w:tr>
      <w:tr>
        <w:tc>
          <w:tcPr>
            <w:tcW w:type="dxa" w:w="1872"/>
            <w:vAlign w:val="center"/>
          </w:tcPr>
          <w:p>
            <w:pPr>
              <w:jc w:val="left"/>
            </w:pPr>
            <w:r/>
            <w:r>
              <w:rPr>
                <w:rFonts w:ascii="Lexend" w:hAnsi="Lexend"/>
                <w:b/>
                <w:color w:val="2C2C2C"/>
                <w:sz w:val="19"/>
              </w:rPr>
              <w:t>Deploy</w:t>
            </w:r>
          </w:p>
        </w:tc>
        <w:tc>
          <w:tcPr>
            <w:tcW w:type="dxa" w:w="3456"/>
            <w:vAlign w:val="center"/>
          </w:tcPr>
          <w:p>
            <w:pPr>
              <w:jc w:val="left"/>
            </w:pPr>
            <w:r/>
            <w:r>
              <w:rPr>
                <w:rFonts w:ascii="Lexend" w:hAnsi="Lexend"/>
                <w:b w:val="0"/>
                <w:color w:val="2C2C2C"/>
                <w:sz w:val="19"/>
              </w:rPr>
              <w:t>Visita Médica PWA</w:t>
            </w:r>
          </w:p>
        </w:tc>
        <w:tc>
          <w:tcPr>
            <w:tcW w:type="dxa" w:w="4320"/>
            <w:vAlign w:val="center"/>
          </w:tcPr>
          <w:p>
            <w:pPr>
              <w:jc w:val="left"/>
            </w:pPr>
            <w:r/>
            <w:r>
              <w:rPr>
                <w:rFonts w:ascii="Lexend" w:hAnsi="Lexend"/>
                <w:b w:val="0"/>
                <w:color w:val="2C2C2C"/>
                <w:sz w:val="19"/>
              </w:rPr>
              <w:t>Ejecuta calculadora de riesgo + visor 3D + comparador Ki-CAB offline. NO decide tratamiento; es herramienta educativa.</w:t>
            </w:r>
          </w:p>
        </w:tc>
      </w:tr>
      <w:tr>
        <w:tc>
          <w:tcPr>
            <w:tcW w:type="dxa" w:w="1872"/>
            <w:vAlign w:val="center"/>
          </w:tcPr>
          <w:p>
            <w:pPr>
              <w:jc w:val="left"/>
            </w:pPr>
            <w:r/>
            <w:r>
              <w:rPr>
                <w:rFonts w:ascii="Lexend" w:hAnsi="Lexend"/>
                <w:b/>
                <w:color w:val="2C2C2C"/>
                <w:sz w:val="19"/>
              </w:rPr>
              <w:t>Deploy</w:t>
            </w:r>
          </w:p>
        </w:tc>
        <w:tc>
          <w:tcPr>
            <w:tcW w:type="dxa" w:w="3456"/>
            <w:vAlign w:val="center"/>
          </w:tcPr>
          <w:p>
            <w:pPr>
              <w:jc w:val="left"/>
            </w:pPr>
            <w:r/>
            <w:r>
              <w:rPr>
                <w:rFonts w:ascii="Lexend" w:hAnsi="Lexend"/>
                <w:b w:val="0"/>
                <w:color w:val="2C2C2C"/>
                <w:sz w:val="19"/>
              </w:rPr>
              <w:t>Service Worker (PWA)</w:t>
            </w:r>
          </w:p>
        </w:tc>
        <w:tc>
          <w:tcPr>
            <w:tcW w:type="dxa" w:w="4320"/>
            <w:vAlign w:val="center"/>
          </w:tcPr>
          <w:p>
            <w:pPr>
              <w:jc w:val="left"/>
            </w:pPr>
            <w:r/>
            <w:r>
              <w:rPr>
                <w:rFonts w:ascii="Lexend" w:hAnsi="Lexend"/>
                <w:b w:val="0"/>
                <w:color w:val="2C2C2C"/>
                <w:sz w:val="19"/>
              </w:rPr>
              <w:t>Pre-cachea 30MB de contenido para uso offline. NO consume data del rep mientras está en consulta.</w:t>
            </w:r>
          </w:p>
        </w:tc>
      </w:tr>
      <w:tr>
        <w:tc>
          <w:tcPr>
            <w:tcW w:type="dxa" w:w="1872"/>
            <w:vAlign w:val="center"/>
          </w:tcPr>
          <w:p>
            <w:pPr>
              <w:jc w:val="left"/>
            </w:pPr>
            <w:r/>
            <w:r>
              <w:rPr>
                <w:rFonts w:ascii="Lexend" w:hAnsi="Lexend"/>
                <w:b/>
                <w:color w:val="2C2C2C"/>
                <w:sz w:val="19"/>
              </w:rPr>
              <w:t>Analytics</w:t>
            </w:r>
          </w:p>
        </w:tc>
        <w:tc>
          <w:tcPr>
            <w:tcW w:type="dxa" w:w="3456"/>
            <w:vAlign w:val="center"/>
          </w:tcPr>
          <w:p>
            <w:pPr>
              <w:jc w:val="left"/>
            </w:pPr>
            <w:r/>
            <w:r>
              <w:rPr>
                <w:rFonts w:ascii="Lexend" w:hAnsi="Lexend"/>
                <w:b w:val="0"/>
                <w:color w:val="2C2C2C"/>
                <w:sz w:val="19"/>
              </w:rPr>
              <w:t>Performance report IA</w:t>
            </w:r>
          </w:p>
        </w:tc>
        <w:tc>
          <w:tcPr>
            <w:tcW w:type="dxa" w:w="4320"/>
            <w:vAlign w:val="center"/>
          </w:tcPr>
          <w:p>
            <w:pPr>
              <w:jc w:val="left"/>
            </w:pPr>
            <w:r/>
            <w:r>
              <w:rPr>
                <w:rFonts w:ascii="Lexend" w:hAnsi="Lexend"/>
                <w:b w:val="0"/>
                <w:color w:val="2C2C2C"/>
                <w:sz w:val="19"/>
              </w:rPr>
              <w:t>Sintetiza analytics heterogéneos en insights accionables. NO ejecuta cambios sin revisión Polar.</w:t>
            </w:r>
          </w:p>
        </w:tc>
      </w:tr>
    </w:tbl>
    <w:p>
      <w:pPr>
        <w:spacing w:after="120"/>
        <w:jc w:val="left"/>
      </w:pPr>
      <w:r>
        <w:rPr>
          <w:rFonts w:ascii="Lexend" w:hAnsi="Lexend"/>
          <w:b w:val="0"/>
          <w:i w:val="0"/>
          <w:color w:val="2C2C2C"/>
          <w:sz w:val="21"/>
        </w:rPr>
      </w:r>
    </w:p>
    <w:p>
      <w:pPr>
        <w:spacing w:before="160" w:after="160"/>
        <w:ind w:left="288"/>
        <w:shd w:val="clear" w:color="auto" w:fill="E8F5F4"/>
      </w:pPr>
      <w:r>
        <w:rPr>
          <w:rFonts w:ascii="Lexend" w:hAnsi="Lexend"/>
          <w:i/>
          <w:color w:val="2C2C2C"/>
          <w:sz w:val="20"/>
        </w:rPr>
        <w:t>El principio filosófico del sistema: la IA es el acelerador, el equipo humano es el volante. Las decisiones estratégicas, compliance y clínicas siempre pasan por revisión humana calificada. La IA elimina los cuellos de botella operativos (producción de piezas, adaptación de formatos, síntesis de data) pero nunca toma decisiones con impacto regulatorio o editorial.</w:t>
      </w:r>
    </w:p>
    <w:p>
      <w:r>
        <w:br w:type="page"/>
      </w:r>
    </w:p>
    <w:p>
      <w:pPr>
        <w:spacing w:before="360" w:after="200"/>
      </w:pPr>
      <w:r>
        <w:rPr>
          <w:rFonts w:ascii="Lexend" w:hAnsi="Lexend"/>
          <w:b/>
          <w:color w:val="183888"/>
          <w:sz w:val="44"/>
        </w:rPr>
        <w:t>7. Rol de los influencers médicos (KOLs)</w:t>
      </w:r>
    </w:p>
    <w:p>
      <w:pPr>
        <w:spacing w:after="120"/>
        <w:jc w:val="left"/>
      </w:pPr>
      <w:r>
        <w:rPr>
          <w:rFonts w:ascii="Lexend" w:hAnsi="Lexend"/>
          <w:b w:val="0"/>
          <w:i w:val="0"/>
          <w:color w:val="2C2C2C"/>
          <w:sz w:val="21"/>
        </w:rPr>
        <w:t>Los KOLs médicos son la capa de credibilidad orgánica del sistema. Un post publicado por la cuenta institucional de Carnot tiene un alcance de marca; el mismo post publicado por el Dr. Remes-Troche tiene aproximadamente cuatro veces más alcance en la comunidad médica y, más importante, un trust premium que la cuenta de marca no puede replicar.</w:t>
      </w:r>
    </w:p>
    <w:p>
      <w:pPr>
        <w:spacing w:before="280" w:after="120"/>
      </w:pPr>
      <w:r>
        <w:rPr>
          <w:rFonts w:ascii="Lexend" w:hAnsi="Lexend"/>
          <w:b/>
          <w:color w:val="30B8B0"/>
          <w:sz w:val="30"/>
        </w:rPr>
        <w:t>7.1 Selección y perfil</w:t>
      </w:r>
    </w:p>
    <w:p>
      <w:pPr>
        <w:spacing w:after="120"/>
        <w:jc w:val="left"/>
      </w:pPr>
      <w:r>
        <w:rPr>
          <w:rFonts w:ascii="Lexend" w:hAnsi="Lexend"/>
          <w:b w:val="0"/>
          <w:i w:val="0"/>
          <w:color w:val="2C2C2C"/>
          <w:sz w:val="21"/>
        </w:rPr>
        <w:t>El pool de KOLs se estructura en tres tiers:</w:t>
      </w:r>
    </w:p>
    <w:p>
      <w:pPr>
        <w:spacing w:before="200" w:after="80"/>
      </w:pPr>
      <w:r>
        <w:rPr>
          <w:rFonts w:ascii="Lexend" w:hAnsi="Lexend"/>
          <w:b/>
          <w:color w:val="183888"/>
          <w:sz w:val="24"/>
        </w:rPr>
        <w:t>Tier 1 — KOLs senior HCP</w:t>
      </w:r>
    </w:p>
    <w:p>
      <w:pPr>
        <w:spacing w:after="120"/>
        <w:jc w:val="left"/>
      </w:pPr>
      <w:r>
        <w:rPr>
          <w:rFonts w:ascii="Lexend" w:hAnsi="Lexend"/>
          <w:b w:val="0"/>
          <w:i w:val="0"/>
          <w:color w:val="2C2C2C"/>
          <w:sz w:val="21"/>
        </w:rPr>
        <w:t>Médicos con reconocimiento nacional en gastroenterología o medicina interna, presencia activa en LinkedIn y X, y relación histórica con Carnot o AMG. Para el piloto: Dr. José María Remes-Troche, Dra. Luisa Valdovinos, Dr. Ramón Coss Adame. Audiencia: HCP especialistas y generalistas. Pack mensual: 1 post LinkedIn + 1 hilo X + 1 video corto desde consultorio + participación en webinar trimestral.</w:t>
      </w:r>
    </w:p>
    <w:p>
      <w:pPr>
        <w:spacing w:before="200" w:after="80"/>
      </w:pPr>
      <w:r>
        <w:rPr>
          <w:rFonts w:ascii="Lexend" w:hAnsi="Lexend"/>
          <w:b/>
          <w:color w:val="183888"/>
          <w:sz w:val="24"/>
        </w:rPr>
        <w:t>Tier 2 — Divulgadores médicos masivos</w:t>
      </w:r>
    </w:p>
    <w:p>
      <w:pPr>
        <w:spacing w:after="120"/>
        <w:jc w:val="left"/>
      </w:pPr>
      <w:r>
        <w:rPr>
          <w:rFonts w:ascii="Lexend" w:hAnsi="Lexend"/>
          <w:b w:val="0"/>
          <w:i w:val="0"/>
          <w:color w:val="2C2C2C"/>
          <w:sz w:val="21"/>
        </w:rPr>
        <w:t>Médicos con alta visibilidad en TikTok e Instagram, audiencia mayoritaria paciente joven y adulto. Por definir en reclutamiento (figura tipo Dr. Vic, Dra. Isa Zapata). Pack mensual: 2 TikToks + 2 YouTube Shorts + 1 colaboración con paciente real en formato entrevista controlada.</w:t>
      </w:r>
    </w:p>
    <w:p>
      <w:pPr>
        <w:spacing w:before="200" w:after="80"/>
      </w:pPr>
      <w:r>
        <w:rPr>
          <w:rFonts w:ascii="Lexend" w:hAnsi="Lexend"/>
          <w:b/>
          <w:color w:val="183888"/>
          <w:sz w:val="24"/>
        </w:rPr>
        <w:t>Tier 3 — Personal de atención primaria</w:t>
      </w:r>
    </w:p>
    <w:p>
      <w:pPr>
        <w:spacing w:after="120"/>
        <w:jc w:val="left"/>
      </w:pPr>
      <w:r>
        <w:rPr>
          <w:rFonts w:ascii="Lexend" w:hAnsi="Lexend"/>
          <w:b w:val="0"/>
          <w:i w:val="0"/>
          <w:color w:val="2C2C2C"/>
          <w:sz w:val="21"/>
        </w:rPr>
        <w:t>Enfermeras divulgadoras y médicos de primer contacto con audiencia de paciente femenino adulto. Rol: testimonio de campo, validación práctica del mensaje. Pack mensual: 2 posts Facebook/Instagram + 3 Stories + un testimonio de campo.</w:t>
      </w:r>
    </w:p>
    <w:p>
      <w:pPr>
        <w:spacing w:before="280" w:after="120"/>
      </w:pPr>
      <w:r>
        <w:rPr>
          <w:rFonts w:ascii="Lexend" w:hAnsi="Lexend"/>
          <w:b/>
          <w:color w:val="30B8B0"/>
          <w:sz w:val="30"/>
        </w:rPr>
        <w:t>7.2 Pack de ciclo</w:t>
      </w:r>
    </w:p>
    <w:p>
      <w:pPr>
        <w:spacing w:after="120"/>
        <w:jc w:val="left"/>
      </w:pPr>
      <w:r>
        <w:rPr>
          <w:rFonts w:ascii="Lexend" w:hAnsi="Lexend"/>
          <w:b w:val="0"/>
          <w:i w:val="0"/>
          <w:color w:val="2C2C2C"/>
          <w:sz w:val="21"/>
        </w:rPr>
        <w:t>Cada KOL recibe mensualmente, vía URL privada desde el hub sistema_piezas, un pack que contiene:</w:t>
      </w:r>
    </w:p>
    <w:p>
      <w:pPr>
        <w:pStyle w:val="ListBullet"/>
        <w:spacing w:after="60"/>
        <w:ind w:left="432"/>
      </w:pPr>
      <w:r>
        <w:rPr>
          <w:rFonts w:ascii="Lexend" w:hAnsi="Lexend"/>
          <w:color w:val="2C2C2C"/>
          <w:sz w:val="21"/>
        </w:rPr>
        <w:t>Brief clínico del ciclo con las dos o tres referencias bibliográficas clave.</w:t>
      </w:r>
    </w:p>
    <w:p>
      <w:pPr>
        <w:pStyle w:val="ListBullet"/>
        <w:spacing w:after="60"/>
        <w:ind w:left="432"/>
      </w:pPr>
      <w:r>
        <w:rPr>
          <w:rFonts w:ascii="Lexend" w:hAnsi="Lexend"/>
          <w:color w:val="2C2C2C"/>
          <w:sz w:val="21"/>
        </w:rPr>
        <w:t>Copy sugerido en la voz personal del KOL, con variantes para cada plataforma donde publica.</w:t>
      </w:r>
    </w:p>
    <w:p>
      <w:pPr>
        <w:pStyle w:val="ListBullet"/>
        <w:spacing w:after="60"/>
        <w:ind w:left="432"/>
      </w:pPr>
      <w:r>
        <w:rPr>
          <w:rFonts w:ascii="Lexend" w:hAnsi="Lexend"/>
          <w:color w:val="2C2C2C"/>
          <w:sz w:val="21"/>
        </w:rPr>
        <w:t>Artes listas para publicar desde su cuenta con la paleta ligada a campaña: paleta navy-teal-dorado, sello AMG visible, hashtag #MéxicoSinCáncerGástrico.</w:t>
      </w:r>
    </w:p>
    <w:p>
      <w:pPr>
        <w:pStyle w:val="ListBullet"/>
        <w:spacing w:after="60"/>
        <w:ind w:left="432"/>
      </w:pPr>
      <w:r>
        <w:rPr>
          <w:rFonts w:ascii="Lexend" w:hAnsi="Lexend"/>
          <w:color w:val="2C2C2C"/>
          <w:sz w:val="21"/>
        </w:rPr>
        <w:t>Video introductorio de treinta segundos grabado por Carnot con contextualización del mes.</w:t>
      </w:r>
    </w:p>
    <w:p>
      <w:pPr>
        <w:pStyle w:val="ListBullet"/>
        <w:spacing w:after="60"/>
        <w:ind w:left="432"/>
      </w:pPr>
      <w:r>
        <w:rPr>
          <w:rFonts w:ascii="Lexend" w:hAnsi="Lexend"/>
          <w:color w:val="2C2C2C"/>
          <w:sz w:val="21"/>
        </w:rPr>
        <w:t>Guía de tres escenarios de conversación con pacientes/colegas para prepararse ante preguntas.</w:t>
      </w:r>
    </w:p>
    <w:p>
      <w:pPr>
        <w:spacing w:before="280" w:after="120"/>
      </w:pPr>
      <w:r>
        <w:rPr>
          <w:rFonts w:ascii="Lexend" w:hAnsi="Lexend"/>
          <w:b/>
          <w:color w:val="30B8B0"/>
          <w:sz w:val="30"/>
        </w:rPr>
        <w:t>7.3 Compliance y auditoría</w:t>
      </w:r>
    </w:p>
    <w:p>
      <w:pPr>
        <w:spacing w:after="120"/>
        <w:jc w:val="left"/>
      </w:pPr>
      <w:r>
        <w:rPr>
          <w:rFonts w:ascii="Lexend" w:hAnsi="Lexend"/>
          <w:b w:val="0"/>
          <w:i w:val="0"/>
          <w:color w:val="2C2C2C"/>
          <w:sz w:val="21"/>
        </w:rPr>
        <w:t>Todos los contratos KOL incluyen cláusula de compliance pharma (NOM-220-SSA1-2016, regulación COFEPRIS sobre promoción de medicamentos, autoregulación CETIFARMA), identificación visible de posts comerciales con hashtags #publicidad o #patrocinado cuando aplica, y derecho de auditoría post-publicación por parte del comité AMG. El KOL firma contrato directamente con Carnot; Polar opera como facilitador operativo y entrega el pack.</w:t>
      </w:r>
    </w:p>
    <w:p>
      <w:pPr>
        <w:spacing w:before="280" w:after="120"/>
      </w:pPr>
      <w:r>
        <w:rPr>
          <w:rFonts w:ascii="Lexend" w:hAnsi="Lexend"/>
          <w:b/>
          <w:color w:val="30B8B0"/>
          <w:sz w:val="30"/>
        </w:rPr>
        <w:t>7.4 Métricas propias de los KOLs</w:t>
      </w:r>
    </w:p>
    <w:p>
      <w:pPr>
        <w:spacing w:after="120"/>
        <w:jc w:val="left"/>
      </w:pPr>
      <w:r>
        <w:rPr>
          <w:rFonts w:ascii="Lexend" w:hAnsi="Lexend"/>
          <w:b w:val="0"/>
          <w:i w:val="0"/>
          <w:color w:val="2C2C2C"/>
          <w:sz w:val="21"/>
        </w:rPr>
        <w:t>Los KOLs se miden por separado del performance de las cuentas de marca:</w:t>
      </w:r>
    </w:p>
    <w:p>
      <w:pPr>
        <w:pStyle w:val="ListBullet"/>
        <w:spacing w:after="60"/>
        <w:ind w:left="432"/>
      </w:pPr>
      <w:r>
        <w:rPr>
          <w:rFonts w:ascii="Lexend" w:hAnsi="Lexend"/>
          <w:color w:val="2C2C2C"/>
          <w:sz w:val="21"/>
        </w:rPr>
        <w:t>Alcance orgánico por post: target 30 mil+ en Tier 1, 75 mil+ en Tier 2.</w:t>
      </w:r>
    </w:p>
    <w:p>
      <w:pPr>
        <w:pStyle w:val="ListBullet"/>
        <w:spacing w:after="60"/>
        <w:ind w:left="432"/>
      </w:pPr>
      <w:r>
        <w:rPr>
          <w:rFonts w:ascii="Lexend" w:hAnsi="Lexend"/>
          <w:color w:val="2C2C2C"/>
          <w:sz w:val="21"/>
        </w:rPr>
        <w:t>Engagement diferenciado entre audiencia HCP y paciente (determinado por análisis cualitativo de comentarios).</w:t>
      </w:r>
    </w:p>
    <w:p>
      <w:pPr>
        <w:pStyle w:val="ListBullet"/>
        <w:spacing w:after="60"/>
        <w:ind w:left="432"/>
      </w:pPr>
      <w:r>
        <w:rPr>
          <w:rFonts w:ascii="Lexend" w:hAnsi="Lexend"/>
          <w:color w:val="2C2C2C"/>
          <w:sz w:val="21"/>
        </w:rPr>
        <w:t>Citación por otros KOLs o profesionales (proxy de reputación).</w:t>
      </w:r>
    </w:p>
    <w:p>
      <w:pPr>
        <w:pStyle w:val="ListBullet"/>
        <w:spacing w:after="60"/>
        <w:ind w:left="432"/>
      </w:pPr>
      <w:r>
        <w:rPr>
          <w:rFonts w:ascii="Lexend" w:hAnsi="Lexend"/>
          <w:color w:val="2C2C2C"/>
          <w:sz w:val="21"/>
        </w:rPr>
        <w:t>Conversiones asignadas mediante links UTM únicos por KOL en landing page de detección.</w:t>
      </w:r>
    </w:p>
    <w:p>
      <w:r>
        <w:br w:type="page"/>
      </w:r>
    </w:p>
    <w:p>
      <w:pPr>
        <w:spacing w:before="360" w:after="200"/>
      </w:pPr>
      <w:r>
        <w:rPr>
          <w:rFonts w:ascii="Lexend" w:hAnsi="Lexend"/>
          <w:b/>
          <w:color w:val="183888"/>
          <w:sz w:val="44"/>
        </w:rPr>
        <w:t>8. Gobierno y SLAs entre las partes</w:t>
      </w:r>
    </w:p>
    <w:p>
      <w:pPr>
        <w:spacing w:after="120"/>
        <w:jc w:val="left"/>
      </w:pPr>
      <w:r>
        <w:rPr>
          <w:rFonts w:ascii="Lexend" w:hAnsi="Lexend"/>
          <w:b w:val="0"/>
          <w:i w:val="0"/>
          <w:color w:val="2C2C2C"/>
          <w:sz w:val="21"/>
        </w:rPr>
        <w:t>El sistema involucra cinco actores con roles y SLAs diferenciados:</w:t>
      </w:r>
    </w:p>
    <w:p>
      <w:pPr>
        <w:spacing w:before="280" w:after="120"/>
      </w:pPr>
      <w:r>
        <w:rPr>
          <w:rFonts w:ascii="Lexend" w:hAnsi="Lexend"/>
          <w:b/>
          <w:color w:val="30B8B0"/>
          <w:sz w:val="30"/>
        </w:rPr>
        <w:t>8.1 Polar Multimedia (orquestador)</w:t>
      </w:r>
    </w:p>
    <w:p>
      <w:pPr>
        <w:spacing w:after="120"/>
        <w:jc w:val="left"/>
      </w:pPr>
      <w:r>
        <w:rPr>
          <w:rFonts w:ascii="Lexend" w:hAnsi="Lexend"/>
          <w:b w:val="0"/>
          <w:i w:val="0"/>
          <w:color w:val="2C2C2C"/>
          <w:sz w:val="21"/>
        </w:rPr>
        <w:t>Responsable de: producción de piezas, operación del hub de revisión, mantenimiento de la Visita Médica PWA, gestión de pauta, entrega de packs KOL, performance reports. SLA interno: piezas del ciclo listas para revisión el miércoles de la semana cero del ciclo.</w:t>
      </w:r>
    </w:p>
    <w:p>
      <w:pPr>
        <w:spacing w:before="280" w:after="120"/>
      </w:pPr>
      <w:r>
        <w:rPr>
          <w:rFonts w:ascii="Lexend" w:hAnsi="Lexend"/>
          <w:b/>
          <w:color w:val="30B8B0"/>
          <w:sz w:val="30"/>
        </w:rPr>
        <w:t>8.2 Carnot Laboratorios (cliente y propietario de marca)</w:t>
      </w:r>
    </w:p>
    <w:p>
      <w:pPr>
        <w:spacing w:after="120"/>
        <w:jc w:val="left"/>
      </w:pPr>
      <w:r>
        <w:rPr>
          <w:rFonts w:ascii="Lexend" w:hAnsi="Lexend"/>
          <w:b w:val="0"/>
          <w:i w:val="0"/>
          <w:color w:val="2C2C2C"/>
          <w:sz w:val="21"/>
        </w:rPr>
        <w:t>Responsable de: validación clínica final, aprobación de compliance comercial, provisión de data de prescripciones Ki-CAB, comunicación con la fuerza de ventas. SLA: feedback de revisión entregado en 48 horas después de recibir el pack semanal.</w:t>
      </w:r>
    </w:p>
    <w:p>
      <w:pPr>
        <w:spacing w:before="280" w:after="120"/>
      </w:pPr>
      <w:r>
        <w:rPr>
          <w:rFonts w:ascii="Lexend" w:hAnsi="Lexend"/>
          <w:b/>
          <w:color w:val="30B8B0"/>
          <w:sz w:val="30"/>
        </w:rPr>
        <w:t>8.3 AMG Asociación Mexicana de Gastroenterología (aval científico)</w:t>
      </w:r>
    </w:p>
    <w:p>
      <w:pPr>
        <w:spacing w:after="120"/>
        <w:jc w:val="left"/>
      </w:pPr>
      <w:r>
        <w:rPr>
          <w:rFonts w:ascii="Lexend" w:hAnsi="Lexend"/>
          <w:b w:val="0"/>
          <w:i w:val="0"/>
          <w:color w:val="2C2C2C"/>
          <w:sz w:val="21"/>
        </w:rPr>
        <w:t>Responsable de: validación clínica del corpus de mensajes, aval del uso del escudo AMG, designación de vocero científico para el hub, auditoría periódica de contenido KOL. SLA: revisiones científicas atendidas en 72 horas, aprobaciones de escudo AMG en 24 horas.</w:t>
      </w:r>
    </w:p>
    <w:p>
      <w:pPr>
        <w:spacing w:before="280" w:after="120"/>
      </w:pPr>
      <w:r>
        <w:rPr>
          <w:rFonts w:ascii="Lexend" w:hAnsi="Lexend"/>
          <w:b/>
          <w:color w:val="30B8B0"/>
          <w:sz w:val="30"/>
        </w:rPr>
        <w:t>8.4 Fuerza de ventas Carnot (150 reps)</w:t>
      </w:r>
    </w:p>
    <w:p>
      <w:pPr>
        <w:spacing w:after="120"/>
        <w:jc w:val="left"/>
      </w:pPr>
      <w:r>
        <w:rPr>
          <w:rFonts w:ascii="Lexend" w:hAnsi="Lexend"/>
          <w:b w:val="0"/>
          <w:i w:val="0"/>
          <w:color w:val="2C2C2C"/>
          <w:sz w:val="21"/>
        </w:rPr>
        <w:t>Responsable de: uso operativo de la Visita Médica PWA en campo, captura de bitácora por médico visitado, sincronización cuando hay wifi de oficina. SLA interno: mínimo cuatro visitas sincronizadas por semana, 80% de QRs de seguimiento generados con datos completos.</w:t>
      </w:r>
    </w:p>
    <w:p>
      <w:pPr>
        <w:spacing w:before="280" w:after="120"/>
      </w:pPr>
      <w:r>
        <w:rPr>
          <w:rFonts w:ascii="Lexend" w:hAnsi="Lexend"/>
          <w:b/>
          <w:color w:val="30B8B0"/>
          <w:sz w:val="30"/>
        </w:rPr>
        <w:t>8.5 KOLs contratados</w:t>
      </w:r>
    </w:p>
    <w:p>
      <w:pPr>
        <w:spacing w:after="120"/>
        <w:jc w:val="left"/>
      </w:pPr>
      <w:r>
        <w:rPr>
          <w:rFonts w:ascii="Lexend" w:hAnsi="Lexend"/>
          <w:b w:val="0"/>
          <w:i w:val="0"/>
          <w:color w:val="2C2C2C"/>
          <w:sz w:val="21"/>
        </w:rPr>
        <w:t>Responsables de: publicación mensual según pack entregado, respuesta a comentarios clínicamente apropiados, disclosure adecuada, respeto a los lineamientos de compliance. SLA: publicación dentro de la semana agendada del ciclo, reporte mensual de métricas propias entregado el primer lunes del mes siguiente.</w:t>
      </w:r>
    </w:p>
    <w:p>
      <w:r>
        <w:br w:type="page"/>
      </w:r>
    </w:p>
    <w:p>
      <w:pPr>
        <w:spacing w:before="360" w:after="200"/>
      </w:pPr>
      <w:r>
        <w:rPr>
          <w:rFonts w:ascii="Lexend" w:hAnsi="Lexend"/>
          <w:b/>
          <w:color w:val="183888"/>
          <w:sz w:val="44"/>
        </w:rPr>
        <w:t>9. Siguientes pasos y roadmap</w:t>
      </w:r>
    </w:p>
    <w:p>
      <w:pPr>
        <w:spacing w:after="120"/>
        <w:jc w:val="left"/>
      </w:pPr>
      <w:r>
        <w:rPr>
          <w:rFonts w:ascii="Lexend" w:hAnsi="Lexend"/>
          <w:b w:val="0"/>
          <w:i w:val="0"/>
          <w:color w:val="2C2C2C"/>
          <w:sz w:val="21"/>
        </w:rPr>
        <w:t>El piloto actual cubre tres ciclos (mayo, junio, julio) como prueba de concepto del sistema completo. Los siguientes cinco ciclos se construyen incrementalmente sobre la misma arquitectura, agregando:</w:t>
      </w:r>
    </w:p>
    <w:p>
      <w:pPr>
        <w:pStyle w:val="ListBullet"/>
        <w:spacing w:after="60"/>
        <w:ind w:left="432"/>
      </w:pPr>
      <w:r>
        <w:rPr>
          <w:rFonts w:ascii="Lexend" w:hAnsi="Lexend"/>
          <w:color w:val="2C2C2C"/>
          <w:sz w:val="21"/>
        </w:rPr>
        <w:t>Ciclos 4-5 (agosto-septiembre): mapa de prevalencia México por estado en la PWA + timeline interactivo "del contagio al cáncer".</w:t>
      </w:r>
    </w:p>
    <w:p>
      <w:pPr>
        <w:pStyle w:val="ListBullet"/>
        <w:spacing w:after="60"/>
        <w:ind w:left="432"/>
      </w:pPr>
      <w:r>
        <w:rPr>
          <w:rFonts w:ascii="Lexend" w:hAnsi="Lexend"/>
          <w:color w:val="2C2C2C"/>
          <w:sz w:val="21"/>
        </w:rPr>
        <w:t>Ciclos 6-7 (octubre-noviembre): simulador de diálogo médico-paciente con ramificación de decisiones + generador de PDFs locales para entregar al médico.</w:t>
      </w:r>
    </w:p>
    <w:p>
      <w:pPr>
        <w:pStyle w:val="ListBullet"/>
        <w:spacing w:after="60"/>
        <w:ind w:left="432"/>
      </w:pPr>
      <w:r>
        <w:rPr>
          <w:rFonts w:ascii="Lexend" w:hAnsi="Lexend"/>
          <w:color w:val="2C2C2C"/>
          <w:sz w:val="21"/>
        </w:rPr>
        <w:t>Ciclo 8 (diciembre): dashboard de gerencia de fuerza de ventas con agregados de los 150 reps + modelo 3D .glb de alta fidelidad para el visor anatómico.</w:t>
      </w:r>
    </w:p>
    <w:p>
      <w:pPr>
        <w:spacing w:after="120"/>
        <w:jc w:val="left"/>
      </w:pPr>
      <w:r>
        <w:rPr>
          <w:rFonts w:ascii="Lexend" w:hAnsi="Lexend"/>
          <w:b w:val="0"/>
          <w:i w:val="0"/>
          <w:color w:val="2C2C2C"/>
          <w:sz w:val="21"/>
        </w:rPr>
        <w:t>Al cierre de la campaña 2026 se producirá un reporte de cierre institucional que servirá como caso de estudio para replicar el sistema en otras campañas Carnot (ciclo 2027 con otros productos) o para venderlo a nuevos clientes del sector pharma que enfrenten retos análogos de detección y educación al paciente con avales de sociedades médicas.</w:t>
      </w:r>
    </w:p>
    <w:p>
      <w:pPr>
        <w:spacing w:after="120"/>
        <w:jc w:val="left"/>
      </w:pPr>
      <w:r>
        <w:rPr>
          <w:rFonts w:ascii="Lexend" w:hAnsi="Lexend"/>
          <w:b w:val="0"/>
          <w:i w:val="0"/>
          <w:color w:val="2C2C2C"/>
          <w:sz w:val="21"/>
        </w:rPr>
      </w:r>
    </w:p>
    <w:p>
      <w:pPr>
        <w:spacing w:after="120"/>
        <w:jc w:val="left"/>
      </w:pPr>
      <w:r>
        <w:rPr>
          <w:rFonts w:ascii="Lexend" w:hAnsi="Lexend"/>
          <w:b w:val="0"/>
          <w:i w:val="0"/>
          <w:color w:val="2C2C2C"/>
          <w:sz w:val="21"/>
        </w:rPr>
      </w:r>
    </w:p>
    <w:p>
      <w:pPr>
        <w:spacing w:after="120"/>
        <w:jc w:val="center"/>
      </w:pPr>
      <w:r>
        <w:rPr>
          <w:rFonts w:ascii="Lexend" w:hAnsi="Lexend"/>
          <w:b w:val="0"/>
          <w:i/>
          <w:color w:val="6B7280"/>
          <w:sz w:val="20"/>
        </w:rPr>
        <w:t>— Fin del documento maestro —</w:t>
      </w:r>
    </w:p>
    <w:sectPr w:rsidR="00FC693F" w:rsidRPr="0006063C" w:rsidSect="00034616">
      <w:headerReference w:type="default" r:id="rId9"/>
      <w:pgSz w:w="12240" w:h="15840"/>
      <w:pgMar w:top="1728" w:right="1440" w:bottom="172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drawing>
        <wp:anchor distT="0" distB="0" distL="0" distR="0" simplePos="0" relativeHeight="251658240" behindDoc="1" locked="0" layoutInCell="1" allowOverlap="0">
          <wp:simplePos x="0" y="0"/>
          <wp:positionH relativeFrom="page">
            <wp:posOffset>0</wp:posOffset>
          </wp:positionH>
          <wp:positionV relativeFrom="page">
            <wp:posOffset>0</wp:posOffset>
          </wp:positionV>
          <wp:extent cx="7772400" cy="10058400"/>
          <wp:effectExtent l="0" t="0" r="0" b="0"/>
          <wp:wrapNone/>
          <wp:docPr id="901" name="Pola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ar_bg.png"/>
                  <pic:cNvPicPr/>
                </pic:nvPicPr>
                <pic:blipFill>
                  <a:blip r:embed="rIdBg"/>
                  <a:stretch>
                    <a:fillRect/>
                  </a:stretch>
                </pic:blipFill>
                <pic:spPr>
                  <a:xfrm>
                    <a:off x="0" y="0"/>
                    <a:ext cx="7772400" cy="10058400"/>
                  </a:xfrm>
                  <a:prstGeom prst="rect">
                    <a:avLst/>
                  </a:prstGeom>
                </pic:spPr>
              </pic:pic>
            </a:graphicData>
          </a:graphic>
        </wp:anchor>
      </w:drawing>
    </w:r>
  </w:p>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exend" w:hAnsi="Lexend"/>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
  <Relationship Id="rIdBg" Type="http://schemas.openxmlformats.org/officeDocument/2006/relationships/image" Target="media/polar_bg.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