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p>
    <w:p>
      <w:pPr>
        <w:spacing w:after="40"/>
        <w:jc w:val="center"/>
      </w:pPr>
      <w:r>
        <w:rPr>
          <w:rFonts w:ascii="Calibri" w:cs="Calibri" w:eastAsia="Calibri" w:hAnsi="Calibri"/>
          <w:b/>
          <w:bCs/>
          <w:color w:val="E0179D"/>
          <w:sz w:val="26"/>
          <w:szCs w:val="26"/>
        </w:rPr>
        <w:t xml:space="preserve">POLAR MULTIMEDIA</w:t>
      </w:r>
    </w:p>
    <w:p>
      <w:pPr>
        <w:spacing w:after="40"/>
        <w:jc w:val="center"/>
      </w:pPr>
      <w:r>
        <w:rPr>
          <w:rFonts w:ascii="Calibri" w:cs="Calibri" w:eastAsia="Calibri" w:hAnsi="Calibri"/>
          <w:color w:val="1A3A5C"/>
          <w:sz w:val="24"/>
          <w:szCs w:val="24"/>
        </w:rPr>
        <w:t xml:space="preserve">para Carnot Laboratorios</w:t>
      </w:r>
    </w:p>
    <w:p>
      <w:pPr>
        <w:pBdr>
          <w:bottom w:val="single" w:color="4ECBCA" w:sz="4" w:space="1"/>
        </w:pBdr>
        <w:spacing w:after="0"/>
      </w:pPr>
    </w:p>
    <w:p>
      <w:pPr>
        <w:spacing w:after="160" w:before="0"/>
      </w:pPr>
    </w:p>
    <w:p>
      <w:pPr>
        <w:spacing w:after="60"/>
        <w:jc w:val="center"/>
      </w:pPr>
      <w:r>
        <w:rPr>
          <w:rFonts w:ascii="Calibri" w:cs="Calibri" w:eastAsia="Calibri" w:hAnsi="Calibri"/>
          <w:b/>
          <w:bCs/>
          <w:color w:val="4ECBCA"/>
          <w:sz w:val="52"/>
          <w:szCs w:val="52"/>
        </w:rPr>
        <w:t xml:space="preserve">Ecosistema de Comunicación</w:t>
      </w:r>
    </w:p>
    <w:p>
      <w:pPr>
        <w:spacing w:after="80"/>
        <w:jc w:val="center"/>
      </w:pPr>
      <w:r>
        <w:rPr>
          <w:rFonts w:ascii="Calibri" w:cs="Calibri" w:eastAsia="Calibri" w:hAnsi="Calibri"/>
          <w:b/>
          <w:bCs/>
          <w:color w:val="4ECBCA"/>
          <w:sz w:val="52"/>
          <w:szCs w:val="52"/>
        </w:rPr>
        <w:t xml:space="preserve">Digital</w:t>
      </w:r>
    </w:p>
    <w:p>
      <w:pPr>
        <w:spacing w:after="160"/>
        <w:jc w:val="center"/>
      </w:pPr>
      <w:r>
        <w:rPr>
          <w:rFonts w:ascii="Calibri" w:cs="Calibri" w:eastAsia="Calibri" w:hAnsi="Calibri"/>
          <w:b/>
          <w:bCs/>
          <w:color w:val="1A3A5C"/>
          <w:sz w:val="36"/>
          <w:szCs w:val="36"/>
        </w:rPr>
        <w:t xml:space="preserve">para Gastrical.com</w:t>
      </w:r>
    </w:p>
    <w:p>
      <w:pPr>
        <w:spacing w:after="80"/>
        <w:jc w:val="center"/>
      </w:pPr>
      <w:r>
        <w:rPr>
          <w:rFonts w:ascii="Calibri" w:cs="Calibri" w:eastAsia="Calibri" w:hAnsi="Calibri"/>
          <w:color w:val="2C2C2C"/>
          <w:sz w:val="24"/>
          <w:szCs w:val="24"/>
        </w:rPr>
        <w:t xml:space="preserve">Propuesta de Servicio · Acceso 2026</w:t>
      </w:r>
    </w:p>
    <w:p>
      <w:pPr>
        <w:spacing w:after="160" w:before="0"/>
      </w:pPr>
    </w:p>
    <w:p>
      <w:pPr>
        <w:spacing w:after="0"/>
        <w:jc w:val="center"/>
      </w:pPr>
      <w:r>
        <w:rPr>
          <w:rFonts w:ascii="Calibri" w:cs="Calibri" w:eastAsia="Calibri" w:hAnsi="Calibri"/>
          <w:b/>
          <w:bCs/>
          <w:color w:val="F47B20"/>
          <w:sz w:val="22"/>
          <w:szCs w:val="22"/>
        </w:rPr>
        <w:t xml:space="preserve">Marzo 2026  ·  Confidencial</w:t>
      </w:r>
    </w:p>
    <w:p>
      <w:r>
        <w:br w:type="page"/>
      </w:r>
    </w:p>
    <w:p>
      <w:pPr>
        <w:pStyle w:val="Heading1"/>
        <w:pBdr>
          <w:bottom w:val="single" w:color="4ECBCA" w:sz="3" w:space="2"/>
        </w:pBdr>
        <w:spacing w:after="80" w:before="280"/>
      </w:pPr>
      <w:r>
        <w:rPr>
          <w:rFonts w:ascii="Calibri" w:cs="Calibri" w:eastAsia="Calibri" w:hAnsi="Calibri"/>
          <w:b/>
          <w:bCs/>
          <w:color w:val="4ECBCA"/>
          <w:sz w:val="28"/>
          <w:szCs w:val="28"/>
        </w:rPr>
        <w:t xml:space="preserve">1. Contexto</w:t>
      </w:r>
    </w:p>
    <w:p>
      <w:pPr>
        <w:spacing w:after="160" w:before="0"/>
      </w:pPr>
      <w:r>
        <w:rPr>
          <w:rFonts w:ascii="Calibri" w:cs="Calibri" w:eastAsia="Calibri" w:hAnsi="Calibri"/>
          <w:color w:val="2C2C2C"/>
          <w:sz w:val="22"/>
          <w:szCs w:val="22"/>
        </w:rPr>
        <w:t xml:space="preserve">El Helicobacter pylori es la infección bacteriana más común en el mundo. En México, siete de cada diez personas la alojan en el estómago — la mayoría sin saberlo. La bacteria vive en silencio, sin síntomas claros, inflamando lentamente la mucosa gástrica durante años. Cuando finalmente se manifiesta, puede ya haber derivado en gastritis crónica, úlcera péptica o, en los casos más graves, cáncer gástrico.</w:t>
      </w:r>
    </w:p>
    <w:p>
      <w:pPr>
        <w:spacing w:after="160" w:before="0"/>
      </w:pPr>
      <w:r>
        <w:rPr>
          <w:rFonts w:ascii="Calibri" w:cs="Calibri" w:eastAsia="Calibri" w:hAnsi="Calibri"/>
          <w:color w:val="2C2C2C"/>
          <w:sz w:val="22"/>
          <w:szCs w:val="22"/>
        </w:rPr>
        <w:t xml:space="preserve">A pesar de su magnitud, H. pylori carece de una voz digital confiable, accesible y médicamente sólida en México. Los pacientes buscan información en sus teléfonos y encuentran contenido disperso, sin respaldo científico y sin orientación práctica. Los médicos, por su parte, no tienen un espacio digital donde acceder a actualizaciones clínicas relevantes, protocolos de erradicación vigentes y materiales de apoyo para la prescripción.</w:t>
      </w:r>
    </w:p>
    <w:p>
      <w:pPr>
        <w:spacing w:after="160" w:before="0"/>
      </w:pPr>
      <w:r>
        <w:rPr>
          <w:rFonts w:ascii="Calibri" w:cs="Calibri" w:eastAsia="Calibri" w:hAnsi="Calibri"/>
          <w:color w:val="2C2C2C"/>
          <w:sz w:val="22"/>
          <w:szCs w:val="22"/>
        </w:rPr>
        <w:t xml:space="preserve">Ki-Cab, el producto de Carnot Laboratorios para el tratamiento de H. pylori, enfrenta una paradoja frecuente en el mercado Rx: su molécula resuelve uno de los problemas de salud más prevalentes del país, pero la regulación le impide comunicarse directamente con el paciente que más lo necesita escuchar. La oportunidad está en construir el puente que hoy no existe — un ecosistema digital independiente, avalado médicamente, que eduque al paciente y provea herramientas al especialista al mismo tiempo.</w:t>
      </w:r>
    </w:p>
    <w:p>
      <w:pPr>
        <w:pStyle w:val="Heading1"/>
        <w:pBdr>
          <w:bottom w:val="single" w:color="4ECBCA" w:sz="3" w:space="2"/>
        </w:pBdr>
        <w:spacing w:after="80" w:before="280"/>
      </w:pPr>
      <w:r>
        <w:rPr>
          <w:rFonts w:ascii="Calibri" w:cs="Calibri" w:eastAsia="Calibri" w:hAnsi="Calibri"/>
          <w:b/>
          <w:bCs/>
          <w:color w:val="4ECBCA"/>
          <w:sz w:val="28"/>
          <w:szCs w:val="28"/>
        </w:rPr>
        <w:t xml:space="preserve">2. La Propuesta</w:t>
      </w:r>
    </w:p>
    <w:p>
      <w:pPr>
        <w:spacing w:after="160" w:before="0"/>
      </w:pPr>
      <w:r>
        <w:rPr>
          <w:rFonts w:ascii="Calibri" w:cs="Calibri" w:eastAsia="Calibri" w:hAnsi="Calibri"/>
          <w:color w:val="2C2C2C"/>
          <w:sz w:val="22"/>
          <w:szCs w:val="22"/>
        </w:rPr>
        <w:t xml:space="preserve">Polar Multimedia diseña, opera y gestiona Gastrical.com: un ecosistema de comunicación digital de salud gástrica articulado en tres componentes que funcionan como un sistema integrado. Un medio digital propio de divulgación sobre H. pylori y salud gástrica dirigido al público general, un portal de acceso restringido para especialistas donde Ki-Cab puede comunicarse directamente con el médico prescriptor, y una presencia activa en cuatro plataformas de redes sociales que alimenta ambas audiencias de forma simultánea.</w:t>
      </w:r>
    </w:p>
    <w:p>
      <w:pPr>
        <w:spacing w:after="160" w:before="0"/>
      </w:pPr>
      <w:r>
        <w:rPr>
          <w:rFonts w:ascii="Calibri" w:cs="Calibri" w:eastAsia="Calibri" w:hAnsi="Calibri"/>
          <w:color w:val="2C2C2C"/>
          <w:sz w:val="22"/>
          <w:szCs w:val="22"/>
        </w:rPr>
        <w:t xml:space="preserve">El motor que impulsa el ecosistema completo es un sistema de curación permanente de información científica y periodística global: investigaciones, consensos, guías clínicas y noticias de salud gástrica relevantes, seleccionadas, verificadas y adaptadas de forma continua. Este flujo de contenido curado alimenta simultáneamente el portal público, el área HCP y las redes sociales, garantizando coherencia, volumen y relevancia sin generar contenido desde cero para cada canal.</w:t>
      </w:r>
    </w:p>
    <w:p>
      <w:pPr>
        <w:spacing w:after="160" w:before="0"/>
      </w:pPr>
      <w:r>
        <w:rPr>
          <w:rFonts w:ascii="Calibri" w:cs="Calibri" w:eastAsia="Calibri" w:hAnsi="Calibri"/>
          <w:color w:val="2C2C2C"/>
          <w:sz w:val="22"/>
          <w:szCs w:val="22"/>
        </w:rPr>
        <w:t xml:space="preserve">Gastrical.com opera con el aval institucional de la Asociación Mexicana de Gastroenterología (AMG) y de su presidenta, la Dra. Alejandra Noble. El aval se aplica de forma selectiva: sobre las piezas de mayor impacto clínico que lo requieren, preservando el valor del sello y la credibilidad del hub.</w:t>
      </w:r>
    </w:p>
    <w:p>
      <w:pPr>
        <w:pStyle w:val="Heading1"/>
        <w:pBdr>
          <w:bottom w:val="single" w:color="4ECBCA" w:sz="3" w:space="2"/>
        </w:pBdr>
        <w:spacing w:after="80" w:before="280"/>
      </w:pPr>
      <w:r>
        <w:rPr>
          <w:rFonts w:ascii="Calibri" w:cs="Calibri" w:eastAsia="Calibri" w:hAnsi="Calibri"/>
          <w:b/>
          <w:bCs/>
          <w:color w:val="4ECBCA"/>
          <w:sz w:val="28"/>
          <w:szCs w:val="28"/>
        </w:rPr>
        <w:t xml:space="preserve">3. Los Tres Componentes del Ecosistema</w:t>
      </w:r>
    </w:p>
    <w:p>
      <w:pPr>
        <w:spacing w:after="60" w:before="200"/>
      </w:pPr>
      <w:r>
        <w:rPr>
          <w:rFonts w:ascii="Calibri" w:cs="Calibri" w:eastAsia="Calibri" w:hAnsi="Calibri"/>
          <w:b/>
          <w:bCs/>
          <w:color w:val="E0179D"/>
          <w:sz w:val="20"/>
          <w:szCs w:val="20"/>
        </w:rPr>
        <w:t xml:space="preserve">COMPONENTE 1 — GASTRICAL.COM: EL MEDIO DIGITAL DE SALUD GÁSTRICA</w:t>
      </w:r>
    </w:p>
    <w:p>
      <w:pPr>
        <w:spacing w:after="160" w:before="0"/>
      </w:pPr>
      <w:r>
        <w:rPr>
          <w:rFonts w:ascii="Calibri" w:cs="Calibri" w:eastAsia="Calibri" w:hAnsi="Calibri"/>
          <w:color w:val="2C2C2C"/>
          <w:sz w:val="22"/>
          <w:szCs w:val="22"/>
        </w:rPr>
        <w:t xml:space="preserve">Un portal digital de divulgación científica sobre H. pylori y salud gástrica, construido y operado por Polar Multimedia bajo la identidad propia de Gastrical.com — sin ninguna asociación explícita con una marca farmacéutica. El portal publica de forma continua artículos, infografías y videos sobre H. pylori, gastritis crónica, úlcera péptica, cáncer gástrico y prevención — y cubre el espectro amplio de temas que interesan al perfil del paciente: alimentación y salud digestiva, señales de alerta, diagnóstico temprano y hábitos de cuidado gástrico.</w:t>
      </w:r>
    </w:p>
    <w:p>
      <w:pPr>
        <w:spacing w:after="160" w:before="0"/>
      </w:pPr>
      <w:r>
        <w:rPr>
          <w:rFonts w:ascii="Calibri" w:cs="Calibri" w:eastAsia="Calibri" w:hAnsi="Calibri"/>
          <w:color w:val="2C2C2C"/>
          <w:sz w:val="22"/>
          <w:szCs w:val="22"/>
        </w:rPr>
        <w:t xml:space="preserve">El portal no es un blog de marca — es un medio editorial independiente que genera confianza orgánica, posiciona a Carnot como referente en salud gástrica y construye audiencia propia. El contenido de Gastrical.com convive con la narrativa de Ki-Cab de forma velada: educando sobre la enfermedad y el valor de un tratamiento eficaz sin nombrar al producto. Todo el tráfico y la audiencia generados son propiedad de Carnot.</w:t>
      </w:r>
    </w:p>
    <w:p>
      <w:pPr>
        <w:spacing w:after="60" w:before="200"/>
      </w:pPr>
      <w:r>
        <w:rPr>
          <w:rFonts w:ascii="Calibri" w:cs="Calibri" w:eastAsia="Calibri" w:hAnsi="Calibri"/>
          <w:b/>
          <w:bCs/>
          <w:color w:val="E0179D"/>
          <w:sz w:val="20"/>
          <w:szCs w:val="20"/>
        </w:rPr>
        <w:t xml:space="preserve">COMPONENTE 2 — ÁREA HCP: PORTAL DE ESPECIALISTAS CON ACCESO VERIFICADO</w:t>
      </w:r>
    </w:p>
    <w:p>
      <w:pPr>
        <w:spacing w:after="160" w:before="0"/>
      </w:pPr>
      <w:r>
        <w:rPr>
          <w:rFonts w:ascii="Calibri" w:cs="Calibri" w:eastAsia="Calibri" w:hAnsi="Calibri"/>
          <w:color w:val="2C2C2C"/>
          <w:sz w:val="22"/>
          <w:szCs w:val="22"/>
        </w:rPr>
        <w:t xml:space="preserve">Una sección de acceso restringido dentro de Gastrical.com, exclusiva para profesionales de salud con cédula profesional verificada. A diferencia del portal público, en esta área Ki-Cab puede comunicarse directamente con el médico prescriptor: documentos clínicos, estudios de eficacia y seguridad, esquemas de erradicación, fichas técnicas y materiales de apoyo para la práctica.</w:t>
      </w:r>
    </w:p>
    <w:p>
      <w:pPr>
        <w:spacing w:after="160" w:before="0"/>
      </w:pPr>
      <w:r>
        <w:rPr>
          <w:rFonts w:ascii="Calibri" w:cs="Calibri" w:eastAsia="Calibri" w:hAnsi="Calibri"/>
          <w:color w:val="2C2C2C"/>
          <w:sz w:val="22"/>
          <w:szCs w:val="22"/>
        </w:rPr>
        <w:t xml:space="preserve">El acceso se verifica en tiempo real mediante consulta automática al Registro Nacional de Profesionistas de la SEP (RENAMECC). Al ingresar su número de cédula, el sistema valida nombre, especialidad y vigencia del registro. Los gastroenterólogos y médicos internistas obtienen acceso al nivel más completo de contenido; los médicos generales y otras especialidades acceden a materiales educativos clínicos. Ningún paciente puede ingresar a esta sección.</w:t>
      </w:r>
    </w:p>
    <w:p>
      <w:pPr>
        <w:spacing w:after="60" w:before="200"/>
      </w:pPr>
      <w:r>
        <w:rPr>
          <w:rFonts w:ascii="Calibri" w:cs="Calibri" w:eastAsia="Calibri" w:hAnsi="Calibri"/>
          <w:b/>
          <w:bCs/>
          <w:color w:val="E0179D"/>
          <w:sz w:val="20"/>
          <w:szCs w:val="20"/>
        </w:rPr>
        <w:t xml:space="preserve">COMPONENTE 3 — ECOSISTEMA ACTIVO EN REDES SOCIALES</w:t>
      </w:r>
    </w:p>
    <w:p>
      <w:pPr>
        <w:spacing w:after="160" w:before="0"/>
      </w:pPr>
      <w:r>
        <w:rPr>
          <w:rFonts w:ascii="Calibri" w:cs="Calibri" w:eastAsia="Calibri" w:hAnsi="Calibri"/>
          <w:color w:val="2C2C2C"/>
          <w:sz w:val="22"/>
          <w:szCs w:val="22"/>
        </w:rPr>
        <w:t xml:space="preserve">El contenido del portal se distribuye de forma estratégica en cuatro plataformas: Instagram, Facebook, LinkedIn y X. Cada red recibe el mismo tema de la semana reinterpretado en el formato, tono y extensión adecuados para su audiencia. Instagram y Facebook hablan al paciente y su entorno familiar; LinkedIn y X construyen presencia ante la comunidad médica, especialistas y líderes de opinión en salud. La frecuencia base es de tres publicaciones por semana en cada plataforma, con distinción clara entre activos dirigidos a pacientes y activos dirigidos a especialistas.</w:t>
      </w:r>
    </w:p>
    <w:p>
      <w:pPr>
        <w:pStyle w:val="Heading1"/>
        <w:pBdr>
          <w:bottom w:val="single" w:color="4ECBCA" w:sz="3" w:space="2"/>
        </w:pBdr>
        <w:spacing w:after="80" w:before="280"/>
      </w:pPr>
      <w:r>
        <w:rPr>
          <w:rFonts w:ascii="Calibri" w:cs="Calibri" w:eastAsia="Calibri" w:hAnsi="Calibri"/>
          <w:b/>
          <w:bCs/>
          <w:color w:val="4ECBCA"/>
          <w:sz w:val="28"/>
          <w:szCs w:val="28"/>
        </w:rPr>
        <w:t xml:space="preserve">4. Tipos de Contenido por Plataforma</w:t>
      </w:r>
    </w:p>
    <w:p>
      <w:pPr>
        <w:spacing w:after="160" w:before="0"/>
      </w:pPr>
      <w:r>
        <w:rPr>
          <w:rFonts w:ascii="Calibri" w:cs="Calibri" w:eastAsia="Calibri" w:hAnsi="Calibri"/>
          <w:color w:val="2C2C2C"/>
          <w:sz w:val="22"/>
          <w:szCs w:val="22"/>
        </w:rPr>
        <w:t xml:space="preserve">Todo el contenido parte de la misma fuente: el sistema de curación semanal. A partir de los temas seleccionados, cada pieza se produce en dos versiones simultáneas — una para pacientes y una para especialistas — y se adapta al formato nativo de cada canal.</w:t>
      </w:r>
    </w:p>
    <w:p>
      <w:pPr>
        <w:spacing w:after="80" w:before="0"/>
      </w:pPr>
    </w:p>
    <w:p>
      <w:pPr>
        <w:spacing w:after="60" w:before="200"/>
      </w:pPr>
      <w:r>
        <w:rPr>
          <w:rFonts w:ascii="Calibri" w:cs="Calibri" w:eastAsia="Calibri" w:hAnsi="Calibri"/>
          <w:b/>
          <w:bCs/>
          <w:color w:val="E0179D"/>
          <w:sz w:val="20"/>
          <w:szCs w:val="20"/>
        </w:rPr>
        <w:t xml:space="preserve">INSTAGRAM — PACIENTES Y PÚBLICO GENERAL 25–55 AÑOS, USUARIOS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Formato</w:t>
            </w:r>
          </w:p>
        </w:tc>
        <w:tc>
          <w:tcPr>
            <w:tcW w:type="dxa" w:w="476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Descripción</w:t>
            </w:r>
          </w:p>
        </w:tc>
        <w:tc>
          <w:tcPr>
            <w:tcW w:type="dxa" w:w="22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Frecuencia</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Carrusel educativo</w:t>
            </w:r>
          </w:p>
        </w:tc>
        <w:tc>
          <w:tcPr>
            <w:tcW w:type="dxa" w:w="4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Serie de 5–8 imágenes con datos, mitos o consejos sobre H. pylori y salud gástrica.</w:t>
            </w:r>
          </w:p>
        </w:tc>
        <w:tc>
          <w:tcPr>
            <w:tcW w:type="dxa" w:w="22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Reel / clip educativo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Video de 30–60 seg con dato impactante o consejo práctico.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Post de imagen</w:t>
            </w:r>
          </w:p>
        </w:tc>
        <w:tc>
          <w:tcPr>
            <w:tcW w:type="dxa" w:w="4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Dato sorprendente o señal de alerta con diseño visual de marca.</w:t>
            </w:r>
          </w:p>
        </w:tc>
        <w:tc>
          <w:tcPr>
            <w:tcW w:type="dxa" w:w="22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bl>
    <w:p>
      <w:pPr>
        <w:spacing w:after="40" w:before="0"/>
      </w:pPr>
    </w:p>
    <w:p>
      <w:pPr>
        <w:spacing w:after="160" w:before="0"/>
      </w:pPr>
      <w:r>
        <w:rPr>
          <w:rFonts w:ascii="Calibri" w:cs="Calibri" w:eastAsia="Calibri" w:hAnsi="Calibri"/>
          <w:color w:val="2C2C2C"/>
          <w:sz w:val="22"/>
          <w:szCs w:val="22"/>
        </w:rPr>
        <w:t xml:space="preserve">Tono: Cercano, empático, visual. Sin lenguaje médico. Que el paciente sienta que alguien le habla de verdad.</w:t>
      </w:r>
    </w:p>
    <w:p>
      <w:pPr>
        <w:spacing w:after="80" w:before="0"/>
      </w:pPr>
    </w:p>
    <w:p>
      <w:pPr>
        <w:spacing w:after="60" w:before="200"/>
      </w:pPr>
      <w:r>
        <w:rPr>
          <w:rFonts w:ascii="Calibri" w:cs="Calibri" w:eastAsia="Calibri" w:hAnsi="Calibri"/>
          <w:b/>
          <w:bCs/>
          <w:color w:val="E0179D"/>
          <w:sz w:val="20"/>
          <w:szCs w:val="20"/>
        </w:rPr>
        <w:t xml:space="preserve">FACEBOOK — PACIENTES 40–65 AÑOS Y SUS FAMILIAS, LECTORES CON MAYOR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Formato</w:t>
            </w:r>
          </w:p>
        </w:tc>
        <w:tc>
          <w:tcPr>
            <w:tcW w:type="dxa" w:w="476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Descripción</w:t>
            </w:r>
          </w:p>
        </w:tc>
        <w:tc>
          <w:tcPr>
            <w:tcW w:type="dxa" w:w="22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Frecuencia</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Artículo enlazado</w:t>
            </w:r>
          </w:p>
        </w:tc>
        <w:tc>
          <w:tcPr>
            <w:tcW w:type="dxa" w:w="4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Post con extracto del artículo del portal y link de lectura completa en Gastrical.com.</w:t>
            </w:r>
          </w:p>
        </w:tc>
        <w:tc>
          <w:tcPr>
            <w:tcW w:type="dxa" w:w="22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Video embebido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Video educativo publicado directamente (2–4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Post de conversación</w:t>
            </w:r>
          </w:p>
        </w:tc>
        <w:tc>
          <w:tcPr>
            <w:tcW w:type="dxa" w:w="4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Pregunta o dato que invita a comentar: ¿Sabías que...?</w:t>
            </w:r>
          </w:p>
        </w:tc>
        <w:tc>
          <w:tcPr>
            <w:tcW w:type="dxa" w:w="22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bl>
    <w:p>
      <w:pPr>
        <w:spacing w:after="40" w:before="0"/>
      </w:pPr>
    </w:p>
    <w:p>
      <w:pPr>
        <w:spacing w:after="160" w:before="0"/>
      </w:pPr>
      <w:r>
        <w:rPr>
          <w:rFonts w:ascii="Calibri" w:cs="Calibri" w:eastAsia="Calibri" w:hAnsi="Calibri"/>
          <w:color w:val="2C2C2C"/>
          <w:sz w:val="22"/>
          <w:szCs w:val="22"/>
        </w:rPr>
        <w:t xml:space="preserve">Tono: Editorial, informativo y accesible. Genera conversación y derivación al portal.</w:t>
      </w:r>
    </w:p>
    <w:p>
      <w:pPr>
        <w:spacing w:after="80" w:before="0"/>
      </w:pPr>
    </w:p>
    <w:p>
      <w:pPr>
        <w:spacing w:after="60" w:before="200"/>
      </w:pPr>
      <w:r>
        <w:rPr>
          <w:rFonts w:ascii="Calibri" w:cs="Calibri" w:eastAsia="Calibri" w:hAnsi="Calibri"/>
          <w:b/>
          <w:bCs/>
          <w:color w:val="E0179D"/>
          <w:sz w:val="20"/>
          <w:szCs w:val="20"/>
        </w:rPr>
        <w:t xml:space="preserve">LINKEDIN — MÉDICOS, ESPECIALISTAS, GERENTES DE SALUD, COMUNIDAD FARMACÉUTICA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Formato</w:t>
            </w:r>
          </w:p>
        </w:tc>
        <w:tc>
          <w:tcPr>
            <w:tcW w:type="dxa" w:w="476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Descripción</w:t>
            </w:r>
          </w:p>
        </w:tc>
        <w:tc>
          <w:tcPr>
            <w:tcW w:type="dxa" w:w="22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Frecuencia</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Dato clínico</w:t>
            </w:r>
          </w:p>
        </w:tc>
        <w:tc>
          <w:tcPr>
            <w:tcW w:type="dxa" w:w="4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Estadística o hallazgo científico relevante con fuente verificada y contexto México.</w:t>
            </w:r>
          </w:p>
        </w:tc>
        <w:tc>
          <w:tcPr>
            <w:tcW w:type="dxa" w:w="22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Artículo de posicionamiento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Actualización terapéutica o tendencia que sitúa a Gastrical.com como referente clínico.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Noticia contextualizada</w:t>
            </w:r>
          </w:p>
        </w:tc>
        <w:tc>
          <w:tcPr>
            <w:tcW w:type="dxa" w:w="4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Investigación o consenso internacional adaptado al entorno mexicano.</w:t>
            </w:r>
          </w:p>
        </w:tc>
        <w:tc>
          <w:tcPr>
            <w:tcW w:type="dxa" w:w="22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bl>
    <w:p>
      <w:pPr>
        <w:spacing w:after="40" w:before="0"/>
      </w:pPr>
    </w:p>
    <w:p>
      <w:pPr>
        <w:spacing w:after="160" w:before="0"/>
      </w:pPr>
      <w:r>
        <w:rPr>
          <w:rFonts w:ascii="Calibri" w:cs="Calibri" w:eastAsia="Calibri" w:hAnsi="Calibri"/>
          <w:color w:val="2C2C2C"/>
          <w:sz w:val="22"/>
          <w:szCs w:val="22"/>
        </w:rPr>
        <w:t xml:space="preserve">Tono: Profesional, basado en evidencia. CTA al Área HCP para acceso a contenido completo.</w:t>
      </w:r>
    </w:p>
    <w:p>
      <w:pPr>
        <w:spacing w:after="80" w:before="0"/>
      </w:pPr>
    </w:p>
    <w:p>
      <w:pPr>
        <w:spacing w:after="60" w:before="200"/>
      </w:pPr>
      <w:r>
        <w:rPr>
          <w:rFonts w:ascii="Calibri" w:cs="Calibri" w:eastAsia="Calibri" w:hAnsi="Calibri"/>
          <w:b/>
          <w:bCs/>
          <w:color w:val="E0179D"/>
          <w:sz w:val="20"/>
          <w:szCs w:val="20"/>
        </w:rPr>
        <w:t xml:space="preserve">X / TWITTER — MIXTA: MÉDICOS, PERIODISTAS DE SALUD, PACIENTES INFORMADOS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Formato</w:t>
            </w:r>
          </w:p>
        </w:tc>
        <w:tc>
          <w:tcPr>
            <w:tcW w:type="dxa" w:w="476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Descripción</w:t>
            </w:r>
          </w:p>
        </w:tc>
        <w:tc>
          <w:tcPr>
            <w:tcW w:type="dxa" w:w="22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Frecuencia</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Dato de impacto</w:t>
            </w:r>
          </w:p>
        </w:tc>
        <w:tc>
          <w:tcPr>
            <w:tcW w:type="dxa" w:w="4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Un hecho sorprendente en 280 caracteres con imagen de apoyo.</w:t>
            </w:r>
          </w:p>
        </w:tc>
        <w:tc>
          <w:tcPr>
            <w:tcW w:type="dxa" w:w="22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Hilo temático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4–6 tweets desarrollando un tema: "5 cosas sobre H. pylori que nadie te ha dicho".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Reacción a noticia</w:t>
            </w:r>
          </w:p>
        </w:tc>
        <w:tc>
          <w:tcPr>
            <w:tcW w:type="dxa" w:w="4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Comentario ágil sobre publicación o evento de salud gástrica del momento.</w:t>
            </w:r>
          </w:p>
        </w:tc>
        <w:tc>
          <w:tcPr>
            <w:tcW w:type="dxa" w:w="22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 por semana</w:t>
            </w:r>
          </w:p>
        </w:tc>
      </w:tr>
    </w:tbl>
    <w:p>
      <w:pPr>
        <w:spacing w:after="40" w:before="0"/>
      </w:pPr>
    </w:p>
    <w:p>
      <w:pPr>
        <w:spacing w:after="160" w:before="0"/>
      </w:pPr>
      <w:r>
        <w:rPr>
          <w:rFonts w:ascii="Calibri" w:cs="Calibri" w:eastAsia="Calibri" w:hAnsi="Calibri"/>
          <w:color w:val="2C2C2C"/>
          <w:sz w:val="22"/>
          <w:szCs w:val="22"/>
        </w:rPr>
        <w:t xml:space="preserve">Tono: Directo, sin ambigüedad. Genera debate y republicaciones en la comunidad médica.</w:t>
      </w:r>
    </w:p>
    <w:p>
      <w:pPr>
        <w:spacing w:after="160" w:before="0"/>
      </w:pPr>
    </w:p>
    <w:p>
      <w:pPr>
        <w:pStyle w:val="Heading1"/>
        <w:pBdr>
          <w:bottom w:val="single" w:color="4ECBCA" w:sz="3" w:space="2"/>
        </w:pBdr>
        <w:spacing w:after="80" w:before="280"/>
      </w:pPr>
      <w:r>
        <w:rPr>
          <w:rFonts w:ascii="Calibri" w:cs="Calibri" w:eastAsia="Calibri" w:hAnsi="Calibri"/>
          <w:b/>
          <w:bCs/>
          <w:color w:val="4ECBCA"/>
          <w:sz w:val="28"/>
          <w:szCs w:val="28"/>
        </w:rPr>
        <w:t xml:space="preserve">5. Los Cinco Pilares Temáticos</w:t>
      </w:r>
    </w:p>
    <w:p>
      <w:pPr>
        <w:spacing w:after="160" w:before="0"/>
      </w:pPr>
      <w:r>
        <w:rPr>
          <w:rFonts w:ascii="Calibri" w:cs="Calibri" w:eastAsia="Calibri" w:hAnsi="Calibri"/>
          <w:color w:val="2C2C2C"/>
          <w:sz w:val="22"/>
          <w:szCs w:val="22"/>
        </w:rPr>
        <w:t xml:space="preserve">Cada semana, todos los contenidos de las cuatro plataformas y el portal giran en torno a un mismo pilar temático. Esto garantiza coherencia editorial, facilita la producción y da a la audiencia un hilo narrativo continuo a lo largo del mes.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Pilar</w:t>
            </w:r>
          </w:p>
        </w:tc>
        <w:tc>
          <w:tcPr>
            <w:tcW w:type="dxa" w:w="356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Enfoque</w:t>
            </w:r>
          </w:p>
        </w:tc>
        <w:tc>
          <w:tcPr>
            <w:tcW w:type="dxa" w:w="34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Ejemplo de tema semanal</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La bacteria silenciosa</w:t>
            </w:r>
          </w:p>
        </w:tc>
        <w:tc>
          <w:tcPr>
            <w:tcW w:type="dxa" w:w="35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Qué es H. pylori, cómo actúa, por qué el 70% de los mexicanos la tiene sin saberlo.</w:t>
            </w:r>
          </w:p>
        </w:tc>
        <w:tc>
          <w:tcPr>
            <w:tcW w:type="dxa" w:w="3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"7 de cada 10 mexicanos la tienen. ¿Y tú?"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Señales y alarmas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Síntomas, factores de riesgo, cuándo consultar, cómo distinguir gastritis de algo más grave.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"Tu estómago te avisa. ¿Lo estás escuchando?"</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El camino al diagnóstico</w:t>
            </w:r>
          </w:p>
        </w:tc>
        <w:tc>
          <w:tcPr>
            <w:tcW w:type="dxa" w:w="35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Tipos de pruebas disponibles, qué esperar, por qué confirmar la infección antes de tratar.</w:t>
            </w:r>
          </w:p>
        </w:tc>
        <w:tc>
          <w:tcPr>
            <w:tcW w:type="dxa" w:w="3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"Detectarla es el primer paso. Aquí te decimos cómo."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Tratar y erradicar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Por qué importa completar el tratamiento, nuevas terapias, tasas de curación actualizadas.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"Por qué los tratamientos de nueva generación funcionan mejor."</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Cuida tu estómago</w:t>
            </w:r>
          </w:p>
        </w:tc>
        <w:tc>
          <w:tcPr>
            <w:tcW w:type="dxa" w:w="35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Nutrición, hábitos, prevención de reinfección, calidad de vida después de la erradicación.</w:t>
            </w:r>
          </w:p>
        </w:tc>
        <w:tc>
          <w:tcPr>
            <w:tcW w:type="dxa" w:w="34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"Lo que comes puede protegerte o lastimarte."</w:t>
            </w:r>
          </w:p>
        </w:tc>
      </w:tr>
    </w:tbl>
    <w:p>
      <w:pPr>
        <w:spacing w:after="80" w:before="0"/>
      </w:pPr>
    </w:p>
    <w:p>
      <w:pPr>
        <w:spacing w:after="160" w:before="0"/>
      </w:pPr>
      <w:r>
        <w:rPr>
          <w:rFonts w:ascii="Calibri" w:cs="Calibri" w:eastAsia="Calibri" w:hAnsi="Calibri"/>
          <w:color w:val="2C2C2C"/>
          <w:sz w:val="22"/>
          <w:szCs w:val="22"/>
        </w:rPr>
        <w:t xml:space="preserve">Los pilares rotan de forma cíclica. Al completar el quinto ciclo se renuevan los temas dentro de cada pilar, manteniendo la estructura con contenido siempre fresco y con los principales hallazgos científicos del momento.</w:t>
      </w:r>
    </w:p>
    <w:p>
      <w:pPr>
        <w:pStyle w:val="Heading1"/>
        <w:pBdr>
          <w:bottom w:val="single" w:color="4ECBCA" w:sz="3" w:space="2"/>
        </w:pBdr>
        <w:spacing w:after="80" w:before="280"/>
      </w:pPr>
      <w:r>
        <w:rPr>
          <w:rFonts w:ascii="Calibri" w:cs="Calibri" w:eastAsia="Calibri" w:hAnsi="Calibri"/>
          <w:b/>
          <w:bCs/>
          <w:color w:val="4ECBCA"/>
          <w:sz w:val="28"/>
          <w:szCs w:val="28"/>
        </w:rPr>
        <w:t xml:space="preserve">6. El Proceso Operativo</w:t>
      </w:r>
    </w:p>
    <w:p>
      <w:pPr>
        <w:spacing w:after="160" w:before="0"/>
      </w:pPr>
      <w:r>
        <w:rPr>
          <w:rFonts w:ascii="Calibri" w:cs="Calibri" w:eastAsia="Calibri" w:hAnsi="Calibri"/>
          <w:color w:val="2C2C2C"/>
          <w:sz w:val="22"/>
          <w:szCs w:val="22"/>
        </w:rPr>
        <w:t xml:space="preserve">El servicio opera bajo un modelo de gestión continua que Polar Multimedia ejecuta de manera autónoma, con un único punto de contacto semanal para Carnot. El proceso tiene cuatro fases permanentes:</w:t>
      </w:r>
    </w:p>
    <w:p>
      <w:pPr>
        <w:spacing w:after="60" w:before="200"/>
      </w:pPr>
      <w:r>
        <w:rPr>
          <w:rFonts w:ascii="Calibri" w:cs="Calibri" w:eastAsia="Calibri" w:hAnsi="Calibri"/>
          <w:b/>
          <w:bCs/>
          <w:color w:val="E0179D"/>
          <w:sz w:val="20"/>
          <w:szCs w:val="20"/>
        </w:rPr>
        <w:t xml:space="preserve">FASE 1 — MONITOREO Y CURACIÓN DE INFORMACIÓN</w:t>
      </w:r>
    </w:p>
    <w:p>
      <w:pPr>
        <w:spacing w:after="160" w:before="0"/>
      </w:pPr>
      <w:r>
        <w:rPr>
          <w:rFonts w:ascii="Calibri" w:cs="Calibri" w:eastAsia="Calibri" w:hAnsi="Calibri"/>
          <w:color w:val="2C2C2C"/>
          <w:sz w:val="22"/>
          <w:szCs w:val="22"/>
        </w:rPr>
        <w:t xml:space="preserve">De manera permanente, el equipo de Polar monitorea las principales fuentes científicas y editoriales a nivel global: PubMed, Lancet Gastroenterology, NEJM, boletines de la AMG, ACG y ESGE, noticias de salud gástrica en México y LATAM. Se identifican los temas más relevantes para cada audiencia, se verifica la solidez científica de la información, se adapta al español y se contextualiza para la realidad epidemiológica mexicana.</w:t>
      </w:r>
    </w:p>
    <w:p>
      <w:pPr>
        <w:spacing w:after="60" w:before="200"/>
      </w:pPr>
      <w:r>
        <w:rPr>
          <w:rFonts w:ascii="Calibri" w:cs="Calibri" w:eastAsia="Calibri" w:hAnsi="Calibri"/>
          <w:b/>
          <w:bCs/>
          <w:color w:val="E0179D"/>
          <w:sz w:val="20"/>
          <w:szCs w:val="20"/>
        </w:rPr>
        <w:t xml:space="preserve">FASE 2 — PRODUCCIÓN DE CONTENIDO</w:t>
      </w:r>
    </w:p>
    <w:p>
      <w:pPr>
        <w:spacing w:after="160" w:before="0"/>
      </w:pPr>
      <w:r>
        <w:rPr>
          <w:rFonts w:ascii="Calibri" w:cs="Calibri" w:eastAsia="Calibri" w:hAnsi="Calibri"/>
          <w:color w:val="2C2C2C"/>
          <w:sz w:val="22"/>
          <w:szCs w:val="22"/>
        </w:rPr>
        <w:t xml:space="preserve">A partir del tema curado de la semana se producen todos los contenidos del ecosistema en dos versiones simultáneas: la versión para pacientes — accesible, accionable, sin jerga médica — y la versión para especialistas — con rigor clínico, referencias completas y aplicabilidad a la práctica. Todo el contenido sigue los lineamientos editoriales acordados con Carnot y los cinco pilares temáticos del proyecto.</w:t>
      </w:r>
    </w:p>
    <w:p>
      <w:pPr>
        <w:spacing w:after="60" w:before="200"/>
      </w:pPr>
      <w:r>
        <w:rPr>
          <w:rFonts w:ascii="Calibri" w:cs="Calibri" w:eastAsia="Calibri" w:hAnsi="Calibri"/>
          <w:b/>
          <w:bCs/>
          <w:color w:val="E0179D"/>
          <w:sz w:val="20"/>
          <w:szCs w:val="20"/>
        </w:rPr>
        <w:t xml:space="preserve">FASE 3 — APROBACIÓN</w:t>
      </w:r>
    </w:p>
    <w:p>
      <w:pPr>
        <w:spacing w:after="160" w:before="0"/>
      </w:pPr>
      <w:r>
        <w:rPr>
          <w:rFonts w:ascii="Calibri" w:cs="Calibri" w:eastAsia="Calibri" w:hAnsi="Calibri"/>
          <w:color w:val="2C2C2C"/>
          <w:sz w:val="22"/>
          <w:szCs w:val="22"/>
        </w:rPr>
        <w:t xml:space="preserve">Una vez por semana Carnot recibe un resumen ejecutivo con el contenido programado para los siguientes siete días: artículos del portal, piezas para el Área HCP y los posts de redes sociales. Con una revisión de no más de diez minutos el equipo de Carnot puede aprobar, solicitar ajustes o vetar cualquier pieza. Los contenidos que requieren aval AMG siguen un canal paralelo de validación con la Dra. Alejandra Noble antes de su publicación. Nada se publica sin aprobación.</w:t>
      </w:r>
    </w:p>
    <w:p>
      <w:pPr>
        <w:spacing w:after="60" w:before="200"/>
      </w:pPr>
      <w:r>
        <w:rPr>
          <w:rFonts w:ascii="Calibri" w:cs="Calibri" w:eastAsia="Calibri" w:hAnsi="Calibri"/>
          <w:b/>
          <w:bCs/>
          <w:color w:val="E0179D"/>
          <w:sz w:val="20"/>
          <w:szCs w:val="20"/>
        </w:rPr>
        <w:t xml:space="preserve">FASE 4 — PUBLICACIÓN Y DISTRIBUCIÓN</w:t>
      </w:r>
    </w:p>
    <w:p>
      <w:pPr>
        <w:spacing w:after="160" w:before="0"/>
      </w:pPr>
      <w:r>
        <w:rPr>
          <w:rFonts w:ascii="Calibri" w:cs="Calibri" w:eastAsia="Calibri" w:hAnsi="Calibri"/>
          <w:color w:val="2C2C2C"/>
          <w:sz w:val="22"/>
          <w:szCs w:val="22"/>
        </w:rPr>
        <w:t xml:space="preserve">Una vez aprobado, el contenido se publica según el calendario programado: los artículos en el portal, los materiales clínicos en el Área HCP, y los posts en cada red social en el día y horario óptimo para cada plataforma.</w:t>
      </w:r>
    </w:p>
    <w:p>
      <w:pPr>
        <w:spacing w:after="60" w:before="200"/>
      </w:pPr>
      <w:r>
        <w:rPr>
          <w:rFonts w:ascii="Calibri" w:cs="Calibri" w:eastAsia="Calibri" w:hAnsi="Calibri"/>
          <w:b/>
          <w:bCs/>
          <w:color w:val="E0179D"/>
          <w:sz w:val="20"/>
          <w:szCs w:val="20"/>
        </w:rPr>
        <w:t xml:space="preserve">REPORTE MENSUAL</w:t>
      </w:r>
    </w:p>
    <w:p>
      <w:pPr>
        <w:spacing w:after="160" w:before="0"/>
      </w:pPr>
      <w:r>
        <w:rPr>
          <w:rFonts w:ascii="Calibri" w:cs="Calibri" w:eastAsia="Calibri" w:hAnsi="Calibri"/>
          <w:color w:val="2C2C2C"/>
          <w:sz w:val="22"/>
          <w:szCs w:val="22"/>
        </w:rPr>
        <w:t xml:space="preserve">Al cierre de cada mes Carnot recibe un reporte de desempeño con las métricas clave: tráfico del portal, usuarios del Área HCP, alcance e impresiones en redes, engagement por plataforma y crecimiento de audiencia — con recomendaciones editoriales para el mes siguiente.</w:t>
      </w:r>
    </w:p>
    <w:p>
      <w:pPr>
        <w:pStyle w:val="Heading1"/>
        <w:pBdr>
          <w:bottom w:val="single" w:color="4ECBCA" w:sz="3" w:space="2"/>
        </w:pBdr>
        <w:spacing w:after="80" w:before="280"/>
      </w:pPr>
      <w:r>
        <w:rPr>
          <w:rFonts w:ascii="Calibri" w:cs="Calibri" w:eastAsia="Calibri" w:hAnsi="Calibri"/>
          <w:b/>
          <w:bCs/>
          <w:color w:val="4ECBCA"/>
          <w:sz w:val="28"/>
          <w:szCs w:val="28"/>
        </w:rPr>
        <w:t xml:space="preserve">7. Entregables Mensuales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60"/>
        <w:gridCol w:w="1600"/>
      </w:tblGrid>
      <w:tr>
        <w:tc>
          <w:tcPr>
            <w:tcW w:type="dxa" w:w="36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Entregable</w:t>
            </w:r>
          </w:p>
        </w:tc>
        <w:tc>
          <w:tcPr>
            <w:tcW w:type="dxa" w:w="416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Descripción</w:t>
            </w:r>
          </w:p>
        </w:tc>
        <w:tc>
          <w:tcPr>
            <w:tcW w:type="dxa" w:w="16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Cantidad / mes</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Artículos en el portal (pacientes)</w:t>
            </w:r>
          </w:p>
        </w:tc>
        <w:tc>
          <w:tcPr>
            <w:tcW w:type="dxa" w:w="41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Contenido curado adaptado para público general publicado en Gastrical.com.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8 artículos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Artículos en el portal (especialistas)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Contenido clínico con bibliografía, adaptado para el perfil HCP.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4 artículos</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Infografías</w:t>
            </w:r>
          </w:p>
        </w:tc>
        <w:tc>
          <w:tcPr>
            <w:tcW w:type="dxa" w:w="41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Piezas visuales para hub y redes, en versión paciente y especialista.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3 piezas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Caso clínico HCP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Presentación educativa con preguntas de autoevaluación para el Área HCP.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1 caso</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Artículo con sello AMG</w:t>
            </w:r>
          </w:p>
        </w:tc>
        <w:tc>
          <w:tcPr>
            <w:tcW w:type="dxa" w:w="41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Pieza de alto impacto validada por la Dra. Alejandra Noble con aval institucional AMG.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1 artículo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Posts en Instagram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Carrusel educativo + Reel + post de imagen.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12 piezas</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Posts en Facebook</w:t>
            </w:r>
          </w:p>
        </w:tc>
        <w:tc>
          <w:tcPr>
            <w:tcW w:type="dxa" w:w="41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Artículo enlazado + video embebido + post de conversación.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12 piezas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Posts en LinkedIn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Dato clínico + artículo de posicionamiento + noticia contextualizada.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12 piezas</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Posts en X / Twitter</w:t>
            </w:r>
          </w:p>
        </w:tc>
        <w:tc>
          <w:tcPr>
            <w:tcW w:type="dxa" w:w="41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Dato de impacto + hilo temático + reacción a noticia.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12 piezas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Newsletter HCP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Resumen mensual con top 5 artículos clínicos + novedades AMG enviado a especialistas registrados.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1 envío</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Resumen semanal de aprobación</w:t>
            </w:r>
          </w:p>
        </w:tc>
        <w:tc>
          <w:tcPr>
            <w:tcW w:type="dxa" w:w="41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Brief ejecutivo para revisión y aprobación de contenidos por Carnot.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4 resúmenes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Reporte de desempeño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Métricas de tráfico, HCP registrados, engagement y recomendaciones editoriales.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1 reporte</w:t>
            </w:r>
          </w:p>
        </w:tc>
      </w:tr>
    </w:tbl>
    <w:p>
      <w:pPr>
        <w:spacing w:after="160" w:before="0"/>
      </w:pPr>
    </w:p>
    <w:p>
      <w:pPr>
        <w:pStyle w:val="Heading1"/>
        <w:pBdr>
          <w:bottom w:val="single" w:color="4ECBCA" w:sz="3" w:space="2"/>
        </w:pBdr>
        <w:spacing w:after="80" w:before="280"/>
      </w:pPr>
      <w:r>
        <w:rPr>
          <w:rFonts w:ascii="Calibri" w:cs="Calibri" w:eastAsia="Calibri" w:hAnsi="Calibri"/>
          <w:b/>
          <w:bCs/>
          <w:color w:val="4ECBCA"/>
          <w:sz w:val="28"/>
          <w:szCs w:val="28"/>
        </w:rPr>
        <w:t xml:space="preserve">8. Condiciones Comerciales</w:t>
      </w:r>
    </w:p>
    <w:p>
      <w:pPr>
        <w:spacing w:after="160" w:before="0"/>
      </w:pPr>
      <w:r>
        <w:rPr>
          <w:rFonts w:ascii="Calibri" w:cs="Calibri" w:eastAsia="Calibri" w:hAnsi="Calibri"/>
          <w:color w:val="2C2C2C"/>
          <w:sz w:val="22"/>
          <w:szCs w:val="22"/>
        </w:rPr>
        <w:t xml:space="preserve">El ecosistema Gastrical.com se ofrece en dos niveles de servicio según el alcance del Área HCP y el nivel de coordinación con la AMG.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 </w:t>
            </w:r>
          </w:p>
        </w:tc>
        <w:tc>
          <w:tcPr>
            <w:tcW w:type="dxa" w:w="2700"/>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Nivel Esencial</w:t>
            </w:r>
          </w:p>
        </w:tc>
        <w:tc>
          <w:tcPr>
            <w:tcW w:type="dxa" w:w="2700"/>
            <w:tcBorders>
              <w:top w:val="single" w:color="4ECBCA" w:sz="1"/>
              <w:left w:val="single" w:color="4ECBCA" w:sz="1"/>
              <w:bottom w:val="single" w:color="4ECBCA" w:sz="1"/>
              <w:right w:val="single" w:color="4ECBCA" w:sz="1"/>
            </w:tcBorders>
            <w:shd w:fill="4ECBCA"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Nivel Premium</w:t>
            </w:r>
          </w:p>
        </w:tc>
      </w:tr>
      <w:tr>
        <w:tc>
          <w:tcPr>
            <w:tcW w:type="dxa" w:w="39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Portal editorial Gastrical.com</w:t>
            </w:r>
          </w:p>
        </w:tc>
        <w:tc>
          <w:tcPr>
            <w:tcW w:type="dxa" w:w="27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w:t>
            </w:r>
          </w:p>
        </w:tc>
        <w:tc>
          <w:tcPr>
            <w:tcW w:type="dxa" w:w="27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Sistema de curación de información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w:t>
            </w:r>
          </w:p>
        </w:tc>
      </w:tr>
      <w:tr>
        <w:tc>
          <w:tcPr>
            <w:tcW w:type="dxa" w:w="39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Instagram + Facebook</w:t>
            </w:r>
          </w:p>
        </w:tc>
        <w:tc>
          <w:tcPr>
            <w:tcW w:type="dxa" w:w="27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w:t>
            </w:r>
          </w:p>
        </w:tc>
        <w:tc>
          <w:tcPr>
            <w:tcW w:type="dxa" w:w="27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LinkedIn + X / Twitter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w:t>
            </w:r>
          </w:p>
        </w:tc>
      </w:tr>
      <w:tr>
        <w:tc>
          <w:tcPr>
            <w:tcW w:type="dxa" w:w="39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Área HCP con verificación SEP</w:t>
            </w:r>
          </w:p>
        </w:tc>
        <w:tc>
          <w:tcPr>
            <w:tcW w:type="dxa" w:w="27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Básica</w:t>
            </w:r>
          </w:p>
        </w:tc>
        <w:tc>
          <w:tcPr>
            <w:tcW w:type="dxa" w:w="27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Completa</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Artículos con sello AMG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1/mes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2/mes</w:t>
            </w:r>
          </w:p>
        </w:tc>
      </w:tr>
      <w:tr>
        <w:tc>
          <w:tcPr>
            <w:tcW w:type="dxa" w:w="39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Reporte de desempeño</w:t>
            </w:r>
          </w:p>
        </w:tc>
        <w:tc>
          <w:tcPr>
            <w:tcW w:type="dxa" w:w="27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Mensual</w:t>
            </w:r>
          </w:p>
        </w:tc>
        <w:tc>
          <w:tcPr>
            <w:tcW w:type="dxa" w:w="27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Quincenal</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Análisis de audiencia HCP ampliado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w:t>
            </w:r>
          </w:p>
        </w:tc>
      </w:tr>
      <w:tr>
        <w:tc>
          <w:tcPr>
            <w:tcW w:type="dxa" w:w="39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Inversión de referencia</w:t>
            </w:r>
          </w:p>
        </w:tc>
        <w:tc>
          <w:tcPr>
            <w:tcW w:type="dxa" w:w="27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MX$ 68,000 / mes</w:t>
            </w:r>
          </w:p>
        </w:tc>
        <w:tc>
          <w:tcPr>
            <w:tcW w:type="dxa" w:w="27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MX$ 82,000 / mes</w:t>
            </w:r>
          </w:p>
        </w:tc>
      </w:tr>
    </w:tbl>
    <w:p>
      <w:pPr>
        <w:spacing w:after="120" w:before="0"/>
      </w:pPr>
    </w:p>
    <w:p>
      <w:pPr>
        <w:spacing w:after="160" w:before="0"/>
      </w:pPr>
      <w:r>
        <w:rPr>
          <w:rFonts w:ascii="Calibri" w:cs="Calibri" w:eastAsia="Calibri" w:hAnsi="Calibri"/>
          <w:color w:val="2C2C2C"/>
          <w:sz w:val="22"/>
          <w:szCs w:val="22"/>
        </w:rPr>
        <w:t xml:space="preserve">El ecosistema digital de Gastrical.com se contrata como un servicio anual integral. Para el ciclo 2026, Polar Multimedia extiende una propuesta de acceso promocional con precio especial de arranque, vigente para contratos firmados antes del 30 de junio de 2026.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ECBCA" w:sz="1"/>
              <w:left w:val="single" w:color="4ECBCA" w:sz="1"/>
              <w:bottom w:val="single" w:color="4ECBCA" w:sz="1"/>
              <w:right w:val="single" w:color="4ECBCA" w:sz="1"/>
            </w:tcBorders>
            <w:shd w:fill="1A3A5C" w:val="clear"/>
            <w:tcMar>
              <w:top w:type="dxa" w:w="160"/>
              <w:left w:type="dxa" w:w="360"/>
              <w:bottom w:type="dxa" w:w="80"/>
              <w:right w:type="dxa" w:w="360"/>
            </w:tcMar>
          </w:tcPr>
          <w:p>
            <w:pPr>
              <w:spacing w:after="0"/>
              <w:jc w:val="center"/>
            </w:pPr>
            <w:r>
              <w:rPr>
                <w:rFonts w:ascii="Calibri" w:cs="Calibri" w:eastAsia="Calibri" w:hAnsi="Calibri"/>
                <w:b/>
                <w:bCs/>
                <w:color w:val="FFFFFF"/>
                <w:sz w:val="26"/>
                <w:szCs w:val="26"/>
              </w:rPr>
              <w:t xml:space="preserve">PROMOCIÓN DE ACCESO 2026</w:t>
            </w:r>
          </w:p>
        </w:tc>
      </w:tr>
      <w:tr>
        <w:tc>
          <w:tcPr>
            <w:tcW w:type="dxa" w:w="9360"/>
            <w:tcBorders>
              <w:top w:val="single" w:color="4ECBCA" w:sz="1"/>
              <w:left w:val="single" w:color="4ECBCA" w:sz="1"/>
              <w:bottom w:val="single" w:color="4ECBCA" w:sz="1"/>
              <w:right w:val="single" w:color="4ECBCA" w:sz="1"/>
            </w:tcBorders>
            <w:shd w:fill="1A3A5C" w:val="clear"/>
            <w:tcMar>
              <w:top w:type="dxa" w:w="0"/>
              <w:left w:type="dxa" w:w="360"/>
              <w:bottom w:type="dxa" w:w="80"/>
              <w:right w:type="dxa" w:w="360"/>
            </w:tcMar>
          </w:tcPr>
          <w:p>
            <w:pPr>
              <w:spacing w:after="0"/>
              <w:jc w:val="center"/>
            </w:pPr>
            <w:r>
              <w:rPr>
                <w:rFonts w:ascii="Calibri" w:cs="Calibri" w:eastAsia="Calibri" w:hAnsi="Calibri"/>
                <w:color w:val="4ECBCA"/>
                <w:sz w:val="20"/>
                <w:szCs w:val="20"/>
              </w:rPr>
              <w:t xml:space="preserve">Contrato anual · Pago mensual</w:t>
            </w:r>
          </w:p>
        </w:tc>
      </w:tr>
      <w:tr>
        <w:tc>
          <w:tcPr>
            <w:tcW w:type="dxa" w:w="9360"/>
            <w:tcBorders>
              <w:top w:val="single" w:color="4ECBCA" w:sz="1"/>
              <w:left w:val="single" w:color="4ECBCA" w:sz="1"/>
              <w:bottom w:val="single" w:color="4ECBCA" w:sz="1"/>
              <w:right w:val="single" w:color="4ECBCA" w:sz="1"/>
            </w:tcBorders>
            <w:shd w:fill="FFFFFF" w:val="clear"/>
            <w:tcMar>
              <w:top w:type="dxa" w:w="120"/>
              <w:left w:type="dxa" w:w="360"/>
              <w:bottom w:type="dxa" w:w="40"/>
              <w:right w:type="dxa" w:w="360"/>
            </w:tcMar>
          </w:tcPr>
          <w:p>
            <w:pPr>
              <w:spacing w:after="0"/>
              <w:jc w:val="center"/>
            </w:pPr>
            <w:r>
              <w:rPr>
                <w:rFonts w:ascii="Calibri" w:cs="Calibri" w:eastAsia="Calibri" w:hAnsi="Calibri"/>
                <w:strike/>
                <w:color w:val="2C2C2C"/>
                <w:sz w:val="20"/>
                <w:szCs w:val="20"/>
              </w:rPr>
              <w:t xml:space="preserve">Precio de lista: MX$82,000 / mes</w:t>
            </w:r>
          </w:p>
        </w:tc>
      </w:tr>
      <w:tr>
        <w:tc>
          <w:tcPr>
            <w:tcW w:type="dxa" w:w="9360"/>
            <w:tcBorders>
              <w:top w:val="single" w:color="4ECBCA" w:sz="1"/>
              <w:left w:val="single" w:color="4ECBCA" w:sz="1"/>
              <w:bottom w:val="single" w:color="4ECBCA" w:sz="1"/>
              <w:right w:val="single" w:color="4ECBCA" w:sz="1"/>
            </w:tcBorders>
            <w:shd w:fill="FFFFFF" w:val="clear"/>
            <w:tcMar>
              <w:top w:type="dxa" w:w="40"/>
              <w:left w:type="dxa" w:w="360"/>
              <w:bottom w:type="dxa" w:w="40"/>
              <w:right w:type="dxa" w:w="360"/>
            </w:tcMar>
          </w:tcPr>
          <w:p>
            <w:pPr>
              <w:spacing w:after="0"/>
              <w:jc w:val="center"/>
            </w:pPr>
            <w:r>
              <w:rPr>
                <w:rFonts w:ascii="Calibri" w:cs="Calibri" w:eastAsia="Calibri" w:hAnsi="Calibri"/>
                <w:b/>
                <w:bCs/>
                <w:color w:val="4ECBCA"/>
                <w:sz w:val="52"/>
                <w:szCs w:val="52"/>
              </w:rPr>
              <w:t xml:space="preserve">MX $50,000 / mes</w:t>
            </w:r>
          </w:p>
        </w:tc>
      </w:tr>
      <w:tr>
        <w:tc>
          <w:tcPr>
            <w:tcW w:type="dxa" w:w="9360"/>
            <w:tcBorders>
              <w:top w:val="single" w:color="4ECBCA" w:sz="1"/>
              <w:left w:val="single" w:color="4ECBCA" w:sz="1"/>
              <w:bottom w:val="single" w:color="4ECBCA" w:sz="1"/>
              <w:right w:val="single" w:color="4ECBCA" w:sz="1"/>
            </w:tcBorders>
            <w:shd w:fill="FFFFFF" w:val="clear"/>
            <w:tcMar>
              <w:top w:type="dxa" w:w="40"/>
              <w:left w:type="dxa" w:w="360"/>
              <w:bottom w:type="dxa" w:w="120"/>
              <w:right w:type="dxa" w:w="360"/>
            </w:tcMar>
          </w:tcPr>
          <w:p>
            <w:pPr>
              <w:spacing w:after="0"/>
              <w:jc w:val="center"/>
            </w:pPr>
            <w:r>
              <w:rPr>
                <w:rFonts w:ascii="Calibri" w:cs="Calibri" w:eastAsia="Calibri" w:hAnsi="Calibri"/>
                <w:color w:val="2C2C2C"/>
                <w:sz w:val="18"/>
                <w:szCs w:val="18"/>
              </w:rPr>
              <w:t xml:space="preserve">precio negociado · contrato 12 meses · IVA no incluido</w:t>
            </w:r>
          </w:p>
        </w:tc>
      </w:tr>
      <w:tr>
        <w:tc>
          <w:tcPr>
            <w:tcW w:type="dxa" w:w="9360"/>
            <w:tcBorders>
              <w:top w:val="single" w:color="4ECBCA" w:sz="1"/>
              <w:left w:val="single" w:color="4ECBCA" w:sz="1"/>
              <w:bottom w:val="single" w:color="4ECBCA" w:sz="1"/>
              <w:right w:val="single" w:color="4ECBCA" w:sz="1"/>
            </w:tcBorders>
            <w:shd w:fill="4ECBCA" w:val="clear"/>
            <w:tcMar>
              <w:top w:type="dxa" w:w="100"/>
              <w:left w:type="dxa" w:w="360"/>
              <w:bottom w:type="dxa" w:w="100"/>
              <w:right w:type="dxa" w:w="360"/>
            </w:tcMar>
          </w:tcPr>
          <w:p>
            <w:pPr>
              <w:spacing w:after="0"/>
              <w:jc w:val="center"/>
            </w:pPr>
            <w:r>
              <w:rPr>
                <w:rFonts w:ascii="Calibri" w:cs="Calibri" w:eastAsia="Calibri" w:hAnsi="Calibri"/>
                <w:b/>
                <w:bCs/>
                <w:color w:val="1A3A5C"/>
                <w:sz w:val="20"/>
                <w:szCs w:val="20"/>
              </w:rPr>
              <w:t xml:space="preserve">Ahorro anual: MX$384,000  ·  Inversión total anual: MX$600,000</w:t>
            </w:r>
          </w:p>
        </w:tc>
      </w:tr>
    </w:tbl>
    <w:p>
      <w:pPr>
        <w:spacing w:after="120" w:before="0"/>
      </w:pPr>
    </w:p>
    <w:p>
      <w:pPr>
        <w:spacing w:after="60" w:before="200"/>
      </w:pPr>
      <w:r>
        <w:rPr>
          <w:rFonts w:ascii="Calibri" w:cs="Calibri" w:eastAsia="Calibri" w:hAnsi="Calibri"/>
          <w:b/>
          <w:bCs/>
          <w:color w:val="E0179D"/>
          <w:sz w:val="20"/>
          <w:szCs w:val="20"/>
        </w:rPr>
        <w:t xml:space="preserve">LO QUE INCLUYE EL CONTRATO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60"/>
        <w:gridCol w:w="1600"/>
      </w:tblGrid>
      <w:tr>
        <w:tc>
          <w:tcPr>
            <w:tcW w:type="dxa" w:w="776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Componente</w:t>
            </w:r>
          </w:p>
        </w:tc>
        <w:tc>
          <w:tcPr>
            <w:tcW w:type="dxa" w:w="16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Incluido</w:t>
            </w:r>
          </w:p>
        </w:tc>
      </w:tr>
      <w:tr>
        <w:tc>
          <w:tcPr>
            <w:tcW w:type="dxa" w:w="7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Portal editorial Gastrical.com (setup + operación)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w:t>
            </w:r>
          </w:p>
        </w:tc>
      </w:tr>
      <w:tr>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Sistema de curación global de información científica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w:t>
            </w:r>
          </w:p>
        </w:tc>
      </w:tr>
      <w:tr>
        <w:tc>
          <w:tcPr>
            <w:tcW w:type="dxa" w:w="7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Gestión de contenido: Instagram + Facebook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w:t>
            </w:r>
          </w:p>
        </w:tc>
      </w:tr>
      <w:tr>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Gestión de contenido: LinkedIn + X / Twitter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w:t>
            </w:r>
          </w:p>
        </w:tc>
      </w:tr>
      <w:tr>
        <w:tc>
          <w:tcPr>
            <w:tcW w:type="dxa" w:w="7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Área HCP con verificación de cédula SEP (RENAMECC)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w:t>
            </w:r>
          </w:p>
        </w:tc>
      </w:tr>
      <w:tr>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Coordinación de aval AMG — Dra. Alejandra Noble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w:t>
            </w:r>
          </w:p>
        </w:tc>
      </w:tr>
      <w:tr>
        <w:tc>
          <w:tcPr>
            <w:tcW w:type="dxa" w:w="7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Newsletter mensual para especialistas registrados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w:t>
            </w:r>
          </w:p>
        </w:tc>
      </w:tr>
      <w:tr>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Brief semanal de aprobación para Carnot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w:t>
            </w:r>
          </w:p>
        </w:tc>
      </w:tr>
      <w:tr>
        <w:tc>
          <w:tcPr>
            <w:tcW w:type="dxa" w:w="7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Reporte de desempeño mensual con recomendaciones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w:t>
            </w:r>
          </w:p>
        </w:tc>
      </w:tr>
      <w:tr>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Soporte y ajustes editoriales continuos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4ECBCA"/>
                <w:sz w:val="20"/>
                <w:szCs w:val="20"/>
              </w:rPr>
              <w:t xml:space="preserve">✓</w:t>
            </w:r>
          </w:p>
        </w:tc>
      </w:tr>
    </w:tbl>
    <w:p>
      <w:pPr>
        <w:spacing w:after="80" w:before="0"/>
      </w:pPr>
    </w:p>
    <w:p>
      <w:pPr>
        <w:spacing w:after="160" w:before="0"/>
      </w:pPr>
      <w:r>
        <w:rPr>
          <w:rFonts w:ascii="Calibri" w:cs="Calibri" w:eastAsia="Calibri" w:hAnsi="Calibri"/>
          <w:color w:val="2C2C2C"/>
          <w:sz w:val="22"/>
          <w:szCs w:val="22"/>
        </w:rPr>
        <w:t xml:space="preserve">La contratación anual permite una planificación editorial de largo plazo, optimización progresiva del ecosistema y acumulación de audiencia propia para Carnot. Los proyectos de comunicación digital que se desarrollan por períodos cortos no construyen activos — construyen ruido.</w:t>
      </w:r>
    </w:p>
    <w:p>
      <w:pPr>
        <w:pStyle w:val="Heading1"/>
        <w:pBdr>
          <w:bottom w:val="single" w:color="4ECBCA" w:sz="3" w:space="2"/>
        </w:pBdr>
        <w:spacing w:after="80" w:before="280"/>
      </w:pPr>
      <w:r>
        <w:rPr>
          <w:rFonts w:ascii="Calibri" w:cs="Calibri" w:eastAsia="Calibri" w:hAnsi="Calibri"/>
          <w:b/>
          <w:bCs/>
          <w:color w:val="4ECBCA"/>
          <w:sz w:val="28"/>
          <w:szCs w:val="28"/>
        </w:rPr>
        <w:t xml:space="preserve">9. Por Qué Polar Multimedia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Diferenciador</w:t>
            </w:r>
          </w:p>
        </w:tc>
        <w:tc>
          <w:tcPr>
            <w:tcW w:type="dxa" w:w="5760"/>
            <w:tcBorders>
              <w:top w:val="single" w:color="4ECBCA" w:sz="1"/>
              <w:left w:val="single" w:color="4ECBCA" w:sz="1"/>
              <w:bottom w:val="single" w:color="4ECBCA" w:sz="1"/>
              <w:right w:val="single" w:color="4ECBCA" w:sz="1"/>
            </w:tcBorders>
            <w:shd w:fill="1A3A5C"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Lo que significa para Carnot</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30 años en comunicación farmacéutica</w:t>
            </w:r>
          </w:p>
        </w:tc>
        <w:tc>
          <w:tcPr>
            <w:tcW w:type="dxa" w:w="5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Entendemos el lenguaje, las restricciones regulatorias y las audiencias del sector salud en México y LATAM.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Top 3 LATAM — 16 oros ASPID en 5 ediciones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Calidad creativa reconocida por la industria farmacéutica internacional.</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Modelo híbrido IA + humano</w:t>
            </w:r>
          </w:p>
        </w:tc>
        <w:tc>
          <w:tcPr>
            <w:tcW w:type="dxa" w:w="5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Capacidad de producción escalable sin sacrificar criterio editorial y supervisión experta.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Relación institucional con la AMG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Acceso directo a la presidenta de la AMG para coordinación de avales — un activo que pocas agencias tienen.</w:t>
            </w:r>
          </w:p>
        </w:tc>
      </w:tr>
      <w:tr>
        <w:tc>
          <w:tcPr>
            <w:tcW w:type="dxa" w:w="360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Distinción regulatoria clara</w:t>
            </w:r>
          </w:p>
        </w:tc>
        <w:tc>
          <w:tcPr>
            <w:tcW w:type="dxa" w:w="5760"/>
            <w:tcBorders>
              <w:top w:val="single" w:color="CCCCCC" w:sz="1"/>
              <w:left w:val="single" w:color="CCCCCC" w:sz="1"/>
              <w:bottom w:val="single" w:color="CCCCCC" w:sz="1"/>
              <w:right w:val="single" w:color="CCCCCC" w:sz="1"/>
            </w:tcBorders>
            <w:shd w:fill="F7F8FA"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Sabemos qué puede comunicarse en canales abiertos y qué debe reservarse para el canal clínico HCP.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Especialización en medio propio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C2C2C"/>
                <w:sz w:val="20"/>
                <w:szCs w:val="20"/>
              </w:rPr>
              <w:t xml:space="preserve">Experiencia construyendo activos de audiencia que pertenecen al cliente — no tráfico rentado.</w:t>
            </w:r>
          </w:p>
        </w:tc>
      </w:tr>
    </w:tbl>
    <w:p>
      <w:pPr>
        <w:spacing w:after="120" w:before="0"/>
      </w:pPr>
    </w:p>
    <w:p>
      <w:pPr>
        <w:spacing w:after="160" w:before="0"/>
      </w:pPr>
      <w:r>
        <w:rPr>
          <w:rFonts w:ascii="Calibri" w:cs="Calibri" w:eastAsia="Calibri" w:hAnsi="Calibri"/>
          <w:color w:val="2C2C2C"/>
          <w:sz w:val="22"/>
          <w:szCs w:val="22"/>
        </w:rPr>
        <w:t xml:space="preserve">Este proyecto nace como la primera implementación del ecosistema de salud gástrica para Carnot, con visión de escala hacia el portafolio completo de Carnot Laboratorios y hacia otras patologías del sector digestivo.</w:t>
      </w:r>
    </w:p>
    <w:p>
      <w:pPr>
        <w:pStyle w:val="Heading1"/>
        <w:pBdr>
          <w:bottom w:val="single" w:color="4ECBCA" w:sz="3" w:space="2"/>
        </w:pBdr>
        <w:spacing w:after="80" w:before="280"/>
      </w:pPr>
      <w:r>
        <w:rPr>
          <w:rFonts w:ascii="Calibri" w:cs="Calibri" w:eastAsia="Calibri" w:hAnsi="Calibri"/>
          <w:b/>
          <w:bCs/>
          <w:color w:val="4ECBCA"/>
          <w:sz w:val="28"/>
          <w:szCs w:val="28"/>
        </w:rPr>
        <w:t xml:space="preserve">10. Próximos Pasos</w:t>
      </w:r>
    </w:p>
    <w:p>
      <w:pPr>
        <w:spacing w:after="40" w:before="0"/>
      </w:pPr>
    </w:p>
    <w:p>
      <w:pPr>
        <w:pStyle w:val="ListParagraph"/>
        <w:numPr>
          <w:ilvl w:val="0"/>
          <w:numId w:val="2"/>
        </w:numPr>
        <w:spacing w:after="60" w:before="40"/>
      </w:pPr>
      <w:r>
        <w:rPr>
          <w:rFonts w:ascii="Calibri" w:cs="Calibri" w:eastAsia="Calibri" w:hAnsi="Calibri"/>
          <w:color w:val="2C2C2C"/>
          <w:sz w:val="22"/>
          <w:szCs w:val="22"/>
        </w:rPr>
        <w:t xml:space="preserve">Reunión de alineación estratégica con el equipo de marketing de Carnot</w:t>
      </w:r>
    </w:p>
    <w:p>
      <w:pPr>
        <w:pStyle w:val="ListParagraph"/>
        <w:numPr>
          <w:ilvl w:val="0"/>
          <w:numId w:val="2"/>
        </w:numPr>
        <w:spacing w:after="60" w:before="40"/>
      </w:pPr>
      <w:r>
        <w:rPr>
          <w:rFonts w:ascii="Calibri" w:cs="Calibri" w:eastAsia="Calibri" w:hAnsi="Calibri"/>
          <w:color w:val="2C2C2C"/>
          <w:sz w:val="22"/>
          <w:szCs w:val="22"/>
        </w:rPr>
        <w:t xml:space="preserve">Validación de lineamientos editoriales, tono de comunicación y restricciones regulatorias de Ki-Cab</w:t>
      </w:r>
    </w:p>
    <w:p>
      <w:pPr>
        <w:pStyle w:val="ListParagraph"/>
        <w:numPr>
          <w:ilvl w:val="0"/>
          <w:numId w:val="2"/>
        </w:numPr>
        <w:spacing w:after="60" w:before="40"/>
      </w:pPr>
      <w:r>
        <w:rPr>
          <w:rFonts w:ascii="Calibri" w:cs="Calibri" w:eastAsia="Calibri" w:hAnsi="Calibri"/>
          <w:color w:val="2C2C2C"/>
          <w:sz w:val="22"/>
          <w:szCs w:val="22"/>
        </w:rPr>
        <w:t xml:space="preserve">Coordinación de kick-off con la Dra. Alejandra Noble — AMG para definición del alcance del aval</w:t>
      </w:r>
    </w:p>
    <w:p>
      <w:pPr>
        <w:pStyle w:val="ListParagraph"/>
        <w:numPr>
          <w:ilvl w:val="0"/>
          <w:numId w:val="2"/>
        </w:numPr>
        <w:spacing w:after="60" w:before="40"/>
      </w:pPr>
      <w:r>
        <w:rPr>
          <w:rFonts w:ascii="Calibri" w:cs="Calibri" w:eastAsia="Calibri" w:hAnsi="Calibri"/>
          <w:color w:val="2C2C2C"/>
          <w:sz w:val="22"/>
          <w:szCs w:val="22"/>
        </w:rPr>
        <w:t xml:space="preserve">Revisión y firma del contrato anual — fecha límite para precio promocional: 30 de junio de 2026</w:t>
      </w:r>
    </w:p>
    <w:p>
      <w:pPr>
        <w:pStyle w:val="ListParagraph"/>
        <w:numPr>
          <w:ilvl w:val="0"/>
          <w:numId w:val="2"/>
        </w:numPr>
        <w:spacing w:after="60" w:before="40"/>
      </w:pPr>
      <w:r>
        <w:rPr>
          <w:rFonts w:ascii="Calibri" w:cs="Calibri" w:eastAsia="Calibri" w:hAnsi="Calibri"/>
          <w:color w:val="2C2C2C"/>
          <w:sz w:val="22"/>
          <w:szCs w:val="22"/>
        </w:rPr>
        <w:t xml:space="preserve">Kick-off operativo: accesos, cuentas de redes, canal de aprobación semanal y calendario de arranque</w:t>
      </w:r>
    </w:p>
    <w:p>
      <w:pPr>
        <w:pStyle w:val="ListParagraph"/>
        <w:numPr>
          <w:ilvl w:val="0"/>
          <w:numId w:val="2"/>
        </w:numPr>
        <w:spacing w:after="60" w:before="40"/>
      </w:pPr>
      <w:r>
        <w:rPr>
          <w:rFonts w:ascii="Calibri" w:cs="Calibri" w:eastAsia="Calibri" w:hAnsi="Calibri"/>
          <w:color w:val="2C2C2C"/>
          <w:sz w:val="22"/>
          <w:szCs w:val="22"/>
        </w:rPr>
        <w:t xml:space="preserve">Lanzamiento de Gastrical.com y primera semana de publicaciones en redes — en un plazo de 30 días calendario</w:t>
      </w:r>
    </w:p>
    <w:p>
      <w:pPr>
        <w:spacing w:after="200" w:before="0"/>
      </w:pPr>
    </w:p>
    <w:p>
      <w:pPr>
        <w:pBdr>
          <w:bottom w:val="single" w:color="4ECBCA" w:sz="4" w:space="1"/>
        </w:pBdr>
        <w:spacing w:after="0"/>
      </w:pPr>
    </w:p>
    <w:p>
      <w:pPr>
        <w:spacing w:after="80" w:before="0"/>
      </w:pPr>
    </w:p>
    <w:p>
      <w:pPr>
        <w:spacing w:after="60"/>
        <w:jc w:val="center"/>
      </w:pPr>
      <w:r>
        <w:rPr>
          <w:rFonts w:ascii="Calibri" w:cs="Calibri" w:eastAsia="Calibri" w:hAnsi="Calibri"/>
          <w:b/>
          <w:bCs/>
          <w:color w:val="4ECBCA"/>
          <w:sz w:val="26"/>
          <w:szCs w:val="26"/>
        </w:rPr>
        <w:t xml:space="preserve">Una conversación que hoy afecta a 70 millones de mexicanos.</w:t>
      </w:r>
    </w:p>
    <w:p>
      <w:pPr>
        <w:spacing w:after="0"/>
        <w:jc w:val="center"/>
      </w:pPr>
      <w:r>
        <w:rPr>
          <w:rFonts w:ascii="Calibri" w:cs="Calibri" w:eastAsia="Calibri" w:hAnsi="Calibri"/>
          <w:color w:val="1A3A5C"/>
          <w:sz w:val="26"/>
          <w:szCs w:val="26"/>
        </w:rPr>
        <w:t xml:space="preserve">Polar Multimedia le da voz.</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ECBCA" w:sz="2" w:space="2"/>
      </w:pBdr>
      <w:spacing w:before="60"/>
      <w:jc w:val="center"/>
    </w:pPr>
    <w:r>
      <w:rPr>
        <w:rFonts w:ascii="Calibri" w:cs="Calibri" w:eastAsia="Calibri" w:hAnsi="Calibri"/>
        <w:b/>
        <w:bCs/>
        <w:color w:val="1A3A5C"/>
        <w:sz w:val="16"/>
        <w:szCs w:val="16"/>
      </w:rPr>
      <w:t xml:space="preserve">WTC, CDMX</w:t>
    </w:r>
    <w:r>
      <w:rPr>
        <w:rFonts w:ascii="Calibri" w:cs="Calibri" w:eastAsia="Calibri" w:hAnsi="Calibri"/>
        <w:color w:val="1A3A5C"/>
        <w:sz w:val="16"/>
        <w:szCs w:val="16"/>
      </w:rPr>
      <w:t xml:space="preserve"> Piso 28, Of. 16  ·  Montecito 38, Col. Nápoles, Alc. Benito Juárez  ·  C.P. 03810, Ciudad de México, México.  ·  polarmultimedia.com.mx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60"/>
    </w:pPr>
    <w:r>
      <w:rPr>
        <w:rFonts w:ascii="Calibri" w:cs="Calibri" w:eastAsia="Calibri" w:hAnsi="Calibri"/>
        <w:b/>
        <w:bCs/>
        <w:color w:val="E0179D"/>
        <w:sz w:val="17"/>
        <w:szCs w:val="17"/>
      </w:rPr>
      <w:t xml:space="preserve">PROPUESTA DE SERVICIO | Ecosistema de Comunicación Digital</w:t>
    </w:r>
    <w:r>
      <w:rPr>
        <w:rFonts w:ascii="Calibri" w:cs="Calibri" w:eastAsia="Calibri" w:hAnsi="Calibri"/>
        <w:b/>
        <w:bCs/>
        <w:color w:val="1A3A5C"/>
        <w:sz w:val="17"/>
        <w:szCs w:val="17"/>
      </w:rPr>
      <w:t xml:space="preserve">	Polar Multimedia</w:t>
    </w:r>
  </w:p>
  <w:p>
    <w:pPr>
      <w:pBdr>
        <w:bottom w:val="single" w:color="4ECBCA" w:sz="3"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Calibri" w:cs="Calibri" w:eastAsia="Calibri" w:hAnsi="Calibri"/>
      <w:b/>
      <w:bCs/>
      <w:color w:val="4ECBC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2026-03-25T21:32:22.637Z</dcterms:created>
  <dcterms:modified xsi:type="dcterms:W3CDTF">2026-03-25T21:32:22.638Z</dcterms:modified>
</cp:coreProperties>
</file>

<file path=docProps/custom.xml><?xml version="1.0" encoding="utf-8"?>
<Properties xmlns="http://schemas.openxmlformats.org/officeDocument/2006/custom-properties" xmlns:vt="http://schemas.openxmlformats.org/officeDocument/2006/docPropsVTypes"/>
</file>