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p>
    <w:p>
      <w:pPr>
        <w:spacing w:after="80"/>
        <w:jc w:val="center"/>
      </w:pPr>
      <w:r>
        <w:rPr>
          <w:rFonts w:ascii="Calibri" w:cs="Calibri" w:eastAsia="Calibri" w:hAnsi="Calibri"/>
          <w:b/>
          <w:bCs/>
          <w:color w:val="4ECBCA"/>
          <w:sz w:val="52"/>
          <w:szCs w:val="52"/>
        </w:rPr>
        <w:t xml:space="preserve">HUB DE SALUD GÁSTRICA</w:t>
      </w:r>
    </w:p>
    <w:p>
      <w:pPr>
        <w:spacing w:after="200"/>
        <w:jc w:val="center"/>
      </w:pPr>
      <w:r>
        <w:rPr>
          <w:rFonts w:ascii="Calibri" w:cs="Calibri" w:eastAsia="Calibri" w:hAnsi="Calibri"/>
          <w:b w:val="false"/>
          <w:bCs w:val="false"/>
          <w:color w:val="1A3A5C"/>
          <w:sz w:val="36"/>
          <w:szCs w:val="36"/>
        </w:rPr>
        <w:t xml:space="preserve">Enfoque en Helicobacter pylori</w:t>
      </w:r>
    </w:p>
    <w:p>
      <w:pPr>
        <w:pBdr>
          <w:top w:val="single" w:color="4ECBCA" w:sz="6" w:space="4"/>
          <w:bottom w:val="single" w:color="4ECBCA" w:sz="6" w:space="4"/>
        </w:pBdr>
        <w:spacing w:after="80" w:before="80"/>
        <w:jc w:val="center"/>
      </w:pPr>
      <w:r>
        <w:rPr>
          <w:rFonts w:ascii="Calibri" w:cs="Calibri" w:eastAsia="Calibri" w:hAnsi="Calibri"/>
          <w:color w:val="1A3A5C"/>
          <w:sz w:val="24"/>
          <w:szCs w:val="24"/>
        </w:rPr>
        <w:t xml:space="preserve">Documento Maestro: Criterios Editoriales + Arquitectura de Contenidos</w:t>
      </w:r>
    </w:p>
    <w:p>
      <w:pPr>
        <w:spacing w:after="320" w:before="0"/>
      </w:pPr>
    </w:p>
    <w:p>
      <w:pPr>
        <w:spacing w:after="60"/>
        <w:jc w:val="center"/>
      </w:pPr>
      <w:r>
        <w:rPr>
          <w:rFonts w:ascii="Calibri" w:cs="Calibri" w:eastAsia="Calibri" w:hAnsi="Calibri"/>
          <w:color w:val="2C2C2C"/>
          <w:sz w:val="22"/>
          <w:szCs w:val="22"/>
        </w:rPr>
        <w:t xml:space="preserve">Con aval institucional de la</w:t>
      </w:r>
    </w:p>
    <w:p>
      <w:pPr>
        <w:spacing w:after="60"/>
        <w:jc w:val="center"/>
      </w:pPr>
      <w:r>
        <w:rPr>
          <w:rFonts w:ascii="Calibri" w:cs="Calibri" w:eastAsia="Calibri" w:hAnsi="Calibri"/>
          <w:b/>
          <w:bCs/>
          <w:color w:val="1A3A5C"/>
          <w:sz w:val="26"/>
          <w:szCs w:val="26"/>
        </w:rPr>
        <w:t xml:space="preserve">Asociación Mexicana de Gastroenterología (AMG)</w:t>
      </w:r>
    </w:p>
    <w:p>
      <w:pPr>
        <w:spacing w:after="60"/>
        <w:jc w:val="center"/>
      </w:pPr>
      <w:r>
        <w:rPr>
          <w:rFonts w:ascii="Calibri" w:cs="Calibri" w:eastAsia="Calibri" w:hAnsi="Calibri"/>
          <w:b/>
          <w:bCs/>
          <w:color w:val="E0179D"/>
          <w:sz w:val="22"/>
          <w:szCs w:val="22"/>
        </w:rPr>
        <w:t xml:space="preserve">Dra. Alejandra Noble · Presidenta AMG</w:t>
      </w:r>
    </w:p>
    <w:p>
      <w:pPr>
        <w:spacing w:after="400" w:before="0"/>
      </w:pPr>
    </w:p>
    <w:p>
      <w:pPr>
        <w:spacing w:after="60"/>
        <w:jc w:val="center"/>
      </w:pPr>
      <w:r>
        <w:rPr>
          <w:rFonts w:ascii="Calibri" w:cs="Calibri" w:eastAsia="Calibri" w:hAnsi="Calibri"/>
          <w:color w:val="2C2C2C"/>
          <w:sz w:val="20"/>
          <w:szCs w:val="20"/>
        </w:rPr>
        <w:t xml:space="preserve">Desarrollado por</w:t>
      </w:r>
    </w:p>
    <w:p>
      <w:pPr>
        <w:spacing w:after="60"/>
        <w:jc w:val="center"/>
      </w:pPr>
      <w:r>
        <w:rPr>
          <w:rFonts w:ascii="Calibri" w:cs="Calibri" w:eastAsia="Calibri" w:hAnsi="Calibri"/>
          <w:b/>
          <w:bCs/>
          <w:color w:val="4ECBCA"/>
          <w:sz w:val="22"/>
          <w:szCs w:val="22"/>
        </w:rPr>
        <w:t xml:space="preserve">Polar Multimedia · Agencia Creatrevida®</w:t>
      </w:r>
    </w:p>
    <w:p>
      <w:pPr>
        <w:spacing w:after="60"/>
        <w:jc w:val="center"/>
      </w:pPr>
      <w:r>
        <w:rPr>
          <w:rFonts w:ascii="Calibri" w:cs="Calibri" w:eastAsia="Calibri" w:hAnsi="Calibri"/>
          <w:color w:val="F47B20"/>
          <w:sz w:val="20"/>
          <w:szCs w:val="20"/>
        </w:rPr>
        <w:t xml:space="preserve">Versión 1.0 · Marzo 2026</w:t>
      </w:r>
    </w:p>
    <w:p>
      <w:r>
        <w:br w:type="page"/>
      </w:r>
    </w:p>
    <w:p>
      <w:pPr>
        <w:pStyle w:val="Heading1"/>
        <w:pBdr>
          <w:bottom w:val="single" w:color="4ECBCA" w:sz="4" w:space="2"/>
        </w:pBdr>
        <w:spacing w:after="100" w:before="320"/>
      </w:pPr>
      <w:r>
        <w:rPr>
          <w:rFonts w:ascii="Calibri" w:cs="Calibri" w:eastAsia="Calibri" w:hAnsi="Calibri"/>
          <w:b/>
          <w:bCs/>
          <w:color w:val="1A3A5C"/>
          <w:sz w:val="28"/>
          <w:szCs w:val="28"/>
        </w:rPr>
        <w:t xml:space="preserve">1. Propósito y Contexto del Hub</w:t>
      </w:r>
    </w:p>
    <w:p>
      <w:pPr>
        <w:spacing w:after="100" w:before="60"/>
      </w:pPr>
      <w:r>
        <w:rPr>
          <w:rFonts w:ascii="Calibri" w:cs="Calibri" w:eastAsia="Calibri" w:hAnsi="Calibri"/>
          <w:color w:val="2C2C2C"/>
          <w:sz w:val="22"/>
          <w:szCs w:val="22"/>
        </w:rPr>
        <w:t xml:space="preserve">El Hub de Salud Gástrica es una plataforma digital de información médica orientada a la detección temprana, diagnóstico y tratamiento de infecciones por Helicobacter pylori y sus complicaciones. Nace del acuerdo entre Polar Multimedia y la Asociación Mexicana de Gastroenterología (AMG), con el respaldo de su presidenta, la Dra. Alejandra Noble.</w:t>
      </w:r>
    </w:p>
    <w:p>
      <w:pPr>
        <w:spacing w:after="100" w:before="60"/>
      </w:pPr>
      <w:r>
        <w:rPr>
          <w:rFonts w:ascii="Calibri" w:cs="Calibri" w:eastAsia="Calibri" w:hAnsi="Calibri"/>
          <w:color w:val="2C2C2C"/>
          <w:sz w:val="22"/>
          <w:szCs w:val="22"/>
        </w:rPr>
        <w:t xml:space="preserve">El hub opera bajo un modelo híbrido: contenido educativo/institucional con patrocinio farmacéutico declarado. No realiza promoción directa de ningún medicamento. Su propósito es cerrar la brecha de información entre pacientes y especialistas en torno a una bacteria que afecta al 70% de los mexicanos.</w:t>
      </w:r>
    </w:p>
    <w:p>
      <w:pPr>
        <w:spacing w:after="80" w:before="0"/>
      </w:pPr>
    </w:p>
    <w:p>
      <w:pPr>
        <w:pStyle w:val="Heading2"/>
        <w:spacing w:after="80" w:before="240"/>
      </w:pPr>
      <w:r>
        <w:rPr>
          <w:rFonts w:ascii="Calibri" w:cs="Calibri" w:eastAsia="Calibri" w:hAnsi="Calibri"/>
          <w:b/>
          <w:bCs/>
          <w:color w:val="4ECBCA"/>
          <w:sz w:val="24"/>
          <w:szCs w:val="24"/>
        </w:rPr>
        <w:t xml:space="preserve">1.1 Contexto Epidemiológico</w:t>
      </w:r>
    </w:p>
    <w:p>
      <w:pPr>
        <w:spacing w:after="100" w:before="60"/>
      </w:pPr>
      <w:r>
        <w:rPr>
          <w:rFonts w:ascii="Calibri" w:cs="Calibri" w:eastAsia="Calibri" w:hAnsi="Calibri"/>
          <w:color w:val="2C2C2C"/>
          <w:sz w:val="22"/>
          <w:szCs w:val="22"/>
        </w:rPr>
        <w:t xml:space="preserve">Siete de cada diez mexicanos albergan H. pylori en su estómago. La mayoría lo desconoce. La infección puede permanecer asintomática durante años, progresando silenciosamente desde gastritis crónica hasta úlcera péptica y, en casos avanzados, cáncer gástrico — tercer tipo de cáncer más frecuente en México. La detección y erradicación oportunas son intervenciones de alto impacto en salud pública.</w:t>
      </w:r>
    </w:p>
    <w:p>
      <w:pPr>
        <w:spacing w:after="80" w:before="0"/>
      </w:pPr>
    </w:p>
    <w:p>
      <w:pPr>
        <w:pStyle w:val="Heading2"/>
        <w:spacing w:after="80" w:before="240"/>
      </w:pPr>
      <w:r>
        <w:rPr>
          <w:rFonts w:ascii="Calibri" w:cs="Calibri" w:eastAsia="Calibri" w:hAnsi="Calibri"/>
          <w:b/>
          <w:bCs/>
          <w:color w:val="4ECBCA"/>
          <w:sz w:val="24"/>
          <w:szCs w:val="24"/>
        </w:rPr>
        <w:t xml:space="preserve">1.2 Rol de la AMG</w:t>
      </w:r>
    </w:p>
    <w:p>
      <w:pPr>
        <w:spacing w:after="100" w:before="60"/>
      </w:pPr>
      <w:r>
        <w:rPr>
          <w:rFonts w:ascii="Calibri" w:cs="Calibri" w:eastAsia="Calibri" w:hAnsi="Calibri"/>
          <w:color w:val="2C2C2C"/>
          <w:sz w:val="22"/>
          <w:szCs w:val="22"/>
        </w:rPr>
        <w:t xml:space="preserve">La Asociación Mexicana de Gastroenterología (AMG), representada por su presidenta la Dra. Alejandra Noble, otorga el aval científico e institucional al hub. Esto implica: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Validación de criterios editoriales y protocolos de contenido.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Revisión de materiales clínicos previo a publicación.</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Presencia de su marca y sello en toda comunicación del hub.</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Vocería calificada para materiales de alto impacto (videos, webinars, comunicados).</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2. Filosofía Editorial</w:t>
      </w:r>
    </w:p>
    <w:p>
      <w:pPr>
        <w:spacing w:after="100" w:before="60"/>
      </w:pPr>
      <w:r>
        <w:rPr>
          <w:rFonts w:ascii="Calibri" w:cs="Calibri" w:eastAsia="Calibri" w:hAnsi="Calibri"/>
          <w:color w:val="2C2C2C"/>
          <w:sz w:val="22"/>
          <w:szCs w:val="22"/>
        </w:rPr>
        <w:t xml:space="preserve">El hub se rige por tres principios editoriales irrenunciables:</w:t>
      </w:r>
    </w:p>
    <w:p>
      <w:pPr>
        <w:spacing w:after="60" w:before="0"/>
      </w:pPr>
    </w:p>
    <w:p>
      <w:pPr>
        <w:spacing w:after="60" w:before="80"/>
      </w:pPr>
      <w:r>
        <w:rPr>
          <w:rFonts w:ascii="Calibri" w:cs="Calibri" w:eastAsia="Calibri" w:hAnsi="Calibri"/>
          <w:b/>
          <w:bCs/>
          <w:color w:val="E0179D"/>
          <w:sz w:val="18"/>
          <w:szCs w:val="18"/>
        </w:rPr>
        <w:t xml:space="preserve">  PRINCIPIO 1  </w:t>
      </w:r>
      <w:r>
        <w:rPr>
          <w:rFonts w:ascii="Calibri" w:cs="Calibri" w:eastAsia="Calibri" w:hAnsi="Calibri"/>
          <w:b/>
          <w:bCs/>
          <w:color w:val="1A3A5C"/>
          <w:sz w:val="22"/>
          <w:szCs w:val="22"/>
        </w:rPr>
        <w:t xml:space="preserve">  Rigor científico con lenguaje accesible</w:t>
      </w:r>
    </w:p>
    <w:p>
      <w:pPr>
        <w:spacing w:after="100" w:before="60"/>
      </w:pPr>
      <w:r>
        <w:rPr>
          <w:rFonts w:ascii="Calibri" w:cs="Calibri" w:eastAsia="Calibri" w:hAnsi="Calibri"/>
          <w:color w:val="2C2C2C"/>
          <w:sz w:val="22"/>
          <w:szCs w:val="22"/>
        </w:rPr>
        <w:t xml:space="preserve">Todo contenido se fundamenta en evidencia publicada (guías clínicas, consensos internacionales, artículos revisados por pares). El lenguaje se adapta al nivel de la audiencia sin sacrificar exactitud.</w:t>
      </w:r>
    </w:p>
    <w:p>
      <w:pPr>
        <w:spacing w:after="60" w:before="0"/>
      </w:pPr>
    </w:p>
    <w:p>
      <w:pPr>
        <w:spacing w:after="60" w:before="80"/>
      </w:pPr>
      <w:r>
        <w:rPr>
          <w:rFonts w:ascii="Calibri" w:cs="Calibri" w:eastAsia="Calibri" w:hAnsi="Calibri"/>
          <w:b/>
          <w:bCs/>
          <w:color w:val="E0179D"/>
          <w:sz w:val="18"/>
          <w:szCs w:val="18"/>
        </w:rPr>
        <w:t xml:space="preserve">  PRINCIPIO 2  </w:t>
      </w:r>
      <w:r>
        <w:rPr>
          <w:rFonts w:ascii="Calibri" w:cs="Calibri" w:eastAsia="Calibri" w:hAnsi="Calibri"/>
          <w:b/>
          <w:bCs/>
          <w:color w:val="1A3A5C"/>
          <w:sz w:val="22"/>
          <w:szCs w:val="22"/>
        </w:rPr>
        <w:t xml:space="preserve">  Neutralidad terapéutica</w:t>
      </w:r>
    </w:p>
    <w:p>
      <w:pPr>
        <w:spacing w:after="100" w:before="60"/>
      </w:pPr>
      <w:r>
        <w:rPr>
          <w:rFonts w:ascii="Calibri" w:cs="Calibri" w:eastAsia="Calibri" w:hAnsi="Calibri"/>
          <w:color w:val="2C2C2C"/>
          <w:sz w:val="22"/>
          <w:szCs w:val="22"/>
        </w:rPr>
        <w:t xml:space="preserve">El hub no favorece marcas, moléculas ni laboratorios específicos. El patrocinio se declara de forma transparente pero no influye en la selección ni en el enfoque editorial del contenido.</w:t>
      </w:r>
    </w:p>
    <w:p>
      <w:pPr>
        <w:spacing w:after="60" w:before="0"/>
      </w:pPr>
    </w:p>
    <w:p>
      <w:pPr>
        <w:spacing w:after="60" w:before="80"/>
      </w:pPr>
      <w:r>
        <w:rPr>
          <w:rFonts w:ascii="Calibri" w:cs="Calibri" w:eastAsia="Calibri" w:hAnsi="Calibri"/>
          <w:b/>
          <w:bCs/>
          <w:color w:val="E0179D"/>
          <w:sz w:val="18"/>
          <w:szCs w:val="18"/>
        </w:rPr>
        <w:t xml:space="preserve">  PRINCIPIO 3  </w:t>
      </w:r>
      <w:r>
        <w:rPr>
          <w:rFonts w:ascii="Calibri" w:cs="Calibri" w:eastAsia="Calibri" w:hAnsi="Calibri"/>
          <w:b/>
          <w:bCs/>
          <w:color w:val="1A3A5C"/>
          <w:sz w:val="22"/>
          <w:szCs w:val="22"/>
        </w:rPr>
        <w:t xml:space="preserve">  Orientación a la acción</w:t>
      </w:r>
    </w:p>
    <w:p>
      <w:pPr>
        <w:spacing w:after="100" w:before="60"/>
      </w:pPr>
      <w:r>
        <w:rPr>
          <w:rFonts w:ascii="Calibri" w:cs="Calibri" w:eastAsia="Calibri" w:hAnsi="Calibri"/>
          <w:color w:val="2C2C2C"/>
          <w:sz w:val="22"/>
          <w:szCs w:val="22"/>
        </w:rPr>
        <w:t xml:space="preserve">Cada pieza de contenido debe concluir con un llamado claro: que el paciente consulte a su médico o que el médico considere actualizar su protocolo. No se publican contenidos que no tengan un impacto práctico verificable.</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3. Criterios de Selección de Contenido</w:t>
      </w:r>
    </w:p>
    <w:p>
      <w:pPr>
        <w:pStyle w:val="Heading2"/>
        <w:spacing w:after="80" w:before="240"/>
      </w:pPr>
      <w:r>
        <w:rPr>
          <w:rFonts w:ascii="Calibri" w:cs="Calibri" w:eastAsia="Calibri" w:hAnsi="Calibri"/>
          <w:b/>
          <w:bCs/>
          <w:color w:val="4ECBCA"/>
          <w:sz w:val="24"/>
          <w:szCs w:val="24"/>
        </w:rPr>
        <w:t xml:space="preserve">3.1 Criterios para Contenido Dirigido a Pacientes</w:t>
      </w:r>
    </w:p>
    <w:p>
      <w:pPr>
        <w:spacing w:after="100" w:before="60"/>
      </w:pPr>
      <w:r>
        <w:rPr>
          <w:rFonts w:ascii="Calibri" w:cs="Calibri" w:eastAsia="Calibri" w:hAnsi="Calibri"/>
          <w:color w:val="2C2C2C"/>
          <w:sz w:val="22"/>
          <w:szCs w:val="22"/>
        </w:rPr>
        <w:t xml:space="preserve">Todo contenido en la sección de pacientes deberá cumplir los siguientes criterios antes de ser aprobado: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Criterio</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Comprensión</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Nivel de lectura equivalente a bachillerato. Sin jerga técnica no explicada.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Accionabilidad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El lector debe saber qué hacer tras consumir el contenido (consultar médico, realizarse una prueba, cambiar un hábito).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Validación médica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Revisado por al menos un médico gastroenterólogo certificado por la AMG antes de publicación.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Sin alarmismo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Información sobre riesgos presentada en contexto estadístico. No se usa lenguaje que genere miedo injustificado.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Fuentes visibles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Todo dato estadístico o clínico incluye referencia de fuente (pie de página o enlace).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Sin diagnóstico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No se recomienda ningún medicamento ni esquema de tratamiento específico. Siempre se remite al médico.</w:t>
            </w:r>
          </w:p>
        </w:tc>
      </w:tr>
    </w:tbl>
    <w:p>
      <w:pPr>
        <w:spacing w:after="160" w:before="0"/>
      </w:pPr>
    </w:p>
    <w:p>
      <w:pPr>
        <w:pStyle w:val="Heading2"/>
        <w:spacing w:after="80" w:before="240"/>
      </w:pPr>
      <w:r>
        <w:rPr>
          <w:rFonts w:ascii="Calibri" w:cs="Calibri" w:eastAsia="Calibri" w:hAnsi="Calibri"/>
          <w:b/>
          <w:bCs/>
          <w:color w:val="4ECBCA"/>
          <w:sz w:val="24"/>
          <w:szCs w:val="24"/>
        </w:rPr>
        <w:t xml:space="preserve">3.2 Criterios para Contenido Dirigido a Especialistas</w:t>
      </w:r>
    </w:p>
    <w:p>
      <w:pPr>
        <w:spacing w:after="100" w:before="60"/>
      </w:pPr>
      <w:r>
        <w:rPr>
          <w:rFonts w:ascii="Calibri" w:cs="Calibri" w:eastAsia="Calibri" w:hAnsi="Calibri"/>
          <w:color w:val="2C2C2C"/>
          <w:sz w:val="22"/>
          <w:szCs w:val="22"/>
        </w:rPr>
        <w:t xml:space="preserve">El contenido clínico para profesionales de salud deberá satisfacer los siguientes criterios: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Criterio</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Evidencia nivel I–II</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Ensayos clínicos aleatorizados, metaanálisis o consensos de sociedades científicas reconocidas (ACG, ESGE, AMG).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Actualidad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Publicaciones de los últimos 5 años. Contenido histórico permitido solo como contexto.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Aval AMG explícito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Materiales de práctica clínica deben llevar sello de revisión de la Dra. Alejandra Noble o delegado oficial.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Aplicabilidad México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Contenido adaptado a la realidad epidemiológica, farmacológica y regulatoria mexicana.</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Neutralidad comercial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 se mencionan marcas comerciales en contenido editorial. Solo DCI (Denominación Común Internacional).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Referencias completas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Lista de referencias en formato Vancouver al pie de cada pieza.</w:t>
            </w:r>
          </w:p>
        </w:tc>
      </w:tr>
    </w:tbl>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4. Temas Permitidos y Restringidos</w:t>
      </w:r>
    </w:p>
    <w:p>
      <w:pPr>
        <w:pStyle w:val="Heading2"/>
        <w:spacing w:after="80" w:before="240"/>
      </w:pPr>
      <w:r>
        <w:rPr>
          <w:rFonts w:ascii="Calibri" w:cs="Calibri" w:eastAsia="Calibri" w:hAnsi="Calibri"/>
          <w:b/>
          <w:bCs/>
          <w:color w:val="4ECBCA"/>
          <w:sz w:val="24"/>
          <w:szCs w:val="24"/>
        </w:rPr>
        <w:t xml:space="preserve">4.1 Temas Permitidos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Sección Pacientes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Sección Especialistas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¿Qué es H. pylori y cómo se contagia?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Epidemiología nacional e internacional de H. pylori</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Síntomas de alerta y cuándo ir al médico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Guías de diagnóstico: pruebas no invasivas e invasivas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Pruebas de diagnóstico disponibles (qué son, no cómo interpretarlas)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Esquemas de erradicación actualizados (cuádruples, terapias de rescate)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Gastritis, úlcera y cáncer gástrico: progresión y prevención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Resistencia antibiótica: panorama en México y LATAM</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Alimentación y hábitos que protegen la mucosa gástrica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Complicaciones: úlcera hemorrágica, perforación, cáncer gástrico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Importancia de completar el tratamiento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Casos clínicos ilustrativos (sin identificación de paciente)</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Preguntas frecuentes revisadas por médico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Actualización de guías AMG, ACG, ESGE</w:t>
            </w:r>
          </w:p>
        </w:tc>
      </w:tr>
    </w:tbl>
    <w:p>
      <w:pPr>
        <w:spacing w:after="160" w:before="0"/>
      </w:pPr>
    </w:p>
    <w:p>
      <w:pPr>
        <w:pStyle w:val="Heading2"/>
        <w:spacing w:after="80" w:before="240"/>
      </w:pPr>
      <w:r>
        <w:rPr>
          <w:rFonts w:ascii="Calibri" w:cs="Calibri" w:eastAsia="Calibri" w:hAnsi="Calibri"/>
          <w:b/>
          <w:bCs/>
          <w:color w:val="4ECBCA"/>
          <w:sz w:val="24"/>
          <w:szCs w:val="24"/>
        </w:rPr>
        <w:t xml:space="preserve">4.2 Temas Restringidos</w:t>
      </w:r>
    </w:p>
    <w:p>
      <w:pPr>
        <w:spacing w:after="100" w:before="60"/>
      </w:pPr>
      <w:r>
        <w:rPr>
          <w:rFonts w:ascii="Calibri" w:cs="Calibri" w:eastAsia="Calibri" w:hAnsi="Calibri"/>
          <w:color w:val="2C2C2C"/>
          <w:sz w:val="22"/>
          <w:szCs w:val="22"/>
        </w:rPr>
        <w:t xml:space="preserve">Los siguientes temas no podrán publicarse bajo ninguna circunstancia en el hub:</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Recomendación, comparación o mención de marcas comerciales de medicamentos.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Contenido que sugiera automedicación o abandono del tratamiento médico.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Testimoniales de pacientes con nombre completo o foto identificable.</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Afirmaciones no sustentadas en evidencia (curación con remedios caseros, suplementos sin respaldo clínico).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Contenido con conflicto de interés no declarado.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Información sobre dosis específicas de fármacos dirigida a pacientes.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Contenido generado sin revisión médica calificada.</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5. Niveles de Evidencia Requeridos</w:t>
      </w:r>
    </w:p>
    <w:p>
      <w:pPr>
        <w:spacing w:after="100" w:before="60"/>
      </w:pPr>
      <w:r>
        <w:rPr>
          <w:rFonts w:ascii="Calibri" w:cs="Calibri" w:eastAsia="Calibri" w:hAnsi="Calibri"/>
          <w:color w:val="2C2C2C"/>
          <w:sz w:val="22"/>
          <w:szCs w:val="22"/>
        </w:rPr>
        <w:t xml:space="preserve">El hub clasifica todo su contenido clínico según el sistema de niveles de evidencia de Oxford, adaptado para comunicación médica digital: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Nivel</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Fuente</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Aplicación en el Hub</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1A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Metaanálisis de ECA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Contenido clínico de alto impacto. Aval AMG requerido.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1B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ECA individual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Artículos para especialistas, actualizaciones terapéuticas.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2A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Revisiones sistemáticas de estudios de cohorte</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Material educativo para médicos. Citación obligatoria.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2B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Estudios de cohorte individuales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Notas clínicas, infografías para médicos. Contexto epidemiológico.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3–4</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Opinión experta, casos clínicos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Solo para contenido de pacientes con lenguaje educativo. Siempre acompañado de declaración: 'Consulta a tu médico'.</w:t>
            </w:r>
          </w:p>
        </w:tc>
      </w:tr>
    </w:tbl>
    <w:p>
      <w:pPr>
        <w:spacing w:after="160" w:before="0"/>
      </w:pPr>
    </w:p>
    <w:p>
      <w:pPr>
        <w:spacing w:after="100" w:before="60"/>
      </w:pPr>
      <w:r>
        <w:rPr>
          <w:rFonts w:ascii="Calibri" w:cs="Calibri" w:eastAsia="Calibri" w:hAnsi="Calibri"/>
          <w:color w:val="2C2C2C"/>
          <w:sz w:val="22"/>
          <w:szCs w:val="22"/>
        </w:rPr>
        <w:t xml:space="preserve">Nota: Todo contenido publicado debe indicar el nivel de evidencia en metadatos internos del sistema de gestión de contenidos (CMS), aunque no sea visible para el usuario final. Esto permite trazabilidad de calidad.</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6. Lineamientos de Compliance y Regulatorio</w:t>
      </w:r>
    </w:p>
    <w:p>
      <w:pPr>
        <w:pStyle w:val="Heading2"/>
        <w:spacing w:after="80" w:before="240"/>
      </w:pPr>
      <w:r>
        <w:rPr>
          <w:rFonts w:ascii="Calibri" w:cs="Calibri" w:eastAsia="Calibri" w:hAnsi="Calibri"/>
          <w:b/>
          <w:bCs/>
          <w:color w:val="4ECBCA"/>
          <w:sz w:val="24"/>
          <w:szCs w:val="24"/>
        </w:rPr>
        <w:t xml:space="preserve">6.1 Marco Regulatorio Aplicable</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Ley General de Salud (LGS) — Art. 306-308: publicidad de medicamentos y servicios de salud.</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Norma Oficial Mexicana NOM-073-SSA1: publicidad de insumos para la salud.</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Código de Ética de la Industria Farmacéutica (CANIFARMA).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Lineamientos digitales de COFEPRIS para información médica en internet.</w:t>
      </w:r>
    </w:p>
    <w:p>
      <w:pPr>
        <w:spacing w:after="80" w:before="0"/>
      </w:pPr>
    </w:p>
    <w:p>
      <w:pPr>
        <w:pStyle w:val="Heading2"/>
        <w:spacing w:after="80" w:before="240"/>
      </w:pPr>
      <w:r>
        <w:rPr>
          <w:rFonts w:ascii="Calibri" w:cs="Calibri" w:eastAsia="Calibri" w:hAnsi="Calibri"/>
          <w:b/>
          <w:bCs/>
          <w:color w:val="4ECBCA"/>
          <w:sz w:val="24"/>
          <w:szCs w:val="24"/>
        </w:rPr>
        <w:t xml:space="preserve">6.2 Reglas de Compliance Digital</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Cada pieza deberá incluir el disclaimer: 'Este contenido es de carácter informativo. No sustituye la consulta médica profesional.'</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El sello AMG solo se usa en materiales aprobados por la Dra. Alejandra Noble o su delegado designado.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El patrocinio farmacéutico se declara en el pie de cada pieza con la leyenda: 'Contenido con patrocinio declarado de [Laboratorio]. El patrocinador no intervino en la selección ni redacción del contenido.'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Ningún contenido puede hacer referencias comparativas entre marcas o tratamientos por nombre comercial.</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Los contenidos de acceso para médicos deben verificar cédula profesional o membresía AMG en el registro.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Toda actualización de contenido publicado requiere nueva revisión médica; no se permite edición directa sin validación.</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7. Flujo de Validación con AMG</w:t>
      </w:r>
    </w:p>
    <w:p>
      <w:pPr>
        <w:spacing w:after="100" w:before="60"/>
      </w:pPr>
      <w:r>
        <w:rPr>
          <w:rFonts w:ascii="Calibri" w:cs="Calibri" w:eastAsia="Calibri" w:hAnsi="Calibri"/>
          <w:color w:val="2C2C2C"/>
          <w:sz w:val="22"/>
          <w:szCs w:val="22"/>
        </w:rPr>
        <w:t xml:space="preserve">El proceso de validación y publicación de contenidos opera en cinco fases, con puntos de aprobación definidos: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60"/>
        <w:gridCol w:w="2000"/>
        <w:gridCol w:w="10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Fase</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Etapa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Actividad</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Responsable</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Plazo</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01</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Brief</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Propuesta de tema, ángulo editorial y audiencia objetivo.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Polar / Editor</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D0</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02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Redacción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Elaboración del contenido por redactor médico certificado.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Redactor Polar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D0–D3</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03</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Rev. interna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Revisión de estilo, compliance y criterios editoriales.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Editor Polar</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D4</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04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Rev. 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Validación científica por la Dra. Alejandra Noble o médico delegado 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D5–D7</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05</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Publicación</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Publicación con sello AMG, disclaimer y declaración de patrocinio.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Polar / CMS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D8</w:t>
            </w:r>
          </w:p>
        </w:tc>
      </w:tr>
    </w:tbl>
    <w:p>
      <w:pPr>
        <w:spacing w:after="120" w:before="0"/>
      </w:pPr>
    </w:p>
    <w:p>
      <w:pPr>
        <w:spacing w:after="100" w:before="60"/>
      </w:pPr>
      <w:r>
        <w:rPr>
          <w:rFonts w:ascii="Calibri" w:cs="Calibri" w:eastAsia="Calibri" w:hAnsi="Calibri"/>
          <w:color w:val="2C2C2C"/>
          <w:sz w:val="22"/>
          <w:szCs w:val="22"/>
        </w:rPr>
        <w:t xml:space="preserve">Los contenidos rechazados en fase 04 pasan a una iteración: el redactor atiende las observaciones y regresa a fase 03. Máximo dos rondas de revisión por pieza. De requerir tercera ronda, se escala al Editor General.</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8. Política de Patrocinio Declarado</w:t>
      </w:r>
    </w:p>
    <w:p>
      <w:pPr>
        <w:spacing w:after="100" w:before="60"/>
      </w:pPr>
      <w:r>
        <w:rPr>
          <w:rFonts w:ascii="Calibri" w:cs="Calibri" w:eastAsia="Calibri" w:hAnsi="Calibri"/>
          <w:color w:val="2C2C2C"/>
          <w:sz w:val="22"/>
          <w:szCs w:val="22"/>
        </w:rPr>
        <w:t xml:space="preserve">El hub opera bajo el principio de separación editorial absoluta entre contenido y patrocinio. Las reglas son:</w:t>
      </w:r>
    </w:p>
    <w:p>
      <w:pPr>
        <w:spacing w:after="60" w:before="0"/>
      </w:pPr>
    </w:p>
    <w:p>
      <w:pPr>
        <w:pStyle w:val="ListParagraph"/>
        <w:numPr>
          <w:ilvl w:val="0"/>
          <w:numId w:val="3"/>
        </w:numPr>
        <w:spacing w:after="60" w:before="40"/>
      </w:pPr>
      <w:r>
        <w:rPr>
          <w:rFonts w:ascii="Calibri" w:cs="Calibri" w:eastAsia="Calibri" w:hAnsi="Calibri"/>
          <w:color w:val="2C2C2C"/>
          <w:sz w:val="22"/>
          <w:szCs w:val="22"/>
        </w:rPr>
        <w:t xml:space="preserve">El patrocinador puede estar presente en banners, sección de 'socios' y espacios publicitarios delimitados, nunca en el cuerpo del contenido editorial.</w:t>
      </w:r>
    </w:p>
    <w:p>
      <w:pPr>
        <w:pStyle w:val="ListParagraph"/>
        <w:numPr>
          <w:ilvl w:val="0"/>
          <w:numId w:val="3"/>
        </w:numPr>
        <w:spacing w:after="60" w:before="40"/>
      </w:pPr>
      <w:r>
        <w:rPr>
          <w:rFonts w:ascii="Calibri" w:cs="Calibri" w:eastAsia="Calibri" w:hAnsi="Calibri"/>
          <w:color w:val="2C2C2C"/>
          <w:sz w:val="22"/>
          <w:szCs w:val="22"/>
        </w:rPr>
        <w:t xml:space="preserve">El patrocinador puede sugerir temas pero no puede influir en el enfoque, la redacción ni el resultado de la revisión médica.</w:t>
      </w:r>
    </w:p>
    <w:p>
      <w:pPr>
        <w:pStyle w:val="ListParagraph"/>
        <w:numPr>
          <w:ilvl w:val="0"/>
          <w:numId w:val="3"/>
        </w:numPr>
        <w:spacing w:after="60" w:before="40"/>
      </w:pPr>
      <w:r>
        <w:rPr>
          <w:rFonts w:ascii="Calibri" w:cs="Calibri" w:eastAsia="Calibri" w:hAnsi="Calibri"/>
          <w:color w:val="2C2C2C"/>
          <w:sz w:val="22"/>
          <w:szCs w:val="22"/>
        </w:rPr>
        <w:t xml:space="preserve">Todo contenido que haya recibido aportación económica de un laboratorio debe indicarlo explícitamente.</w:t>
      </w:r>
    </w:p>
    <w:p>
      <w:pPr>
        <w:pStyle w:val="ListParagraph"/>
        <w:numPr>
          <w:ilvl w:val="0"/>
          <w:numId w:val="3"/>
        </w:numPr>
        <w:spacing w:after="60" w:before="40"/>
      </w:pPr>
      <w:r>
        <w:rPr>
          <w:rFonts w:ascii="Calibri" w:cs="Calibri" w:eastAsia="Calibri" w:hAnsi="Calibri"/>
          <w:color w:val="2C2C2C"/>
          <w:sz w:val="22"/>
          <w:szCs w:val="22"/>
        </w:rPr>
        <w:t xml:space="preserve">Polar Multimedia es el garante de la independencia editorial y tiene derecho de veto sobre cualquier intervención del patrocinador que comprometa la integridad del contenido.</w:t>
      </w:r>
    </w:p>
    <w:p>
      <w:pPr>
        <w:pStyle w:val="ListParagraph"/>
        <w:numPr>
          <w:ilvl w:val="0"/>
          <w:numId w:val="3"/>
        </w:numPr>
        <w:spacing w:after="60" w:before="40"/>
      </w:pPr>
      <w:r>
        <w:rPr>
          <w:rFonts w:ascii="Calibri" w:cs="Calibri" w:eastAsia="Calibri" w:hAnsi="Calibri"/>
          <w:color w:val="2C2C2C"/>
          <w:sz w:val="22"/>
          <w:szCs w:val="22"/>
        </w:rPr>
        <w:t xml:space="preserve">El presupuesto de patrocinio no determina la cantidad ni la prominencia de contenidos relacionados con la terapéutica del patrocinador.</w:t>
      </w:r>
    </w:p>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9. Arquitectura de Contenidos del Hub</w:t>
      </w:r>
    </w:p>
    <w:p>
      <w:pPr>
        <w:pStyle w:val="Heading2"/>
        <w:spacing w:after="80" w:before="240"/>
      </w:pPr>
      <w:r>
        <w:rPr>
          <w:rFonts w:ascii="Calibri" w:cs="Calibri" w:eastAsia="Calibri" w:hAnsi="Calibri"/>
          <w:b/>
          <w:bCs/>
          <w:color w:val="4ECBCA"/>
          <w:sz w:val="24"/>
          <w:szCs w:val="24"/>
        </w:rPr>
        <w:t xml:space="preserve">9.1 Estructura General del Hub</w:t>
      </w:r>
    </w:p>
    <w:p>
      <w:pPr>
        <w:spacing w:after="100" w:before="60"/>
      </w:pPr>
      <w:r>
        <w:rPr>
          <w:rFonts w:ascii="Calibri" w:cs="Calibri" w:eastAsia="Calibri" w:hAnsi="Calibri"/>
          <w:color w:val="2C2C2C"/>
          <w:sz w:val="22"/>
          <w:szCs w:val="22"/>
        </w:rPr>
        <w:t xml:space="preserve">El hub se organiza en dos grandes áreas con acceso diferenciado, más secciones transversales: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Área Pacientes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Área Especialistas</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Secciones Transversales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Acceso libre, sin registro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Registro con cédula / membresía AMG</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Noticias / Novedades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Lenguaje educativo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Lenguaje clínico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Acerca del Hub</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Sin referencias técnicas visibles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Bibliografía Vancouver completa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Aval AMG / Directorio</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CTA: consulta a tu médico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CTA: actualiza tu práctica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Contacto / Patrocinadores</w:t>
            </w:r>
          </w:p>
        </w:tc>
      </w:tr>
    </w:tbl>
    <w:p>
      <w:pPr>
        <w:spacing w:after="160" w:before="0"/>
      </w:pPr>
    </w:p>
    <w:p>
      <w:pPr>
        <w:pStyle w:val="Heading2"/>
        <w:spacing w:after="80" w:before="240"/>
      </w:pPr>
      <w:r>
        <w:rPr>
          <w:rFonts w:ascii="Calibri" w:cs="Calibri" w:eastAsia="Calibri" w:hAnsi="Calibri"/>
          <w:b/>
          <w:bCs/>
          <w:color w:val="4ECBCA"/>
          <w:sz w:val="24"/>
          <w:szCs w:val="24"/>
        </w:rPr>
        <w:t xml:space="preserve">9.2 Mapa de Secciones — Área Pacientes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Inicio: headline impactante sobre H. pylori + dato epidemiológico México.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¿Qué es H. pylori? — Explicación básica, ciclo de vida, vías de contagio.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¿Tengo síntomas? — Señales de alerta, herramienta de autoevaluación (no diagnóstica).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El camino al diagnóstico — Tipos de pruebas, qué esperar, cómo prepararse.</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Después del diagnóstico — Qué sigue, importancia del tratamiento completo.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Cuida tu estómago — Hábitos, alimentación, prevención de reinfección.</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Preguntas frecuentes — Mínimo 20 Q&amp;A validadas por AMG.</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Encuentra a tu médico — Directorio de gastroenterólogos AMG por ciudad.</w:t>
      </w:r>
    </w:p>
    <w:p>
      <w:pPr>
        <w:spacing w:after="120" w:before="0"/>
      </w:pPr>
    </w:p>
    <w:p>
      <w:pPr>
        <w:pStyle w:val="Heading2"/>
        <w:spacing w:after="80" w:before="240"/>
      </w:pPr>
      <w:r>
        <w:rPr>
          <w:rFonts w:ascii="Calibri" w:cs="Calibri" w:eastAsia="Calibri" w:hAnsi="Calibri"/>
          <w:b/>
          <w:bCs/>
          <w:color w:val="4ECBCA"/>
          <w:sz w:val="24"/>
          <w:szCs w:val="24"/>
        </w:rPr>
        <w:t xml:space="preserve">9.3 Mapa de Secciones — Área Especialistas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Biblioteca clínica — Artículos, guías y consensos descargables.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Epidemiología — Mapas, estadísticas nacionales, tendencias de resistencia.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Diagnóstico actualizado — Protocolos, sensibilidad/especificidad de pruebas.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Esquemas de erradicación — Terapias de primera, segunda y tercera línea.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Manejo de complicaciones — Úlcera hemorrágica, perforación, cáncer gástrico incipiente.</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Casos clínicos — Presentaciones educativas con preguntas de autoevaluación.</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Congresos y formación — Agenda AMG, webinars, cursos acreditados.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Boletín para médicos — Suscripción a actualizaciones mensuales.</w:t>
      </w:r>
    </w:p>
    <w:p>
      <w:pPr>
        <w:spacing w:after="120" w:before="0"/>
      </w:pPr>
    </w:p>
    <w:p>
      <w:pPr>
        <w:pStyle w:val="Heading2"/>
        <w:spacing w:after="80" w:before="240"/>
      </w:pPr>
      <w:r>
        <w:rPr>
          <w:rFonts w:ascii="Calibri" w:cs="Calibri" w:eastAsia="Calibri" w:hAnsi="Calibri"/>
          <w:b/>
          <w:bCs/>
          <w:color w:val="4ECBCA"/>
          <w:sz w:val="24"/>
          <w:szCs w:val="24"/>
        </w:rPr>
        <w:t xml:space="preserve">9.4 Tipos de Formatos y Frecuencia de Publicación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Formato</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Audiencia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Frecuencia</w:t>
            </w:r>
          </w:p>
        </w:tc>
        <w:tc>
          <w:tcPr>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Longitud estimada</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Artículo educativo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Pacientes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2 por semana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500–800 palabras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Infografía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Ambas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 por semana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 imagen + copy breve</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Artículo clínico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Especialistas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1 por semana</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800–1,500 palabras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Caso clínico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Especialistas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Quincenal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1–2 páginas + autoevaluación</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Video educativo</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Pacientes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Mensual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2–4 minutos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Webinar AMG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Especialistas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Bimestral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60–90 minutos</w:t>
            </w:r>
          </w:p>
        </w:tc>
      </w:tr>
      <w:tr>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bCs/>
                <w:color w:val="1A3A5C"/>
                <w:sz w:val="20"/>
                <w:szCs w:val="20"/>
              </w:rPr>
              <w:t xml:space="preserve">Boletín mensual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Especialistas</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Mensual</w:t>
            </w:r>
          </w:p>
        </w:tc>
        <w:tc>
          <w:tcPr>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color w:val="2C2C2C"/>
                <w:sz w:val="20"/>
                <w:szCs w:val="20"/>
              </w:rPr>
              <w:t xml:space="preserve">5–8 noticias curadas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1A3A5C"/>
                <w:sz w:val="20"/>
                <w:szCs w:val="20"/>
              </w:rPr>
              <w:t xml:space="preserve">Q&amp;A verificada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Pacientes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Al lanzamiento + revisión semestral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C2C2C"/>
                <w:sz w:val="20"/>
                <w:szCs w:val="20"/>
              </w:rPr>
              <w:t xml:space="preserve">20 preguntas base</w:t>
            </w:r>
          </w:p>
        </w:tc>
      </w:tr>
    </w:tbl>
    <w:p>
      <w:pPr>
        <w:spacing w:after="200" w:before="0"/>
      </w:pPr>
    </w:p>
    <w:p>
      <w:pPr>
        <w:pStyle w:val="Heading1"/>
        <w:pBdr>
          <w:bottom w:val="single" w:color="4ECBCA" w:sz="4" w:space="2"/>
        </w:pBdr>
        <w:spacing w:after="100" w:before="320"/>
      </w:pPr>
      <w:r>
        <w:rPr>
          <w:rFonts w:ascii="Calibri" w:cs="Calibri" w:eastAsia="Calibri" w:hAnsi="Calibri"/>
          <w:b/>
          <w:bCs/>
          <w:color w:val="1A3A5C"/>
          <w:sz w:val="28"/>
          <w:szCs w:val="28"/>
        </w:rPr>
        <w:t xml:space="preserve">10. Métricas de Éxito y KPIs</w:t>
      </w:r>
    </w:p>
    <w:p>
      <w:pPr>
        <w:pStyle w:val="Heading2"/>
        <w:spacing w:after="80" w:before="240"/>
      </w:pPr>
      <w:r>
        <w:rPr>
          <w:rFonts w:ascii="Calibri" w:cs="Calibri" w:eastAsia="Calibri" w:hAnsi="Calibri"/>
          <w:b/>
          <w:bCs/>
          <w:color w:val="4ECBCA"/>
          <w:sz w:val="24"/>
          <w:szCs w:val="24"/>
        </w:rPr>
        <w:t xml:space="preserve">10.1 KPIs de Audiencia</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Usuarios únicos mensuales — Meta año 1: 25,000 / año 2: 75,000.</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Tiempo promedio en sitio — Meta: &gt; 3:30 min (indica consumo real de contenido).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Tasa de retorno — Meta: &gt; 35% de usuarios recurrentes.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Médicos registrados en área especialistas — Meta año 1: 500 / año 2: 1,500.</w:t>
      </w:r>
    </w:p>
    <w:p>
      <w:pPr>
        <w:spacing w:after="60" w:before="0"/>
      </w:pPr>
    </w:p>
    <w:p>
      <w:pPr>
        <w:pStyle w:val="Heading2"/>
        <w:spacing w:after="80" w:before="240"/>
      </w:pPr>
      <w:r>
        <w:rPr>
          <w:rFonts w:ascii="Calibri" w:cs="Calibri" w:eastAsia="Calibri" w:hAnsi="Calibri"/>
          <w:b/>
          <w:bCs/>
          <w:color w:val="4ECBCA"/>
          <w:sz w:val="24"/>
          <w:szCs w:val="24"/>
        </w:rPr>
        <w:t xml:space="preserve">10.2 KPIs de Contenido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Piezas publicadas por mes — Meta: mínimo 12 piezas (todas las audiencias).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Tasa de aprobación en primera revisión AMG — Meta: &gt; 80%.</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Tiempo promedio de ciclo de validación — Meta: ≤ 8 días hábiles.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Artículos más visitados / compartidos — Reporte mensual para optimización de temas.</w:t>
      </w:r>
    </w:p>
    <w:p>
      <w:pPr>
        <w:spacing w:after="60" w:before="0"/>
      </w:pPr>
    </w:p>
    <w:p>
      <w:pPr>
        <w:pStyle w:val="Heading2"/>
        <w:spacing w:after="80" w:before="240"/>
      </w:pPr>
      <w:r>
        <w:rPr>
          <w:rFonts w:ascii="Calibri" w:cs="Calibri" w:eastAsia="Calibri" w:hAnsi="Calibri"/>
          <w:b/>
          <w:bCs/>
          <w:color w:val="4ECBCA"/>
          <w:sz w:val="24"/>
          <w:szCs w:val="24"/>
        </w:rPr>
        <w:t xml:space="preserve">10.3 KPIs de Impacto</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Derivaciones a directorio de médicos — Meta: 1,000 clics/mes en año 1.</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Suscriptores al boletín especialistas — Meta: 300 en los primeros 6 meses.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Menciones en medios y redes sociales — Meta: 10 menciones orgánicas mensuales.</w:t>
      </w:r>
    </w:p>
    <w:p>
      <w:pPr>
        <w:pStyle w:val="ListParagraph"/>
        <w:numPr>
          <w:ilvl w:val="0"/>
          <w:numId w:val="2"/>
        </w:numPr>
        <w:spacing w:after="60" w:before="40"/>
      </w:pPr>
      <w:r>
        <w:rPr>
          <w:rFonts w:ascii="Calibri" w:cs="Calibri" w:eastAsia="Calibri" w:hAnsi="Calibri"/>
          <w:b w:val="false"/>
          <w:bCs w:val="false"/>
          <w:color w:val="2C2C2C"/>
          <w:sz w:val="22"/>
          <w:szCs w:val="22"/>
        </w:rPr>
        <w:t xml:space="preserve">NPS del hub (encuesta semestral) — Meta: &gt; 70 en ambas audiencias.</w:t>
      </w:r>
    </w:p>
    <w:p>
      <w:pPr>
        <w:spacing w:after="320" w:before="0"/>
      </w:pPr>
    </w:p>
    <w:p>
      <w:pPr>
        <w:pBdr>
          <w:bottom w:val="single" w:color="4ECBCA" w:sz="6" w:space="1"/>
        </w:pBdr>
        <w:spacing w:after="0"/>
      </w:pPr>
    </w:p>
    <w:p>
      <w:pPr>
        <w:spacing w:after="80" w:before="0"/>
      </w:pPr>
    </w:p>
    <w:p>
      <w:pPr>
        <w:spacing w:after="60"/>
        <w:jc w:val="center"/>
      </w:pPr>
      <w:r>
        <w:rPr>
          <w:rFonts w:ascii="Calibri" w:cs="Calibri" w:eastAsia="Calibri" w:hAnsi="Calibri"/>
          <w:color w:val="1A3A5C"/>
          <w:sz w:val="20"/>
          <w:szCs w:val="20"/>
        </w:rPr>
        <w:t xml:space="preserve">Documento preparado por Polar Multimedia · Agencia Creatrevida®</w:t>
      </w:r>
    </w:p>
    <w:p>
      <w:pPr>
        <w:spacing w:after="60"/>
        <w:jc w:val="center"/>
      </w:pPr>
      <w:r>
        <w:rPr>
          <w:rFonts w:ascii="Calibri" w:cs="Calibri" w:eastAsia="Calibri" w:hAnsi="Calibri"/>
          <w:color w:val="4ECBCA"/>
          <w:sz w:val="20"/>
          <w:szCs w:val="20"/>
        </w:rPr>
        <w:t xml:space="preserve">Con aval de la Asociación Mexicana de Gastroenterología (AMG)</w:t>
      </w:r>
    </w:p>
    <w:p>
      <w:pPr>
        <w:spacing w:after="60"/>
        <w:jc w:val="center"/>
      </w:pPr>
      <w:r>
        <w:rPr>
          <w:rFonts w:ascii="Calibri" w:cs="Calibri" w:eastAsia="Calibri" w:hAnsi="Calibri"/>
          <w:color w:val="F47B20"/>
          <w:sz w:val="18"/>
          <w:szCs w:val="18"/>
        </w:rPr>
        <w:t xml:space="preserve">Versión 1.0 · Marzo 2026 · Sujeto a revisión semestral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ECBCA" w:sz="2" w:space="2"/>
      </w:pBdr>
      <w:tabs>
        <w:tab w:val="center" w:pos="4680"/>
        <w:tab w:val="right" w:pos="9026"/>
      </w:tabs>
      <w:spacing w:before="60"/>
    </w:pPr>
    <w:r>
      <w:rPr>
        <w:rFonts w:ascii="Calibri" w:cs="Calibri" w:eastAsia="Calibri" w:hAnsi="Calibri"/>
        <w:color w:val="1A3A5C"/>
        <w:sz w:val="16"/>
        <w:szCs w:val="16"/>
      </w:rPr>
      <w:t xml:space="preserve">Roberto Carpinteyro · carpinteyro@polarmultimedia.com</w:t>
    </w:r>
    <w:r>
      <w:rPr>
        <w:rFonts w:ascii="Calibri" w:cs="Calibri" w:eastAsia="Calibri" w:hAnsi="Calibri"/>
        <w:sz w:val="16"/>
        <w:szCs w:val="16"/>
      </w:rPr>
      <w:t xml:space="preserve">	</w:t>
    </w:r>
    <w:r>
      <w:rPr>
        <w:rFonts w:ascii="Calibri" w:cs="Calibri" w:eastAsia="Calibri" w:hAnsi="Calibri"/>
        <w:color w:val="1A3A5C"/>
        <w:sz w:val="16"/>
        <w:szCs w:val="16"/>
      </w:rPr>
      <w:t xml:space="preserve">Página </w:t>
    </w:r>
    <w:r>
      <w:rPr>
        <w:rFonts w:ascii="Calibri" w:cs="Calibri" w:eastAsia="Calibri" w:hAnsi="Calibri"/>
        <w:color w:val="1A3A5C"/>
        <w:sz w:val="16"/>
        <w:szCs w:val="16"/>
      </w:rPr>
      <w:fldChar w:fldCharType="begin"/>
      <w:instrText xml:space="preserve">PAGE</w:instrText>
      <w:fldChar w:fldCharType="separate"/>
      <w:fldChar w:fldCharType="end"/>
    </w:r>
    <w:r>
      <w:rPr>
        <w:rFonts w:ascii="Calibri" w:cs="Calibri" w:eastAsia="Calibri" w:hAnsi="Calibri"/>
        <w:color w:val="1A3A5C"/>
        <w:sz w:val="16"/>
        <w:szCs w:val="16"/>
      </w:rPr>
      <w:t xml:space="preserve"> / </w:t>
    </w:r>
    <w:r>
      <w:rPr>
        <w:rFonts w:ascii="Calibri" w:cs="Calibri" w:eastAsia="Calibri" w:hAnsi="Calibri"/>
        <w:color w:val="1A3A5C"/>
        <w:sz w:val="16"/>
        <w:szCs w:val="16"/>
      </w:rPr>
      <w:fldChar w:fldCharType="begin"/>
      <w:instrText xml:space="preserve">NUMPAGES</w:instrText>
      <w:fldChar w:fldCharType="separate"/>
      <w:fldChar w:fldCharType="end"/>
    </w:r>
    <w:r>
      <w:rPr>
        <w:rFonts w:ascii="Calibri" w:cs="Calibri" w:eastAsia="Calibri" w:hAnsi="Calibri"/>
        <w:color w:val="1A3A5C"/>
        <w:sz w:val="16"/>
        <w:szCs w:val="16"/>
      </w:rPr>
      <w:t xml:space="preserve">	Polar Multimedia · WTC CDMX Piso 28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pPr>
    <w:r>
      <w:rPr>
        <w:rFonts w:ascii="Calibri" w:cs="Calibri" w:eastAsia="Calibri" w:hAnsi="Calibri"/>
        <w:b/>
        <w:bCs/>
        <w:color w:val="4ECBCA"/>
        <w:sz w:val="18"/>
        <w:szCs w:val="18"/>
      </w:rPr>
      <w:t xml:space="preserve">HUB SALUD GÁSTRICA | Criterios de Contenido &amp; Arquitectura</w:t>
    </w:r>
    <w:r>
      <w:rPr>
        <w:rFonts w:ascii="Calibri" w:cs="Calibri" w:eastAsia="Calibri" w:hAnsi="Calibri"/>
        <w:color w:val="1A3A5C"/>
        <w:sz w:val="18"/>
        <w:szCs w:val="18"/>
      </w:rPr>
      <w:t xml:space="preserve">	Aval AMG · 2026</w:t>
    </w:r>
  </w:p>
  <w:p>
    <w:pPr>
      <w:pBdr>
        <w:bottom w:val="single" w:color="4ECBCA"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Calibri" w:cs="Calibri" w:eastAsia="Calibri" w:hAnsi="Calibri"/>
      <w:b/>
      <w:bCs/>
      <w:color w:val="1A3A5C"/>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4ECBCA"/>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2026-03-25T20:26:53.943Z</dcterms:created>
  <dcterms:modified xsi:type="dcterms:W3CDTF">2026-03-25T20:26:53.943Z</dcterms:modified>
</cp:coreProperties>
</file>

<file path=docProps/custom.xml><?xml version="1.0" encoding="utf-8"?>
<Properties xmlns="http://schemas.openxmlformats.org/officeDocument/2006/custom-properties" xmlns:vt="http://schemas.openxmlformats.org/officeDocument/2006/docPropsVTypes"/>
</file>