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before="312" w:after="0"/>
        <w:jc w:val="center"/>
        <w:rPr>
          <w:sz w:val="44"/>
          <w:szCs w:val="44"/>
        </w:rPr>
      </w:pPr>
      <w:r>
        <w:rPr>
          <w:sz w:val="44"/>
          <w:szCs w:val="44"/>
        </w:rPr>
      </w:r>
    </w:p>
    <w:tbl>
      <w:tblPr>
        <w:tblW w:w="8775" w:type="dxa"/>
        <w:jc w:val="left"/>
        <w:tblInd w:w="-134" w:type="dxa"/>
        <w:tblLayout w:type="fixed"/>
        <w:tblCellMar>
          <w:top w:w="0" w:type="dxa"/>
          <w:left w:w="108" w:type="dxa"/>
          <w:bottom w:w="0" w:type="dxa"/>
          <w:right w:w="108" w:type="dxa"/>
        </w:tblCellMar>
      </w:tblPr>
      <w:tblGrid>
        <w:gridCol w:w="8775"/>
      </w:tblGrid>
      <w:tr>
        <w:trPr>
          <w:trHeight w:val="1707" w:hRule="atLeast"/>
        </w:trPr>
        <w:tc>
          <w:tcPr>
            <w:tcW w:w="8775"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sz w:val="44"/>
                <w:szCs w:val="44"/>
              </w:rPr>
            </w:pPr>
            <w:r>
              <w:rPr>
                <w:sz w:val="44"/>
                <w:szCs w:val="44"/>
              </w:rPr>
            </w:r>
          </w:p>
          <w:p>
            <w:pPr>
              <w:pStyle w:val="1"/>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软件安全性大纲</w:t>
            </w:r>
          </w:p>
        </w:tc>
      </w:tr>
      <w:tr>
        <w:trPr>
          <w:trHeight w:val="6138" w:hRule="atLeast"/>
        </w:trPr>
        <w:tc>
          <w:tcPr>
            <w:tcW w:w="8775"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before="240" w:after="0"/>
              <w:rPr>
                <w:rFonts w:eastAsia="宋体"/>
                <w:sz w:val="32"/>
                <w:szCs w:val="32"/>
                <w:lang w:val="en-US" w:eastAsia="zh-CN"/>
              </w:rPr>
            </w:pPr>
            <w:r>
              <w:rPr>
                <w:rFonts w:eastAsia="宋体"/>
                <w:sz w:val="32"/>
                <w:szCs w:val="32"/>
                <w:lang w:val="en-US" w:eastAsia="zh-CN"/>
              </w:rPr>
            </w:r>
          </w:p>
          <w:p>
            <w:pPr>
              <w:pStyle w:val="1"/>
              <w:spacing w:lineRule="auto" w:line="480" w:before="240" w:after="0"/>
              <w:rPr>
                <w:sz w:val="32"/>
                <w:szCs w:val="32"/>
              </w:rPr>
            </w:pPr>
            <w:r>
              <w:rPr>
                <w:sz w:val="32"/>
                <w:szCs w:val="32"/>
              </w:rPr>
            </w:r>
          </w:p>
          <w:p>
            <w:pPr>
              <w:pStyle w:val="1"/>
              <w:spacing w:lineRule="auto" w:line="480" w:before="240" w:after="0"/>
              <w:rPr>
                <w:sz w:val="32"/>
                <w:szCs w:val="32"/>
              </w:rPr>
            </w:pPr>
            <w:r>
              <w:rPr>
                <w:sz w:val="32"/>
                <w:szCs w:val="32"/>
              </w:rPr>
            </w:r>
          </w:p>
          <w:p>
            <w:pPr>
              <w:pStyle w:val="Style13"/>
              <w:spacing w:before="240" w:after="0"/>
              <w:ind w:left="0" w:hanging="0"/>
              <w:jc w:val="center"/>
              <w:rPr>
                <w:szCs w:val="32"/>
              </w:rPr>
            </w:pPr>
            <w:r>
              <w:rPr>
                <w:szCs w:val="32"/>
              </w:rPr>
              <w:t>XXXXXXXXXX</w:t>
            </w:r>
          </w:p>
          <w:p>
            <w:pPr>
              <w:pStyle w:val="Style13"/>
              <w:spacing w:before="240" w:after="0"/>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tbl>
      <w:tblPr>
        <w:tblW w:w="8588" w:type="dxa"/>
        <w:jc w:val="left"/>
        <w:tblInd w:w="52" w:type="dxa"/>
        <w:tblLayout w:type="fixed"/>
        <w:tblCellMar>
          <w:top w:w="0" w:type="dxa"/>
          <w:left w:w="108" w:type="dxa"/>
          <w:bottom w:w="0" w:type="dxa"/>
          <w:right w:w="108" w:type="dxa"/>
        </w:tblCellMar>
      </w:tblPr>
      <w:tblGrid>
        <w:gridCol w:w="8588"/>
      </w:tblGrid>
      <w:tr>
        <w:trPr>
          <w:trHeight w:val="1454" w:hRule="atLeast"/>
        </w:trPr>
        <w:tc>
          <w:tcPr>
            <w:tcW w:w="8588" w:type="dxa"/>
            <w:tcBorders>
              <w:top w:val="single" w:sz="4" w:space="0" w:color="000000"/>
              <w:left w:val="single" w:sz="4" w:space="0" w:color="000000"/>
              <w:right w:val="single" w:sz="4" w:space="0" w:color="000000"/>
            </w:tcBorders>
          </w:tcPr>
          <w:p>
            <w:pPr>
              <w:pStyle w:val="Style11"/>
              <w:snapToGrid w:val="false"/>
              <w:ind w:hanging="0"/>
              <w:rPr>
                <w:sz w:val="21"/>
                <w:szCs w:val="21"/>
              </w:rPr>
            </w:pPr>
            <w:r>
              <w:rPr>
                <w:sz w:val="21"/>
                <w:szCs w:val="21"/>
              </w:rPr>
            </w:r>
          </w:p>
        </w:tc>
      </w:tr>
      <w:tr>
        <w:trPr>
          <w:trHeight w:val="1502" w:hRule="atLeast"/>
        </w:trPr>
        <w:tc>
          <w:tcPr>
            <w:tcW w:w="8588"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sz w:val="44"/>
                <w:szCs w:val="44"/>
              </w:rPr>
              <w:t>外部型号</w:t>
            </w:r>
            <w:r>
              <w:rPr>
                <w:sz w:val="44"/>
                <w:szCs w:val="44"/>
              </w:rPr>
              <w:t>+</w:t>
            </w:r>
            <w:r>
              <w:rPr>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软件安全性大纲</w:t>
            </w:r>
          </w:p>
        </w:tc>
      </w:tr>
      <w:tr>
        <w:trPr>
          <w:trHeight w:val="6240" w:hRule="atLeast"/>
        </w:trPr>
        <w:tc>
          <w:tcPr>
            <w:tcW w:w="8588" w:type="dxa"/>
            <w:tcBorders>
              <w:left w:val="single" w:sz="4" w:space="0" w:color="000000"/>
              <w:bottom w:val="single" w:sz="4" w:space="0" w:color="000000"/>
              <w:right w:val="single" w:sz="4" w:space="0" w:color="000000"/>
            </w:tcBorders>
          </w:tcPr>
          <w:p>
            <w:pPr>
              <w:pStyle w:val="Style13"/>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3"/>
              <w:rPr>
                <w:rFonts w:ascii="Times New Roman" w:hAnsi="Times New Roman"/>
              </w:rPr>
            </w:pPr>
            <w:r>
              <w:rPr>
                <w:rFonts w:ascii="Times New Roman" w:hAnsi="Times New Roman"/>
              </w:rPr>
            </w:r>
          </w:p>
          <w:p>
            <w:pPr>
              <w:pStyle w:val="Style13"/>
              <w:ind w:left="0" w:hanging="0"/>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98"/>
              <w:rPr>
                <w:rFonts w:ascii="Times New Roman" w:hAnsi="Times New Roman"/>
              </w:rPr>
            </w:pPr>
            <w:r>
              <w:rPr/>
              <w:t>批准：</w:t>
            </w:r>
            <w:r>
              <w:rPr>
                <w:u w:val="single"/>
                <w:lang w:val="en-US" w:eastAsia="zh-CN"/>
              </w:rPr>
              <w:t xml:space="preserve">           </w:t>
            </w:r>
            <w:r>
              <w:rPr>
                <w:u w:val="single"/>
              </w:rPr>
              <w:tab/>
            </w:r>
            <w:r>
              <w:rPr/>
              <w:t>日期：</w:t>
            </w:r>
            <w:r>
              <w:rPr>
                <w:u w:val="single"/>
                <w:lang w:val="en-US" w:eastAsia="zh-CN"/>
              </w:rPr>
              <w:t xml:space="preserve">             </w:t>
            </w:r>
            <w:r>
              <w:rPr>
                <w:u w:val="single"/>
              </w:rPr>
              <w:tab/>
            </w:r>
          </w:p>
        </w:tc>
      </w:tr>
    </w:tbl>
    <w:p>
      <w:pPr>
        <w:pStyle w:val="1"/>
        <w:rPr/>
      </w:pPr>
      <w:r>
        <w:rPr/>
      </w:r>
    </w:p>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Style14"/>
        <w:rPr/>
      </w:pPr>
      <w:r>
        <w:rPr/>
        <w:t>目录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kern w:val="2"/>
              <w:rFonts w:eastAsia="黑体" w:ascii="黑体" w:hAnsi="黑体"/>
              <w:lang w:val="en-US" w:eastAsia="en-US"/>
            </w:rPr>
            <w:instrText xml:space="preserve"> TOC \o "1-3" \h \z \u </w:instrText>
          </w:r>
          <w:r>
            <w:rPr>
              <w:rStyle w:val="IndexLink"/>
              <w:kern w:val="2"/>
              <w:rFonts w:eastAsia="黑体" w:ascii="黑体" w:hAnsi="黑体"/>
              <w:lang w:val="en-US" w:eastAsia="en-US"/>
            </w:rPr>
            <w:fldChar w:fldCharType="separate"/>
          </w:r>
          <w:hyperlink w:anchor="__RefHeading___Toc58518978">
            <w:r>
              <w:rPr>
                <w:rStyle w:val="IndexLink"/>
                <w:rFonts w:eastAsia="黑体" w:ascii="黑体" w:hAnsi="黑体"/>
                <w:kern w:val="2"/>
                <w:lang w:val="en-US" w:eastAsia="en-US"/>
              </w:rPr>
              <w:t>1</w:t>
            </w:r>
            <w:r>
              <w:rPr>
                <w:rStyle w:val="IndexLink"/>
                <w:kern w:val="2"/>
                <w:lang w:val="en-US" w:eastAsia="en-US"/>
              </w:rPr>
              <w:t xml:space="preserve"> </w:t>
            </w:r>
            <w:r>
              <w:rPr>
                <w:rStyle w:val="IndexLink"/>
                <w:kern w:val="2"/>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79">
            <w:r>
              <w:rPr>
                <w:rStyle w:val="IndexLink"/>
                <w:rFonts w:cs="宋体" w:ascii="黑体" w:hAnsi="黑体"/>
                <w:lang w:val="en-US" w:eastAsia="en-US"/>
              </w:rPr>
              <w:t>1.1</w:t>
            </w:r>
            <w:r>
              <w:rPr>
                <w:rStyle w:val="IndexLink"/>
                <w:lang w:val="en-US" w:eastAsia="en-US"/>
              </w:rPr>
              <w:t xml:space="preserve"> </w:t>
            </w:r>
            <w:r>
              <w:rPr>
                <w:rStyle w:val="IndexLink"/>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80">
            <w:r>
              <w:rPr>
                <w:rStyle w:val="IndexLink"/>
                <w:rFonts w:ascii="黑体" w:hAnsi="黑体"/>
                <w:lang w:val="en-US" w:eastAsia="en-US"/>
              </w:rPr>
              <w:t>1.2</w:t>
            </w:r>
            <w:r>
              <w:rPr>
                <w:rStyle w:val="IndexLink"/>
                <w:lang w:val="en-US" w:eastAsia="en-US"/>
              </w:rPr>
              <w:t xml:space="preserve">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81">
            <w:r>
              <w:rPr>
                <w:rStyle w:val="IndexLink"/>
                <w:rFonts w:ascii="黑体" w:hAnsi="黑体"/>
                <w:lang w:val="en-US" w:eastAsia="en-US"/>
              </w:rPr>
              <w:t>1.3</w:t>
            </w:r>
            <w:r>
              <w:rPr>
                <w:rStyle w:val="IndexLink"/>
                <w:lang w:val="en-US" w:eastAsia="en-US"/>
              </w:rPr>
              <w:t xml:space="preserve"> </w:t>
            </w:r>
            <w:r>
              <w:rPr>
                <w:rStyle w:val="IndexLink"/>
                <w:lang w:val="en-US" w:eastAsia="en-US"/>
              </w:rPr>
              <w:t>文档概述</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982">
            <w:r>
              <w:rPr>
                <w:rStyle w:val="IndexLink"/>
                <w:rFonts w:eastAsia="黑体" w:ascii="黑体" w:hAnsi="黑体"/>
                <w:kern w:val="2"/>
                <w:lang w:val="en-US" w:eastAsia="en-US"/>
              </w:rPr>
              <w:t>2</w:t>
            </w:r>
            <w:r>
              <w:rPr>
                <w:rStyle w:val="IndexLink"/>
                <w:kern w:val="2"/>
                <w:lang w:val="en-US" w:eastAsia="en-US"/>
              </w:rPr>
              <w:t xml:space="preserve"> </w:t>
            </w:r>
            <w:r>
              <w:rPr>
                <w:rStyle w:val="IndexLink"/>
                <w:kern w:val="2"/>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983">
            <w:r>
              <w:rPr>
                <w:rStyle w:val="IndexLink"/>
                <w:rFonts w:eastAsia="黑体" w:ascii="黑体" w:hAnsi="黑体"/>
                <w:kern w:val="2"/>
                <w:lang w:val="en-US" w:eastAsia="en-US"/>
              </w:rPr>
              <w:t>3</w:t>
            </w:r>
            <w:r>
              <w:rPr>
                <w:rStyle w:val="IndexLink"/>
                <w:kern w:val="2"/>
                <w:lang w:val="en-US" w:eastAsia="en-US"/>
              </w:rPr>
              <w:t xml:space="preserve"> </w:t>
            </w:r>
            <w:r>
              <w:rPr>
                <w:rStyle w:val="IndexLink"/>
                <w:kern w:val="2"/>
                <w:lang w:val="en-US" w:eastAsia="en-US"/>
              </w:rPr>
              <w:t>软件生存周期</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84">
            <w:r>
              <w:rPr>
                <w:rStyle w:val="IndexLink"/>
                <w:rFonts w:ascii="黑体" w:hAnsi="黑体"/>
                <w:lang w:val="en-US" w:eastAsia="en-US"/>
              </w:rPr>
              <w:t>3.1</w:t>
            </w:r>
            <w:r>
              <w:rPr>
                <w:rStyle w:val="IndexLink"/>
                <w:lang w:val="en-US" w:eastAsia="en-US"/>
              </w:rPr>
              <w:t xml:space="preserve"> </w:t>
            </w:r>
            <w:r>
              <w:rPr>
                <w:rStyle w:val="IndexLink"/>
                <w:lang w:val="en-US" w:eastAsia="en-US"/>
              </w:rPr>
              <w:t>软件生存周期各阶段对安全性要求</w:t>
            </w:r>
            <w:r>
              <w:rPr>
                <w:rStyle w:val="IndexLink"/>
                <w:lang w:val="en-US" w:eastAsia="en-US"/>
              </w:rPr>
              <w:tab/>
              <w:t>1</w:t>
            </w:r>
          </w:hyperlink>
        </w:p>
        <w:p>
          <w:pPr>
            <w:pStyle w:val="Contents2"/>
            <w:tabs>
              <w:tab w:val="clear" w:pos="420"/>
              <w:tab w:val="right" w:pos="8296" w:leader="dot"/>
            </w:tabs>
            <w:rPr>
              <w:rFonts w:ascii="等线" w:hAnsi="等线" w:eastAsia="等线" w:cs="等线"/>
              <w:szCs w:val="22"/>
              <w:lang w:val="en-US" w:eastAsia="en-US"/>
            </w:rPr>
          </w:pPr>
          <w:hyperlink w:anchor="__RefHeading___Toc58518985">
            <w:r>
              <w:rPr>
                <w:rStyle w:val="IndexLink"/>
                <w:rFonts w:ascii="黑体" w:hAnsi="黑体"/>
                <w:lang w:val="en-US" w:eastAsia="en-US"/>
              </w:rPr>
              <w:t>3.2</w:t>
            </w:r>
            <w:r>
              <w:rPr>
                <w:rStyle w:val="IndexLink"/>
                <w:lang w:val="en-US" w:eastAsia="en-US"/>
              </w:rPr>
              <w:t xml:space="preserve"> </w:t>
            </w:r>
            <w:r>
              <w:rPr>
                <w:rStyle w:val="IndexLink"/>
                <w:lang w:val="en-US" w:eastAsia="en-US"/>
              </w:rPr>
              <w:t>软件生存周期安全性度量方法</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18986">
            <w:r>
              <w:rPr>
                <w:rStyle w:val="IndexLink"/>
                <w:rFonts w:eastAsia="黑体" w:ascii="黑体" w:hAnsi="黑体"/>
                <w:kern w:val="2"/>
                <w:lang w:val="en-US" w:eastAsia="en-US"/>
              </w:rPr>
              <w:t>4</w:t>
            </w:r>
            <w:r>
              <w:rPr>
                <w:rStyle w:val="IndexLink"/>
                <w:kern w:val="2"/>
                <w:lang w:val="en-US" w:eastAsia="en-US"/>
              </w:rPr>
              <w:t xml:space="preserve"> </w:t>
            </w:r>
            <w:r>
              <w:rPr>
                <w:rStyle w:val="IndexLink"/>
                <w:kern w:val="2"/>
                <w:lang w:val="en-US" w:eastAsia="en-US"/>
              </w:rPr>
              <w:t>软件安全性大纲要求</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987">
            <w:r>
              <w:rPr>
                <w:rStyle w:val="IndexLink"/>
                <w:rFonts w:ascii="黑体" w:hAnsi="黑体"/>
                <w:lang w:val="en-US" w:eastAsia="en-US"/>
              </w:rPr>
              <w:t>4.1</w:t>
            </w:r>
            <w:r>
              <w:rPr>
                <w:rStyle w:val="IndexLink"/>
                <w:lang w:val="en-US" w:eastAsia="en-US"/>
              </w:rPr>
              <w:t xml:space="preserve"> </w:t>
            </w:r>
            <w:r>
              <w:rPr>
                <w:rStyle w:val="IndexLink"/>
                <w:lang w:val="en-US" w:eastAsia="en-US"/>
              </w:rPr>
              <w:t>考虑的主要因素：</w:t>
            </w:r>
            <w:r>
              <w:rPr>
                <w:rStyle w:val="IndexLink"/>
                <w:lang w:val="en-US" w:eastAsia="en-US"/>
              </w:rPr>
              <w:tab/>
              <w:t>2</w:t>
            </w:r>
          </w:hyperlink>
        </w:p>
        <w:p>
          <w:pPr>
            <w:pStyle w:val="Contents2"/>
            <w:tabs>
              <w:tab w:val="clear" w:pos="420"/>
              <w:tab w:val="right" w:pos="8296" w:leader="dot"/>
            </w:tabs>
            <w:rPr>
              <w:rFonts w:ascii="等线" w:hAnsi="等线" w:eastAsia="等线" w:cs="等线"/>
              <w:szCs w:val="22"/>
              <w:lang w:val="en-US" w:eastAsia="en-US"/>
            </w:rPr>
          </w:pPr>
          <w:hyperlink w:anchor="__RefHeading___Toc58518988">
            <w:r>
              <w:rPr>
                <w:rStyle w:val="IndexLink"/>
                <w:rFonts w:ascii="黑体" w:hAnsi="黑体"/>
                <w:lang w:val="en-US" w:eastAsia="en-US"/>
              </w:rPr>
              <w:t>4.2</w:t>
            </w:r>
            <w:r>
              <w:rPr>
                <w:rStyle w:val="IndexLink"/>
                <w:lang w:val="en-US" w:eastAsia="en-US"/>
              </w:rPr>
              <w:t xml:space="preserve"> </w:t>
            </w:r>
            <w:r>
              <w:rPr>
                <w:rStyle w:val="IndexLink"/>
                <w:lang w:val="en-US" w:eastAsia="en-US"/>
              </w:rPr>
              <w:t>主要活动项目</w:t>
            </w:r>
            <w:r>
              <w:rPr>
                <w:rStyle w:val="IndexLink"/>
                <w:lang w:val="en-US" w:eastAsia="en-US"/>
              </w:rPr>
              <w:tab/>
              <w:t>2</w:t>
            </w:r>
          </w:hyperlink>
        </w:p>
        <w:p>
          <w:pPr>
            <w:pStyle w:val="Contents3"/>
            <w:tabs>
              <w:tab w:val="clear" w:pos="420"/>
              <w:tab w:val="right" w:pos="8296" w:leader="dot"/>
            </w:tabs>
            <w:rPr>
              <w:lang w:val="en-US" w:eastAsia="en-US"/>
            </w:rPr>
          </w:pPr>
          <w:hyperlink w:anchor="__RefHeading___Toc58518989">
            <w:r>
              <w:rPr>
                <w:rStyle w:val="IndexLink"/>
                <w:rFonts w:eastAsia="黑体" w:ascii="黑体" w:hAnsi="黑体"/>
                <w:lang w:val="en-US" w:eastAsia="en-US"/>
              </w:rPr>
              <w:t>4.2.1</w:t>
            </w:r>
            <w:r>
              <w:rPr>
                <w:rStyle w:val="IndexLink"/>
                <w:lang w:val="en-US" w:eastAsia="en-US"/>
              </w:rPr>
              <w:t xml:space="preserve"> </w:t>
            </w:r>
            <w:r>
              <w:rPr>
                <w:rStyle w:val="IndexLink"/>
                <w:lang w:val="en-US" w:eastAsia="en-US"/>
              </w:rPr>
              <w:t>可行性论证</w:t>
            </w:r>
            <w:r>
              <w:rPr>
                <w:rStyle w:val="IndexLink"/>
                <w:lang w:val="en-US" w:eastAsia="en-US"/>
              </w:rPr>
              <w:tab/>
              <w:t>2</w:t>
            </w:r>
          </w:hyperlink>
        </w:p>
        <w:p>
          <w:pPr>
            <w:pStyle w:val="Contents3"/>
            <w:tabs>
              <w:tab w:val="clear" w:pos="420"/>
              <w:tab w:val="right" w:pos="8296" w:leader="dot"/>
            </w:tabs>
            <w:rPr>
              <w:lang w:val="en-US" w:eastAsia="en-US"/>
            </w:rPr>
          </w:pPr>
          <w:hyperlink w:anchor="__RefHeading___Toc58518990">
            <w:r>
              <w:rPr>
                <w:rStyle w:val="IndexLink"/>
                <w:rFonts w:eastAsia="黑体" w:ascii="黑体" w:hAnsi="黑体"/>
                <w:lang w:val="en-US" w:eastAsia="en-US"/>
              </w:rPr>
              <w:t>4.2.2</w:t>
            </w:r>
            <w:r>
              <w:rPr>
                <w:rStyle w:val="IndexLink"/>
                <w:lang w:val="en-US" w:eastAsia="en-US"/>
              </w:rPr>
              <w:t xml:space="preserve"> </w:t>
            </w:r>
            <w:r>
              <w:rPr>
                <w:rStyle w:val="IndexLink"/>
                <w:lang w:val="en-US" w:eastAsia="en-US"/>
              </w:rPr>
              <w:t>需求分析阶段</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18991">
            <w:r>
              <w:rPr>
                <w:rStyle w:val="IndexLink"/>
                <w:rFonts w:eastAsia="黑体" w:ascii="黑体" w:hAnsi="黑体"/>
                <w:lang w:val="en-US" w:eastAsia="en-US"/>
              </w:rPr>
              <w:t>4.2.3</w:t>
            </w:r>
            <w:r>
              <w:rPr>
                <w:rStyle w:val="IndexLink"/>
                <w:lang w:val="en-US" w:eastAsia="en-US"/>
              </w:rPr>
              <w:t xml:space="preserve"> </w:t>
            </w:r>
            <w:r>
              <w:rPr>
                <w:rStyle w:val="IndexLink"/>
                <w:lang w:val="en-US" w:eastAsia="en-US"/>
              </w:rPr>
              <w:t>安全运行环境分析</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18992">
            <w:r>
              <w:rPr>
                <w:rStyle w:val="IndexLink"/>
                <w:rFonts w:eastAsia="黑体" w:ascii="黑体" w:hAnsi="黑体"/>
                <w:lang w:val="en-US" w:eastAsia="en-US"/>
              </w:rPr>
              <w:t>4.2.4</w:t>
            </w:r>
            <w:r>
              <w:rPr>
                <w:rStyle w:val="IndexLink"/>
                <w:lang w:val="en-US" w:eastAsia="en-US"/>
              </w:rPr>
              <w:t xml:space="preserve"> </w:t>
            </w:r>
            <w:r>
              <w:rPr>
                <w:rStyle w:val="IndexLink"/>
                <w:lang w:val="en-US" w:eastAsia="en-US"/>
              </w:rPr>
              <w:t>选定或制定规范和准则</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18993">
            <w:r>
              <w:rPr>
                <w:rStyle w:val="IndexLink"/>
                <w:rFonts w:eastAsia="黑体" w:ascii="黑体" w:hAnsi="黑体"/>
                <w:lang w:val="en-US" w:eastAsia="en-US"/>
              </w:rPr>
              <w:t>4.2.5</w:t>
            </w:r>
            <w:r>
              <w:rPr>
                <w:rStyle w:val="IndexLink"/>
                <w:lang w:val="en-US" w:eastAsia="en-US"/>
              </w:rPr>
              <w:t xml:space="preserve"> </w:t>
            </w:r>
            <w:r>
              <w:rPr>
                <w:rStyle w:val="IndexLink"/>
                <w:lang w:val="en-US" w:eastAsia="en-US"/>
              </w:rPr>
              <w:t>软件安全性分析</w:t>
            </w:r>
            <w:r>
              <w:rPr>
                <w:rStyle w:val="IndexLink"/>
                <w:lang w:val="en-US" w:eastAsia="en-US"/>
              </w:rPr>
              <w:tab/>
              <w:t>3</w:t>
            </w:r>
          </w:hyperlink>
        </w:p>
        <w:p>
          <w:pPr>
            <w:pStyle w:val="Contents3"/>
            <w:tabs>
              <w:tab w:val="clear" w:pos="420"/>
              <w:tab w:val="right" w:pos="8296" w:leader="dot"/>
            </w:tabs>
            <w:rPr>
              <w:lang w:val="en-US" w:eastAsia="en-US"/>
            </w:rPr>
          </w:pPr>
          <w:hyperlink w:anchor="__RefHeading___Toc58518994">
            <w:r>
              <w:rPr>
                <w:rStyle w:val="IndexLink"/>
                <w:rFonts w:eastAsia="黑体" w:ascii="黑体" w:hAnsi="黑体"/>
                <w:lang w:val="en-US" w:eastAsia="en-US"/>
              </w:rPr>
              <w:t>4.2.6</w:t>
            </w:r>
            <w:r>
              <w:rPr>
                <w:rStyle w:val="IndexLink"/>
                <w:lang w:val="en-US" w:eastAsia="en-US"/>
              </w:rPr>
              <w:t xml:space="preserve"> </w:t>
            </w:r>
            <w:r>
              <w:rPr>
                <w:rStyle w:val="IndexLink"/>
                <w:lang w:val="en-US" w:eastAsia="en-US"/>
              </w:rPr>
              <w:t>评审</w:t>
            </w:r>
            <w:r>
              <w:rPr>
                <w:rStyle w:val="IndexLink"/>
                <w:lang w:val="en-US" w:eastAsia="en-US"/>
              </w:rPr>
              <w:tab/>
              <w:t>4</w:t>
            </w:r>
          </w:hyperlink>
        </w:p>
        <w:p>
          <w:pPr>
            <w:pStyle w:val="Contents3"/>
            <w:tabs>
              <w:tab w:val="clear" w:pos="420"/>
              <w:tab w:val="right" w:pos="8296" w:leader="dot"/>
            </w:tabs>
            <w:rPr>
              <w:lang w:val="en-US" w:eastAsia="en-US"/>
            </w:rPr>
          </w:pPr>
          <w:hyperlink w:anchor="__RefHeading___Toc58518995">
            <w:r>
              <w:rPr>
                <w:rStyle w:val="IndexLink"/>
                <w:rFonts w:eastAsia="黑体" w:ascii="黑体" w:hAnsi="黑体"/>
                <w:lang w:val="en-US" w:eastAsia="en-US"/>
              </w:rPr>
              <w:t>4.2.7</w:t>
            </w:r>
            <w:r>
              <w:rPr>
                <w:rStyle w:val="IndexLink"/>
                <w:lang w:val="en-US" w:eastAsia="en-US"/>
              </w:rPr>
              <w:t xml:space="preserve"> </w:t>
            </w:r>
            <w:r>
              <w:rPr>
                <w:rStyle w:val="IndexLink"/>
                <w:lang w:val="en-US" w:eastAsia="en-US"/>
              </w:rPr>
              <w:t>安全性事件文件和数据记录</w:t>
            </w:r>
            <w:r>
              <w:rPr>
                <w:rStyle w:val="IndexLink"/>
                <w:lang w:val="en-US" w:eastAsia="en-US"/>
              </w:rPr>
              <w:tab/>
              <w:t>4</w:t>
            </w:r>
          </w:hyperlink>
        </w:p>
        <w:p>
          <w:pPr>
            <w:pStyle w:val="Contents3"/>
            <w:tabs>
              <w:tab w:val="clear" w:pos="420"/>
              <w:tab w:val="right" w:pos="8296" w:leader="dot"/>
            </w:tabs>
            <w:rPr>
              <w:lang w:val="en-US" w:eastAsia="en-US"/>
            </w:rPr>
          </w:pPr>
          <w:hyperlink w:anchor="__RefHeading___Toc58518996">
            <w:r>
              <w:rPr>
                <w:rStyle w:val="IndexLink"/>
                <w:rFonts w:eastAsia="黑体" w:ascii="黑体" w:hAnsi="黑体"/>
                <w:lang w:val="en-US" w:eastAsia="en-US"/>
              </w:rPr>
              <w:t>4.2.8</w:t>
            </w:r>
            <w:r>
              <w:rPr>
                <w:rStyle w:val="IndexLink"/>
                <w:lang w:val="en-US" w:eastAsia="en-US"/>
              </w:rPr>
              <w:t xml:space="preserve"> </w:t>
            </w:r>
            <w:r>
              <w:rPr>
                <w:rStyle w:val="IndexLink"/>
                <w:lang w:val="en-US" w:eastAsia="en-US"/>
              </w:rPr>
              <w:t>安全培训</w:t>
            </w:r>
            <w:r>
              <w:rPr>
                <w:rStyle w:val="IndexLink"/>
                <w:lang w:val="en-US" w:eastAsia="en-US"/>
              </w:rPr>
              <w:tab/>
              <w:t>5</w:t>
            </w:r>
          </w:hyperlink>
        </w:p>
        <w:p>
          <w:pPr>
            <w:pStyle w:val="Contents3"/>
            <w:tabs>
              <w:tab w:val="clear" w:pos="420"/>
              <w:tab w:val="right" w:pos="8296" w:leader="dot"/>
            </w:tabs>
            <w:rPr>
              <w:lang w:val="en-US" w:eastAsia="en-US"/>
            </w:rPr>
          </w:pPr>
          <w:hyperlink w:anchor="__RefHeading___Toc58518997">
            <w:r>
              <w:rPr>
                <w:rStyle w:val="IndexLink"/>
                <w:rFonts w:eastAsia="黑体" w:ascii="黑体" w:hAnsi="黑体"/>
                <w:lang w:val="en-US" w:eastAsia="en-US"/>
              </w:rPr>
              <w:t>4.2.9</w:t>
            </w:r>
            <w:r>
              <w:rPr>
                <w:rStyle w:val="IndexLink"/>
                <w:lang w:val="en-US" w:eastAsia="en-US"/>
              </w:rPr>
              <w:t xml:space="preserve"> </w:t>
            </w:r>
            <w:r>
              <w:rPr>
                <w:rStyle w:val="IndexLink"/>
                <w:lang w:val="en-US" w:eastAsia="en-US"/>
              </w:rPr>
              <w:t>安全保障要求</w:t>
            </w:r>
            <w:r>
              <w:rPr>
                <w:rStyle w:val="IndexLink"/>
                <w:lang w:val="en-US" w:eastAsia="en-US"/>
              </w:rPr>
              <w:tab/>
              <w:t>5</w:t>
            </w:r>
          </w:hyperlink>
          <w:r>
            <w:rPr>
              <w:rStyle w:val="IndexLink"/>
              <w:lang w:val="en-US" w:eastAsia="en-US"/>
            </w:rPr>
            <w:fldChar w:fldCharType="end"/>
          </w:r>
        </w:p>
      </w:sdtContent>
    </w:sdt>
    <w:p>
      <w:pPr>
        <w:pStyle w:val="Normal"/>
        <w:rPr>
          <w:b/>
          <w:b/>
          <w:bCs/>
          <w:lang w:val="zh-CN" w:eastAsia="en-US"/>
        </w:rPr>
      </w:pPr>
      <w:r>
        <w:rPr>
          <w:b/>
          <w:bCs/>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numPr>
          <w:ilvl w:val="0"/>
          <w:numId w:val="11"/>
        </w:numPr>
        <w:spacing w:lineRule="auto" w:line="240" w:before="156" w:after="156"/>
        <w:rPr>
          <w:kern w:val="2"/>
          <w:sz w:val="24"/>
          <w:szCs w:val="24"/>
        </w:rPr>
      </w:pPr>
      <w:bookmarkStart w:id="0" w:name="__RefHeading___Toc58518978"/>
      <w:bookmarkEnd w:id="0"/>
      <w:r>
        <w:rPr>
          <w:kern w:val="2"/>
          <w:sz w:val="24"/>
          <w:szCs w:val="24"/>
        </w:rPr>
        <w:t>范围</w:t>
      </w:r>
    </w:p>
    <w:p>
      <w:pPr>
        <w:pStyle w:val="2ChapterXXStatementh22Header2l2Level2Hea"/>
        <w:numPr>
          <w:ilvl w:val="1"/>
          <w:numId w:val="11"/>
        </w:numPr>
        <w:rPr>
          <w:rFonts w:ascii="宋体" w:hAnsi="宋体" w:cs="宋体"/>
        </w:rPr>
      </w:pPr>
      <w:bookmarkStart w:id="1" w:name="__RefHeading___Toc58518979"/>
      <w:bookmarkEnd w:id="1"/>
      <w:r>
        <w:rPr/>
        <w:t>标识</w:t>
      </w:r>
    </w:p>
    <w:p>
      <w:pPr>
        <w:pStyle w:val="Style7"/>
        <w:numPr>
          <w:ilvl w:val="0"/>
          <w:numId w:val="2"/>
        </w:numPr>
        <w:tabs>
          <w:tab w:val="clear" w:pos="420"/>
          <w:tab w:val="left" w:pos="842" w:leader="none"/>
        </w:tabs>
        <w:spacing w:lineRule="auto" w:line="360"/>
        <w:ind w:left="839" w:hanging="357"/>
        <w:rPr>
          <w:rFonts w:ascii="Times New Roman" w:hAnsi="Times New Roman"/>
        </w:rPr>
      </w:pPr>
      <w:bookmarkStart w:id="2" w:name="OLE_LINK4"/>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标题：；</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软件名称；</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7"/>
        <w:numPr>
          <w:ilvl w:val="0"/>
          <w:numId w:val="2"/>
        </w:numPr>
        <w:tabs>
          <w:tab w:val="clear" w:pos="420"/>
          <w:tab w:val="left" w:pos="842" w:leader="none"/>
        </w:tabs>
        <w:spacing w:lineRule="auto" w:line="360"/>
        <w:ind w:left="839" w:hanging="357"/>
        <w:rPr>
          <w:rFonts w:ascii="Times New Roman" w:hAnsi="Times New Roman"/>
        </w:rPr>
      </w:pPr>
      <w:r>
        <w:rPr>
          <w:rFonts w:ascii="Times New Roman" w:hAnsi="Times New Roman"/>
        </w:rPr>
        <w:t>软件版本号</w:t>
      </w:r>
      <w:r>
        <w:rPr>
          <w:rFonts w:ascii="Times New Roman" w:hAnsi="Times New Roman"/>
        </w:rPr>
        <w:t>。</w:t>
      </w:r>
    </w:p>
    <w:p>
      <w:pPr>
        <w:pStyle w:val="2ChapterXXStatementh22Header2l2Level2Hea"/>
        <w:numPr>
          <w:ilvl w:val="1"/>
          <w:numId w:val="11"/>
        </w:numPr>
        <w:rPr/>
      </w:pPr>
      <w:bookmarkStart w:id="3" w:name="OLE_LINK4"/>
      <w:bookmarkStart w:id="4" w:name="__RefHeading___Toc58518980"/>
      <w:bookmarkEnd w:id="3"/>
      <w:bookmarkEnd w:id="4"/>
      <w:r>
        <w:rPr/>
        <w:t>系统概述</w:t>
      </w:r>
    </w:p>
    <w:p>
      <w:pPr>
        <w:pStyle w:val="2ChapterXXStatementh22Header2l2Level2Hea"/>
        <w:numPr>
          <w:ilvl w:val="1"/>
          <w:numId w:val="11"/>
        </w:numPr>
        <w:rPr/>
      </w:pPr>
      <w:bookmarkStart w:id="5" w:name="__RefHeading___Toc58518981"/>
      <w:bookmarkEnd w:id="5"/>
      <w:r>
        <w:rPr/>
        <w:t>文档概述</w:t>
      </w:r>
    </w:p>
    <w:p>
      <w:pPr>
        <w:pStyle w:val="Heading1"/>
        <w:numPr>
          <w:ilvl w:val="0"/>
          <w:numId w:val="11"/>
        </w:numPr>
        <w:spacing w:lineRule="auto" w:line="240" w:before="156" w:after="156"/>
        <w:rPr>
          <w:kern w:val="2"/>
          <w:sz w:val="24"/>
          <w:szCs w:val="24"/>
        </w:rPr>
      </w:pPr>
      <w:bookmarkStart w:id="6" w:name="__RefHeading___Toc58518982"/>
      <w:bookmarkEnd w:id="6"/>
      <w:r>
        <w:rPr>
          <w:kern w:val="2"/>
          <w:sz w:val="24"/>
          <w:szCs w:val="24"/>
        </w:rPr>
        <w:t>引用文档</w:t>
      </w:r>
    </w:p>
    <w:p>
      <w:pPr>
        <w:pStyle w:val="Normal"/>
        <w:jc w:val="center"/>
        <w:rPr>
          <w:rFonts w:ascii="宋体" w:hAnsi="宋体"/>
          <w:szCs w:val="21"/>
        </w:rPr>
      </w:pPr>
      <w:r>
        <w:rPr>
          <w:rFonts w:ascii="宋体" w:hAnsi="宋体"/>
          <w:szCs w:val="21"/>
        </w:rPr>
        <w:t>表</w:t>
      </w:r>
      <w:r>
        <w:rPr>
          <w:rFonts w:ascii="宋体" w:hAnsi="宋体"/>
          <w:szCs w:val="21"/>
        </w:rPr>
        <w:t>-X</w:t>
      </w:r>
    </w:p>
    <w:tbl>
      <w:tblPr>
        <w:tblW w:w="8928" w:type="dxa"/>
        <w:jc w:val="left"/>
        <w:tblInd w:w="0" w:type="dxa"/>
        <w:tblLayout w:type="fixed"/>
        <w:tblCellMar>
          <w:top w:w="0" w:type="dxa"/>
          <w:left w:w="108" w:type="dxa"/>
          <w:bottom w:w="0" w:type="dxa"/>
          <w:right w:w="108" w:type="dxa"/>
        </w:tblCellMar>
      </w:tblPr>
      <w:tblGrid>
        <w:gridCol w:w="468"/>
        <w:gridCol w:w="3060"/>
        <w:gridCol w:w="1980"/>
        <w:gridCol w:w="1440"/>
        <w:gridCol w:w="1980"/>
      </w:tblGrid>
      <w:tr>
        <w:trPr/>
        <w:tc>
          <w:tcPr>
            <w:tcW w:w="468" w:type="dxa"/>
            <w:tcBorders>
              <w:top w:val="single" w:sz="12" w:space="0" w:color="000000"/>
              <w:left w:val="single" w:sz="12"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序号</w:t>
            </w:r>
          </w:p>
        </w:tc>
        <w:tc>
          <w:tcPr>
            <w:tcW w:w="306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名称</w:t>
            </w:r>
          </w:p>
        </w:tc>
        <w:tc>
          <w:tcPr>
            <w:tcW w:w="198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版本</w:t>
            </w:r>
          </w:p>
        </w:tc>
        <w:tc>
          <w:tcPr>
            <w:tcW w:w="1440" w:type="dxa"/>
            <w:tcBorders>
              <w:top w:val="single" w:sz="12" w:space="0" w:color="000000"/>
              <w:left w:val="single" w:sz="4" w:space="0" w:color="000000"/>
              <w:bottom w:val="single" w:sz="12" w:space="0" w:color="000000"/>
              <w:right w:val="single" w:sz="4" w:space="0" w:color="000000"/>
            </w:tcBorders>
            <w:vAlign w:val="center"/>
          </w:tcPr>
          <w:p>
            <w:pPr>
              <w:pStyle w:val="Normal"/>
              <w:jc w:val="center"/>
              <w:rPr>
                <w:rFonts w:ascii="宋体" w:hAnsi="宋体"/>
                <w:b/>
                <w:b/>
                <w:szCs w:val="21"/>
              </w:rPr>
            </w:pPr>
            <w:r>
              <w:rPr>
                <w:rFonts w:ascii="宋体" w:hAnsi="宋体"/>
                <w:b/>
                <w:szCs w:val="21"/>
              </w:rPr>
              <w:t>发布日期</w:t>
            </w:r>
          </w:p>
        </w:tc>
        <w:tc>
          <w:tcPr>
            <w:tcW w:w="1980" w:type="dxa"/>
            <w:tcBorders>
              <w:top w:val="single" w:sz="12" w:space="0" w:color="000000"/>
              <w:left w:val="single" w:sz="4" w:space="0" w:color="000000"/>
              <w:bottom w:val="single" w:sz="12" w:space="0" w:color="000000"/>
              <w:right w:val="single" w:sz="12" w:space="0" w:color="000000"/>
            </w:tcBorders>
            <w:vAlign w:val="center"/>
          </w:tcPr>
          <w:p>
            <w:pPr>
              <w:pStyle w:val="Normal"/>
              <w:jc w:val="center"/>
              <w:rPr>
                <w:rFonts w:ascii="宋体" w:hAnsi="宋体"/>
                <w:b/>
                <w:b/>
                <w:szCs w:val="21"/>
              </w:rPr>
            </w:pPr>
            <w:r>
              <w:rPr>
                <w:rFonts w:ascii="宋体" w:hAnsi="宋体"/>
                <w:b/>
                <w:szCs w:val="21"/>
              </w:rPr>
              <w:t>来源</w:t>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rPr>
                <w:kern w:val="2"/>
              </w:rPr>
            </w:pPr>
            <w:r>
              <w:rPr>
                <w:kern w:val="2"/>
              </w:rPr>
              <w:t>1</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r>
        <w:trPr/>
        <w:tc>
          <w:tcPr>
            <w:tcW w:w="468" w:type="dxa"/>
            <w:tcBorders>
              <w:top w:val="single" w:sz="12" w:space="0" w:color="000000"/>
              <w:left w:val="single" w:sz="12" w:space="0" w:color="000000"/>
              <w:bottom w:val="single" w:sz="4" w:space="0" w:color="000000"/>
              <w:right w:val="single" w:sz="4" w:space="0" w:color="000000"/>
            </w:tcBorders>
            <w:vAlign w:val="center"/>
          </w:tcPr>
          <w:p>
            <w:pPr>
              <w:pStyle w:val="Style17"/>
              <w:numPr>
                <w:ilvl w:val="0"/>
                <w:numId w:val="3"/>
              </w:numPr>
              <w:rPr>
                <w:kern w:val="2"/>
              </w:rPr>
            </w:pPr>
            <w:r>
              <w:rPr>
                <w:kern w:val="2"/>
              </w:rPr>
              <w:t>2</w:t>
            </w:r>
          </w:p>
        </w:tc>
        <w:tc>
          <w:tcPr>
            <w:tcW w:w="3060" w:type="dxa"/>
            <w:tcBorders>
              <w:top w:val="single" w:sz="12" w:space="0" w:color="000000"/>
              <w:left w:val="single" w:sz="4" w:space="0" w:color="000000"/>
              <w:bottom w:val="single" w:sz="4" w:space="0" w:color="000000"/>
              <w:right w:val="single" w:sz="4" w:space="0" w:color="000000"/>
            </w:tcBorders>
            <w:vAlign w:val="center"/>
          </w:tcPr>
          <w:p>
            <w:pPr>
              <w:pStyle w:val="4"/>
              <w:snapToGrid w:val="false"/>
              <w:rPr>
                <w:rFonts w:ascii="宋体" w:hAnsi="宋体"/>
                <w:spacing w:val="0"/>
                <w:kern w:val="2"/>
                <w:szCs w:val="21"/>
              </w:rPr>
            </w:pPr>
            <w:r>
              <w:rPr>
                <w:rFonts w:ascii="宋体" w:hAnsi="宋体"/>
                <w:spacing w:val="0"/>
                <w:kern w:val="2"/>
                <w:szCs w:val="21"/>
              </w:rPr>
            </w:r>
          </w:p>
        </w:tc>
        <w:tc>
          <w:tcPr>
            <w:tcW w:w="198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440" w:type="dxa"/>
            <w:tcBorders>
              <w:top w:val="single" w:sz="12" w:space="0" w:color="000000"/>
              <w:left w:val="single" w:sz="4" w:space="0" w:color="000000"/>
              <w:bottom w:val="single" w:sz="4" w:space="0" w:color="000000"/>
              <w:right w:val="single" w:sz="4" w:space="0" w:color="000000"/>
            </w:tcBorders>
            <w:vAlign w:val="center"/>
          </w:tcPr>
          <w:p>
            <w:pPr>
              <w:pStyle w:val="4"/>
              <w:snapToGrid w:val="false"/>
              <w:jc w:val="center"/>
              <w:rPr>
                <w:rFonts w:ascii="宋体" w:hAnsi="宋体"/>
                <w:spacing w:val="0"/>
                <w:szCs w:val="21"/>
              </w:rPr>
            </w:pPr>
            <w:r>
              <w:rPr>
                <w:rFonts w:ascii="宋体" w:hAnsi="宋体"/>
                <w:spacing w:val="0"/>
                <w:szCs w:val="21"/>
              </w:rPr>
            </w:r>
          </w:p>
        </w:tc>
        <w:tc>
          <w:tcPr>
            <w:tcW w:w="1980" w:type="dxa"/>
            <w:tcBorders>
              <w:top w:val="single" w:sz="12" w:space="0" w:color="000000"/>
              <w:left w:val="single" w:sz="4" w:space="0" w:color="000000"/>
              <w:bottom w:val="single" w:sz="4" w:space="0" w:color="000000"/>
              <w:right w:val="single" w:sz="12" w:space="0" w:color="000000"/>
            </w:tcBorders>
            <w:vAlign w:val="center"/>
          </w:tcPr>
          <w:p>
            <w:pPr>
              <w:pStyle w:val="4"/>
              <w:snapToGrid w:val="false"/>
              <w:rPr>
                <w:rFonts w:ascii="宋体" w:hAnsi="宋体"/>
                <w:spacing w:val="0"/>
                <w:szCs w:val="21"/>
              </w:rPr>
            </w:pPr>
            <w:r>
              <w:rPr>
                <w:rFonts w:ascii="宋体" w:hAnsi="宋体"/>
                <w:spacing w:val="0"/>
                <w:szCs w:val="21"/>
              </w:rPr>
            </w:r>
          </w:p>
        </w:tc>
      </w:tr>
    </w:tbl>
    <w:p>
      <w:pPr>
        <w:pStyle w:val="Heading1"/>
        <w:numPr>
          <w:ilvl w:val="0"/>
          <w:numId w:val="11"/>
        </w:numPr>
        <w:spacing w:lineRule="auto" w:line="240" w:before="156" w:after="156"/>
        <w:rPr>
          <w:kern w:val="2"/>
          <w:sz w:val="24"/>
          <w:szCs w:val="24"/>
        </w:rPr>
      </w:pPr>
      <w:bookmarkStart w:id="7" w:name="__RefHeading___Toc58518983"/>
      <w:bookmarkEnd w:id="7"/>
      <w:r>
        <w:rPr>
          <w:kern w:val="2"/>
          <w:sz w:val="24"/>
          <w:szCs w:val="24"/>
        </w:rPr>
        <w:t>软件生存周期</w:t>
      </w:r>
    </w:p>
    <w:p>
      <w:pPr>
        <w:pStyle w:val="2ChapterXXStatementh22Header2l2Level2Hea"/>
        <w:numPr>
          <w:ilvl w:val="1"/>
          <w:numId w:val="11"/>
        </w:numPr>
        <w:rPr/>
      </w:pPr>
      <w:bookmarkStart w:id="8" w:name="__RefHeading___Toc58518984"/>
      <w:bookmarkEnd w:id="8"/>
      <w:r>
        <w:rPr/>
        <w:t>软件生存周期各阶段对安全性要求</w:t>
      </w:r>
    </w:p>
    <w:p>
      <w:pPr>
        <w:pStyle w:val="3"/>
        <w:numPr>
          <w:ilvl w:val="0"/>
          <w:numId w:val="16"/>
        </w:numPr>
        <w:tabs>
          <w:tab w:val="left" w:pos="453" w:leader="none"/>
        </w:tabs>
        <w:spacing w:lineRule="auto" w:line="360" w:before="0" w:after="0"/>
        <w:rPr>
          <w:sz w:val="24"/>
          <w:szCs w:val="24"/>
        </w:rPr>
      </w:pPr>
      <w:r>
        <w:rPr>
          <w:sz w:val="24"/>
          <w:szCs w:val="24"/>
        </w:rPr>
        <w:t>可行性研究与计划阶段——进行项目安全可行性分析。制订初步项目安全计划，提出软件安全性目标、要求及经费。</w:t>
      </w:r>
    </w:p>
    <w:p>
      <w:pPr>
        <w:pStyle w:val="3"/>
        <w:numPr>
          <w:ilvl w:val="0"/>
          <w:numId w:val="16"/>
        </w:numPr>
        <w:tabs>
          <w:tab w:val="left" w:pos="453" w:leader="none"/>
        </w:tabs>
        <w:spacing w:lineRule="auto" w:line="360" w:before="0" w:after="0"/>
        <w:rPr>
          <w:sz w:val="24"/>
          <w:szCs w:val="24"/>
        </w:rPr>
      </w:pPr>
      <w:r>
        <w:rPr>
          <w:sz w:val="24"/>
          <w:szCs w:val="24"/>
        </w:rPr>
        <w:t>需求分析阶段——将合同的技术内容细化为具体产品安全需求。分析和确定软件安全性的目标，制定大纲。</w:t>
      </w:r>
    </w:p>
    <w:p>
      <w:pPr>
        <w:pStyle w:val="3"/>
        <w:numPr>
          <w:ilvl w:val="0"/>
          <w:numId w:val="16"/>
        </w:numPr>
        <w:tabs>
          <w:tab w:val="left" w:pos="453" w:leader="none"/>
        </w:tabs>
        <w:spacing w:lineRule="auto" w:line="360" w:before="0" w:after="0"/>
        <w:rPr>
          <w:sz w:val="24"/>
          <w:szCs w:val="24"/>
        </w:rPr>
      </w:pPr>
      <w:r>
        <w:rPr>
          <w:sz w:val="24"/>
          <w:szCs w:val="24"/>
        </w:rPr>
        <w:t>概要设计阶段——进行软件安全性目标分配，进行安全性概要设计，并明确对详细设计的具体要求。</w:t>
      </w:r>
    </w:p>
    <w:p>
      <w:pPr>
        <w:pStyle w:val="3"/>
        <w:numPr>
          <w:ilvl w:val="0"/>
          <w:numId w:val="16"/>
        </w:numPr>
        <w:tabs>
          <w:tab w:val="left" w:pos="453" w:leader="none"/>
        </w:tabs>
        <w:spacing w:lineRule="auto" w:line="360" w:before="0" w:after="0"/>
        <w:rPr>
          <w:sz w:val="24"/>
          <w:szCs w:val="24"/>
        </w:rPr>
      </w:pPr>
      <w:r>
        <w:rPr>
          <w:sz w:val="24"/>
          <w:szCs w:val="24"/>
        </w:rPr>
        <w:t>详细设计阶段——进行软件安全性详细设计，编写相应的设计说明，明确对实阶段的具体要求。</w:t>
      </w:r>
    </w:p>
    <w:p>
      <w:pPr>
        <w:pStyle w:val="3"/>
        <w:numPr>
          <w:ilvl w:val="0"/>
          <w:numId w:val="16"/>
        </w:numPr>
        <w:tabs>
          <w:tab w:val="left" w:pos="453" w:leader="none"/>
        </w:tabs>
        <w:spacing w:lineRule="auto" w:line="360" w:before="0" w:after="0"/>
        <w:rPr>
          <w:sz w:val="24"/>
          <w:szCs w:val="24"/>
        </w:rPr>
      </w:pPr>
      <w:r>
        <w:rPr>
          <w:sz w:val="24"/>
          <w:szCs w:val="24"/>
        </w:rPr>
        <w:t>实现阶段——进行单元测试，分析和验证有关软件安全性的部分要求。</w:t>
      </w:r>
    </w:p>
    <w:p>
      <w:pPr>
        <w:pStyle w:val="3"/>
        <w:numPr>
          <w:ilvl w:val="0"/>
          <w:numId w:val="16"/>
        </w:numPr>
        <w:tabs>
          <w:tab w:val="left" w:pos="453" w:leader="none"/>
        </w:tabs>
        <w:spacing w:lineRule="auto" w:line="360" w:before="0" w:after="0"/>
        <w:rPr>
          <w:sz w:val="24"/>
          <w:szCs w:val="24"/>
        </w:rPr>
      </w:pPr>
      <w:r>
        <w:rPr>
          <w:sz w:val="24"/>
          <w:szCs w:val="24"/>
        </w:rPr>
        <w:t>组装测试阶段——进行组装测试，并进一步分析软件安全性。</w:t>
      </w:r>
    </w:p>
    <w:p>
      <w:pPr>
        <w:pStyle w:val="3"/>
        <w:numPr>
          <w:ilvl w:val="0"/>
          <w:numId w:val="16"/>
        </w:numPr>
        <w:tabs>
          <w:tab w:val="left" w:pos="453" w:leader="none"/>
        </w:tabs>
        <w:spacing w:lineRule="auto" w:line="360" w:before="0" w:after="0"/>
        <w:rPr>
          <w:sz w:val="24"/>
          <w:szCs w:val="24"/>
        </w:rPr>
      </w:pPr>
      <w:r>
        <w:rPr>
          <w:sz w:val="24"/>
          <w:szCs w:val="24"/>
        </w:rPr>
        <w:t>确认测试阶段——确认软件产品的安全性是否达到预定的目标。</w:t>
      </w:r>
    </w:p>
    <w:p>
      <w:pPr>
        <w:pStyle w:val="3"/>
        <w:numPr>
          <w:ilvl w:val="0"/>
          <w:numId w:val="16"/>
        </w:numPr>
        <w:tabs>
          <w:tab w:val="left" w:pos="453" w:leader="none"/>
        </w:tabs>
        <w:spacing w:lineRule="auto" w:line="360" w:before="0" w:after="0"/>
        <w:rPr>
          <w:sz w:val="24"/>
          <w:szCs w:val="24"/>
        </w:rPr>
      </w:pPr>
      <w:r>
        <w:rPr>
          <w:sz w:val="24"/>
          <w:szCs w:val="24"/>
        </w:rPr>
        <w:t>使用和维护阶段——采集数据，定期评价，加强维护管理，以确保软件的安全性增长。</w:t>
      </w:r>
    </w:p>
    <w:p>
      <w:pPr>
        <w:pStyle w:val="2ChapterXXStatementh22Header2l2Level2Hea"/>
        <w:numPr>
          <w:ilvl w:val="1"/>
          <w:numId w:val="11"/>
        </w:numPr>
        <w:rPr/>
      </w:pPr>
      <w:bookmarkStart w:id="9" w:name="__RefHeading___Toc58518985"/>
      <w:bookmarkEnd w:id="9"/>
      <w:r>
        <w:rPr/>
        <w:t>软件生存周期安全性度量方法</w:t>
      </w:r>
    </w:p>
    <w:p>
      <w:pPr>
        <w:pStyle w:val="Normal"/>
        <w:spacing w:lineRule="auto" w:line="360"/>
        <w:ind w:firstLine="480"/>
        <w:rPr>
          <w:sz w:val="24"/>
        </w:rPr>
      </w:pPr>
      <w:r>
        <w:rPr>
          <w:sz w:val="24"/>
        </w:rPr>
        <w:t>在软件生存周期的各个阶段，应进行与安全性有关的度量，度量方法通常分定性的估计、定量的预测和测量等等。具体方法的选择应视软件所处的阶段和其活动而定，其目的是保证在软件生存周期的特定阶段的关键问题能得到及时解决。</w:t>
      </w:r>
    </w:p>
    <w:p>
      <w:pPr>
        <w:pStyle w:val="Heading1"/>
        <w:numPr>
          <w:ilvl w:val="0"/>
          <w:numId w:val="11"/>
        </w:numPr>
        <w:spacing w:lineRule="auto" w:line="240" w:before="156" w:after="156"/>
        <w:rPr>
          <w:kern w:val="2"/>
          <w:sz w:val="24"/>
          <w:szCs w:val="24"/>
        </w:rPr>
      </w:pPr>
      <w:bookmarkStart w:id="10" w:name="__RefHeading___Toc58518986"/>
      <w:bookmarkEnd w:id="10"/>
      <w:r>
        <w:rPr>
          <w:kern w:val="2"/>
          <w:sz w:val="24"/>
          <w:szCs w:val="24"/>
        </w:rPr>
        <w:t>软件安全性大纲要求</w:t>
      </w:r>
    </w:p>
    <w:p>
      <w:pPr>
        <w:pStyle w:val="Normal"/>
        <w:spacing w:lineRule="auto" w:line="360"/>
        <w:ind w:firstLine="480"/>
        <w:rPr>
          <w:sz w:val="24"/>
        </w:rPr>
      </w:pPr>
      <w:r>
        <w:rPr>
          <w:sz w:val="24"/>
        </w:rPr>
        <w:t>根据合同或协议书中对软件安全性的要求编制大纲，大纲的制定和修改应按质量保证的有关标准规定的程序进行评审和审批，大纲的实施应由主管机构和软件开发项目各层次安全负责人分工负责。同时纳入软件开发计划，并与系统管理相结合，充分考虑技术及成本因素实施综合管理。</w:t>
      </w:r>
    </w:p>
    <w:p>
      <w:pPr>
        <w:pStyle w:val="2ChapterXXStatementh22Header2l2Level2Hea"/>
        <w:numPr>
          <w:ilvl w:val="1"/>
          <w:numId w:val="11"/>
        </w:numPr>
        <w:rPr/>
      </w:pPr>
      <w:bookmarkStart w:id="11" w:name="__RefHeading___Toc58518987"/>
      <w:bookmarkEnd w:id="11"/>
      <w:r>
        <w:rPr/>
        <w:t>考虑的主要因素：</w:t>
      </w:r>
    </w:p>
    <w:p>
      <w:pPr>
        <w:pStyle w:val="Normal"/>
        <w:numPr>
          <w:ilvl w:val="0"/>
          <w:numId w:val="4"/>
        </w:numPr>
        <w:tabs>
          <w:tab w:val="clear" w:pos="420"/>
          <w:tab w:val="left" w:pos="675" w:leader="none"/>
        </w:tabs>
        <w:spacing w:lineRule="auto" w:line="360"/>
        <w:ind w:left="660" w:hanging="345"/>
        <w:rPr>
          <w:sz w:val="24"/>
        </w:rPr>
      </w:pPr>
      <w:r>
        <w:rPr>
          <w:sz w:val="24"/>
        </w:rPr>
        <w:t>所处生存周期阶段；</w:t>
      </w:r>
    </w:p>
    <w:p>
      <w:pPr>
        <w:pStyle w:val="Normal"/>
        <w:numPr>
          <w:ilvl w:val="0"/>
          <w:numId w:val="4"/>
        </w:numPr>
        <w:tabs>
          <w:tab w:val="clear" w:pos="420"/>
          <w:tab w:val="left" w:pos="675" w:leader="none"/>
        </w:tabs>
        <w:spacing w:lineRule="auto" w:line="360"/>
        <w:ind w:left="660" w:hanging="345"/>
        <w:rPr>
          <w:sz w:val="24"/>
        </w:rPr>
      </w:pPr>
      <w:r>
        <w:rPr>
          <w:sz w:val="24"/>
        </w:rPr>
        <w:t>规定的安全性目标；</w:t>
      </w:r>
    </w:p>
    <w:p>
      <w:pPr>
        <w:pStyle w:val="Normal"/>
        <w:numPr>
          <w:ilvl w:val="0"/>
          <w:numId w:val="4"/>
        </w:numPr>
        <w:tabs>
          <w:tab w:val="clear" w:pos="420"/>
          <w:tab w:val="left" w:pos="675" w:leader="none"/>
        </w:tabs>
        <w:spacing w:lineRule="auto" w:line="360"/>
        <w:ind w:left="660" w:hanging="345"/>
        <w:rPr>
          <w:sz w:val="24"/>
        </w:rPr>
      </w:pPr>
      <w:r>
        <w:rPr>
          <w:sz w:val="24"/>
        </w:rPr>
        <w:t>每项安全活动的主要任务；</w:t>
      </w:r>
    </w:p>
    <w:p>
      <w:pPr>
        <w:pStyle w:val="Normal"/>
        <w:numPr>
          <w:ilvl w:val="0"/>
          <w:numId w:val="4"/>
        </w:numPr>
        <w:tabs>
          <w:tab w:val="clear" w:pos="420"/>
          <w:tab w:val="left" w:pos="675" w:leader="none"/>
        </w:tabs>
        <w:spacing w:lineRule="auto" w:line="360"/>
        <w:ind w:left="660" w:hanging="345"/>
        <w:rPr>
          <w:sz w:val="24"/>
        </w:rPr>
      </w:pPr>
      <w:r>
        <w:rPr>
          <w:sz w:val="24"/>
        </w:rPr>
        <w:t>拟采用的安全技术；</w:t>
      </w:r>
    </w:p>
    <w:p>
      <w:pPr>
        <w:pStyle w:val="Normal"/>
        <w:numPr>
          <w:ilvl w:val="0"/>
          <w:numId w:val="4"/>
        </w:numPr>
        <w:tabs>
          <w:tab w:val="clear" w:pos="420"/>
          <w:tab w:val="left" w:pos="675" w:leader="none"/>
        </w:tabs>
        <w:spacing w:lineRule="auto" w:line="360"/>
        <w:ind w:left="660" w:hanging="345"/>
        <w:rPr>
          <w:sz w:val="24"/>
        </w:rPr>
      </w:pPr>
      <w:r>
        <w:rPr>
          <w:sz w:val="24"/>
        </w:rPr>
        <w:t>涉及安全因素所需的时间、进度、经费与其他资源，存储空间与运行时间，运行所需的软、硬件环境等各种限制条件。</w:t>
      </w:r>
    </w:p>
    <w:p>
      <w:pPr>
        <w:pStyle w:val="2ChapterXXStatementh22Header2l2Level2Hea"/>
        <w:numPr>
          <w:ilvl w:val="1"/>
          <w:numId w:val="11"/>
        </w:numPr>
        <w:rPr/>
      </w:pPr>
      <w:bookmarkStart w:id="12" w:name="__RefHeading___Toc58518988"/>
      <w:bookmarkEnd w:id="12"/>
      <w:r>
        <w:rPr/>
        <w:t>主要活动项目</w:t>
      </w:r>
    </w:p>
    <w:p>
      <w:pPr>
        <w:pStyle w:val="Normal"/>
        <w:spacing w:lineRule="auto" w:line="360"/>
        <w:ind w:firstLine="480"/>
        <w:rPr>
          <w:sz w:val="24"/>
        </w:rPr>
      </w:pPr>
      <w:r>
        <w:rPr>
          <w:sz w:val="24"/>
        </w:rPr>
        <w:t>以下条款给出了本大纲规定的软件安全性大纲要素，并对这些要素的应用及任务进行了描述。</w:t>
      </w:r>
    </w:p>
    <w:p>
      <w:pPr>
        <w:pStyle w:val="Heading3"/>
        <w:numPr>
          <w:ilvl w:val="2"/>
          <w:numId w:val="11"/>
        </w:numPr>
        <w:spacing w:lineRule="auto" w:line="300" w:before="0" w:after="0"/>
        <w:rPr>
          <w:b w:val="false"/>
          <w:b w:val="false"/>
          <w:sz w:val="24"/>
        </w:rPr>
      </w:pPr>
      <w:bookmarkStart w:id="13" w:name="__RefHeading___Toc58518989"/>
      <w:bookmarkEnd w:id="13"/>
      <w:r>
        <w:rPr>
          <w:b w:val="false"/>
          <w:sz w:val="24"/>
        </w:rPr>
        <w:t>可行性论证</w:t>
      </w:r>
    </w:p>
    <w:p>
      <w:pPr>
        <w:pStyle w:val="Normal"/>
        <w:spacing w:lineRule="auto" w:line="360"/>
        <w:ind w:firstLine="480"/>
        <w:rPr>
          <w:sz w:val="24"/>
        </w:rPr>
      </w:pPr>
      <w:r>
        <w:rPr>
          <w:sz w:val="24"/>
        </w:rPr>
        <w:t>在可行性研究与计划阶段，应对软件的安全性要求进行可行性论证，对于合同中提出的软件安全性要求应根据软件符合规定标准和规范的能力进行评审和论证。这个论证是整个产品研究的一部分，其目的的是：</w:t>
      </w:r>
    </w:p>
    <w:p>
      <w:pPr>
        <w:pStyle w:val="Normal"/>
        <w:numPr>
          <w:ilvl w:val="0"/>
          <w:numId w:val="6"/>
        </w:numPr>
        <w:tabs>
          <w:tab w:val="clear" w:pos="420"/>
          <w:tab w:val="left" w:pos="675" w:leader="none"/>
        </w:tabs>
        <w:spacing w:lineRule="auto" w:line="360"/>
        <w:ind w:left="660" w:hanging="345"/>
        <w:rPr>
          <w:sz w:val="24"/>
        </w:rPr>
      </w:pPr>
      <w:r>
        <w:rPr>
          <w:sz w:val="24"/>
        </w:rPr>
        <w:t>确定安全设计工作的起点。</w:t>
      </w:r>
    </w:p>
    <w:p>
      <w:pPr>
        <w:pStyle w:val="Normal"/>
        <w:numPr>
          <w:ilvl w:val="0"/>
          <w:numId w:val="6"/>
        </w:numPr>
        <w:tabs>
          <w:tab w:val="clear" w:pos="420"/>
          <w:tab w:val="left" w:pos="675" w:leader="none"/>
        </w:tabs>
        <w:spacing w:lineRule="auto" w:line="360"/>
        <w:ind w:left="660" w:hanging="345"/>
        <w:rPr>
          <w:sz w:val="24"/>
        </w:rPr>
      </w:pPr>
      <w:r>
        <w:rPr>
          <w:sz w:val="24"/>
        </w:rPr>
        <w:t>估计安全性特性对技术选择，设计配置以及产品性能满足市场需求能力的影响。</w:t>
      </w:r>
    </w:p>
    <w:p>
      <w:pPr>
        <w:pStyle w:val="Normal"/>
        <w:numPr>
          <w:ilvl w:val="0"/>
          <w:numId w:val="6"/>
        </w:numPr>
        <w:tabs>
          <w:tab w:val="clear" w:pos="420"/>
          <w:tab w:val="left" w:pos="675" w:leader="none"/>
        </w:tabs>
        <w:spacing w:lineRule="auto" w:line="360"/>
        <w:ind w:left="660" w:hanging="345"/>
        <w:rPr>
          <w:sz w:val="24"/>
        </w:rPr>
      </w:pPr>
      <w:r>
        <w:rPr>
          <w:sz w:val="24"/>
        </w:rPr>
        <w:t>估计弥补现有产品与新一代产品安全设计原理上的差距所带来的成本影响和承担的风险。</w:t>
      </w:r>
    </w:p>
    <w:p>
      <w:pPr>
        <w:pStyle w:val="Heading3"/>
        <w:numPr>
          <w:ilvl w:val="2"/>
          <w:numId w:val="11"/>
        </w:numPr>
        <w:spacing w:lineRule="auto" w:line="300" w:before="0" w:after="0"/>
        <w:rPr>
          <w:b w:val="false"/>
          <w:b w:val="false"/>
          <w:sz w:val="24"/>
        </w:rPr>
      </w:pPr>
      <w:bookmarkStart w:id="14" w:name="__RefHeading___Toc58518990"/>
      <w:bookmarkEnd w:id="14"/>
      <w:r>
        <w:rPr>
          <w:b w:val="false"/>
          <w:sz w:val="24"/>
        </w:rPr>
        <w:t>需求分析阶段</w:t>
      </w:r>
    </w:p>
    <w:p>
      <w:pPr>
        <w:pStyle w:val="Normal"/>
        <w:spacing w:lineRule="auto" w:line="360"/>
        <w:ind w:firstLine="480"/>
        <w:rPr>
          <w:sz w:val="24"/>
        </w:rPr>
      </w:pPr>
      <w:r>
        <w:rPr>
          <w:sz w:val="24"/>
        </w:rPr>
        <w:t>由一系列的与每项安全要素有关的任务组成，明确每项安全任务的责任，并提供一个安全任务实施初步日程表，当情况变化或出现偏差时计划应根据需要加以修改，包括：</w:t>
      </w:r>
    </w:p>
    <w:p>
      <w:pPr>
        <w:pStyle w:val="Normal"/>
        <w:numPr>
          <w:ilvl w:val="0"/>
          <w:numId w:val="5"/>
        </w:numPr>
        <w:tabs>
          <w:tab w:val="clear" w:pos="420"/>
          <w:tab w:val="left" w:pos="675" w:leader="none"/>
        </w:tabs>
        <w:spacing w:lineRule="auto" w:line="360"/>
        <w:ind w:left="660" w:hanging="345"/>
        <w:rPr>
          <w:sz w:val="24"/>
        </w:rPr>
      </w:pPr>
      <w:r>
        <w:rPr>
          <w:sz w:val="24"/>
        </w:rPr>
        <w:t>安全实施所需的组织机构和职责；</w:t>
      </w:r>
    </w:p>
    <w:p>
      <w:pPr>
        <w:pStyle w:val="Normal"/>
        <w:numPr>
          <w:ilvl w:val="0"/>
          <w:numId w:val="5"/>
        </w:numPr>
        <w:tabs>
          <w:tab w:val="clear" w:pos="420"/>
          <w:tab w:val="left" w:pos="675" w:leader="none"/>
        </w:tabs>
        <w:spacing w:lineRule="auto" w:line="360"/>
        <w:ind w:left="660" w:hanging="345"/>
        <w:rPr>
          <w:sz w:val="24"/>
        </w:rPr>
      </w:pPr>
      <w:r>
        <w:rPr>
          <w:sz w:val="24"/>
        </w:rPr>
        <w:t>定量、定性的安全性目标；</w:t>
      </w:r>
    </w:p>
    <w:p>
      <w:pPr>
        <w:pStyle w:val="Normal"/>
        <w:numPr>
          <w:ilvl w:val="0"/>
          <w:numId w:val="5"/>
        </w:numPr>
        <w:tabs>
          <w:tab w:val="clear" w:pos="420"/>
          <w:tab w:val="left" w:pos="675" w:leader="none"/>
        </w:tabs>
        <w:spacing w:lineRule="auto" w:line="360"/>
        <w:ind w:left="660" w:hanging="345"/>
        <w:rPr>
          <w:sz w:val="24"/>
        </w:rPr>
      </w:pPr>
      <w:r>
        <w:rPr>
          <w:sz w:val="24"/>
        </w:rPr>
        <w:t>各项安全任务实施进度表；</w:t>
      </w:r>
    </w:p>
    <w:p>
      <w:pPr>
        <w:pStyle w:val="Normal"/>
        <w:numPr>
          <w:ilvl w:val="0"/>
          <w:numId w:val="5"/>
        </w:numPr>
        <w:tabs>
          <w:tab w:val="clear" w:pos="420"/>
          <w:tab w:val="left" w:pos="675" w:leader="none"/>
        </w:tabs>
        <w:spacing w:lineRule="auto" w:line="360"/>
        <w:ind w:left="660" w:hanging="345"/>
        <w:rPr>
          <w:sz w:val="24"/>
        </w:rPr>
      </w:pPr>
      <w:r>
        <w:rPr>
          <w:sz w:val="24"/>
        </w:rPr>
        <w:t>安全保证计划；</w:t>
      </w:r>
    </w:p>
    <w:p>
      <w:pPr>
        <w:pStyle w:val="Normal"/>
        <w:numPr>
          <w:ilvl w:val="0"/>
          <w:numId w:val="5"/>
        </w:numPr>
        <w:tabs>
          <w:tab w:val="clear" w:pos="420"/>
          <w:tab w:val="left" w:pos="675" w:leader="none"/>
        </w:tabs>
        <w:spacing w:lineRule="auto" w:line="360"/>
        <w:ind w:left="660" w:hanging="345"/>
        <w:rPr>
          <w:sz w:val="24"/>
        </w:rPr>
      </w:pPr>
      <w:r>
        <w:rPr>
          <w:sz w:val="24"/>
        </w:rPr>
        <w:t>安全实施方法和内容。</w:t>
      </w:r>
    </w:p>
    <w:p>
      <w:pPr>
        <w:pStyle w:val="Heading3"/>
        <w:numPr>
          <w:ilvl w:val="2"/>
          <w:numId w:val="11"/>
        </w:numPr>
        <w:spacing w:lineRule="auto" w:line="300" w:before="0" w:after="0"/>
        <w:rPr>
          <w:b w:val="false"/>
          <w:b w:val="false"/>
          <w:sz w:val="24"/>
        </w:rPr>
      </w:pPr>
      <w:bookmarkStart w:id="15" w:name="__RefHeading___Toc58518991"/>
      <w:bookmarkEnd w:id="15"/>
      <w:r>
        <w:rPr>
          <w:b w:val="false"/>
          <w:sz w:val="24"/>
        </w:rPr>
        <w:t>安全运行环境分析</w:t>
      </w:r>
    </w:p>
    <w:p>
      <w:pPr>
        <w:pStyle w:val="Normal"/>
        <w:numPr>
          <w:ilvl w:val="0"/>
          <w:numId w:val="9"/>
        </w:numPr>
        <w:tabs>
          <w:tab w:val="clear" w:pos="420"/>
          <w:tab w:val="left" w:pos="785" w:leader="none"/>
        </w:tabs>
        <w:spacing w:lineRule="auto" w:line="360"/>
        <w:ind w:left="770" w:hanging="345"/>
        <w:rPr>
          <w:sz w:val="24"/>
        </w:rPr>
      </w:pPr>
      <w:r>
        <w:rPr>
          <w:sz w:val="24"/>
        </w:rPr>
        <w:t>安全运行和维护方式分析；</w:t>
      </w:r>
    </w:p>
    <w:p>
      <w:pPr>
        <w:pStyle w:val="Normal"/>
        <w:numPr>
          <w:ilvl w:val="0"/>
          <w:numId w:val="9"/>
        </w:numPr>
        <w:tabs>
          <w:tab w:val="clear" w:pos="420"/>
          <w:tab w:val="left" w:pos="785" w:leader="none"/>
        </w:tabs>
        <w:spacing w:lineRule="auto" w:line="360"/>
        <w:ind w:left="770" w:hanging="345"/>
        <w:rPr>
          <w:sz w:val="24"/>
        </w:rPr>
      </w:pPr>
      <w:r>
        <w:rPr>
          <w:sz w:val="24"/>
        </w:rPr>
        <w:t>安全负载；</w:t>
      </w:r>
    </w:p>
    <w:p>
      <w:pPr>
        <w:pStyle w:val="Normal"/>
        <w:numPr>
          <w:ilvl w:val="0"/>
          <w:numId w:val="9"/>
        </w:numPr>
        <w:tabs>
          <w:tab w:val="clear" w:pos="420"/>
          <w:tab w:val="left" w:pos="785" w:leader="none"/>
        </w:tabs>
        <w:spacing w:lineRule="auto" w:line="360"/>
        <w:ind w:left="770" w:hanging="345"/>
        <w:rPr>
          <w:sz w:val="24"/>
        </w:rPr>
      </w:pPr>
      <w:r>
        <w:rPr>
          <w:sz w:val="24"/>
        </w:rPr>
        <w:t>安全运行和维护环境；</w:t>
      </w:r>
    </w:p>
    <w:p>
      <w:pPr>
        <w:pStyle w:val="Normal"/>
        <w:numPr>
          <w:ilvl w:val="0"/>
          <w:numId w:val="9"/>
        </w:numPr>
        <w:tabs>
          <w:tab w:val="clear" w:pos="420"/>
          <w:tab w:val="left" w:pos="785" w:leader="none"/>
        </w:tabs>
        <w:spacing w:lineRule="auto" w:line="360"/>
        <w:ind w:left="770" w:hanging="345"/>
        <w:rPr>
          <w:sz w:val="24"/>
        </w:rPr>
      </w:pPr>
      <w:r>
        <w:rPr>
          <w:sz w:val="24"/>
        </w:rPr>
        <w:t>安全操作和维护人员要求；</w:t>
      </w:r>
    </w:p>
    <w:p>
      <w:pPr>
        <w:pStyle w:val="Normal"/>
        <w:numPr>
          <w:ilvl w:val="0"/>
          <w:numId w:val="9"/>
        </w:numPr>
        <w:tabs>
          <w:tab w:val="clear" w:pos="420"/>
          <w:tab w:val="left" w:pos="785" w:leader="none"/>
        </w:tabs>
        <w:spacing w:lineRule="auto" w:line="360"/>
        <w:ind w:left="770" w:hanging="345"/>
        <w:rPr>
          <w:sz w:val="24"/>
        </w:rPr>
      </w:pPr>
      <w:r>
        <w:rPr>
          <w:sz w:val="24"/>
        </w:rPr>
        <w:t>安全管理规程和要求；</w:t>
      </w:r>
    </w:p>
    <w:p>
      <w:pPr>
        <w:pStyle w:val="Heading3"/>
        <w:numPr>
          <w:ilvl w:val="2"/>
          <w:numId w:val="11"/>
        </w:numPr>
        <w:spacing w:lineRule="auto" w:line="300" w:before="0" w:after="0"/>
        <w:rPr>
          <w:b w:val="false"/>
          <w:b w:val="false"/>
          <w:sz w:val="24"/>
        </w:rPr>
      </w:pPr>
      <w:bookmarkStart w:id="16" w:name="__RefHeading___Toc58518992"/>
      <w:bookmarkEnd w:id="16"/>
      <w:r>
        <w:rPr>
          <w:b w:val="false"/>
          <w:sz w:val="24"/>
        </w:rPr>
        <w:t>选定或制定规范和准则</w:t>
      </w:r>
    </w:p>
    <w:p>
      <w:pPr>
        <w:pStyle w:val="Normal"/>
        <w:spacing w:lineRule="auto" w:line="360"/>
        <w:ind w:firstLine="315"/>
        <w:rPr>
          <w:sz w:val="24"/>
        </w:rPr>
      </w:pPr>
      <w:r>
        <w:rPr>
          <w:sz w:val="24"/>
        </w:rPr>
        <w:t>在需求分析阶段，应选择适当的安全规范和准则。若没有适当的安全规范和准则可遵循，则应自行制定。其内容包括：</w:t>
      </w:r>
    </w:p>
    <w:p>
      <w:pPr>
        <w:pStyle w:val="Normal"/>
        <w:numPr>
          <w:ilvl w:val="0"/>
          <w:numId w:val="10"/>
        </w:numPr>
        <w:tabs>
          <w:tab w:val="clear" w:pos="420"/>
          <w:tab w:val="left" w:pos="717" w:leader="none"/>
        </w:tabs>
        <w:spacing w:lineRule="auto" w:line="360"/>
        <w:ind w:left="702" w:hanging="387"/>
        <w:rPr>
          <w:sz w:val="24"/>
        </w:rPr>
      </w:pPr>
      <w:r>
        <w:rPr>
          <w:sz w:val="24"/>
        </w:rPr>
        <w:t>确保软件安全性所必须的软件工程规范；</w:t>
      </w:r>
    </w:p>
    <w:p>
      <w:pPr>
        <w:pStyle w:val="Normal"/>
        <w:numPr>
          <w:ilvl w:val="0"/>
          <w:numId w:val="10"/>
        </w:numPr>
        <w:tabs>
          <w:tab w:val="clear" w:pos="420"/>
          <w:tab w:val="left" w:pos="717" w:leader="none"/>
        </w:tabs>
        <w:spacing w:lineRule="auto" w:line="360"/>
        <w:ind w:left="660" w:hanging="345"/>
        <w:rPr>
          <w:sz w:val="24"/>
        </w:rPr>
      </w:pPr>
      <w:r>
        <w:rPr>
          <w:sz w:val="24"/>
        </w:rPr>
        <w:t>制定软件安全性必须遵循的技术和行为准则；</w:t>
      </w:r>
    </w:p>
    <w:p>
      <w:pPr>
        <w:pStyle w:val="Normal"/>
        <w:numPr>
          <w:ilvl w:val="0"/>
          <w:numId w:val="10"/>
        </w:numPr>
        <w:tabs>
          <w:tab w:val="clear" w:pos="420"/>
          <w:tab w:val="left" w:pos="717" w:leader="none"/>
        </w:tabs>
        <w:spacing w:lineRule="auto" w:line="360"/>
        <w:ind w:left="660" w:hanging="345"/>
        <w:rPr>
          <w:sz w:val="24"/>
        </w:rPr>
      </w:pPr>
      <w:r>
        <w:rPr>
          <w:sz w:val="24"/>
        </w:rPr>
        <w:t>制定软件安全所需支持和维护要求；</w:t>
      </w:r>
    </w:p>
    <w:p>
      <w:pPr>
        <w:pStyle w:val="Heading3"/>
        <w:numPr>
          <w:ilvl w:val="2"/>
          <w:numId w:val="11"/>
        </w:numPr>
        <w:spacing w:lineRule="auto" w:line="300" w:before="0" w:after="0"/>
        <w:rPr>
          <w:b w:val="false"/>
          <w:b w:val="false"/>
          <w:sz w:val="24"/>
        </w:rPr>
      </w:pPr>
      <w:bookmarkStart w:id="17" w:name="__RefHeading___Toc58518993"/>
      <w:bookmarkEnd w:id="17"/>
      <w:r>
        <w:rPr>
          <w:b w:val="false"/>
          <w:sz w:val="24"/>
        </w:rPr>
        <w:t>软件安全性分析</w:t>
      </w:r>
    </w:p>
    <w:p>
      <w:pPr>
        <w:pStyle w:val="Normal"/>
        <w:spacing w:lineRule="auto" w:line="360"/>
        <w:ind w:firstLine="315"/>
        <w:rPr>
          <w:sz w:val="24"/>
        </w:rPr>
      </w:pPr>
      <w:r>
        <w:rPr>
          <w:sz w:val="24"/>
        </w:rPr>
        <w:t>在软件开发过程中各个阶段进行有关的软件安全性分析并编写设计报告，应考虑：</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安全性目标分配；</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安全模式、影响及危害度分析；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安全关键功能分析；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安全接口分析；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安全数据分析；</w:t>
      </w:r>
    </w:p>
    <w:p>
      <w:pPr>
        <w:pStyle w:val="Normal"/>
        <w:numPr>
          <w:ilvl w:val="0"/>
          <w:numId w:val="14"/>
        </w:numPr>
        <w:tabs>
          <w:tab w:val="clear" w:pos="420"/>
          <w:tab w:val="left" w:pos="540" w:leader="none"/>
          <w:tab w:val="left" w:pos="675" w:leader="none"/>
        </w:tabs>
        <w:spacing w:lineRule="auto" w:line="360"/>
        <w:ind w:left="660" w:hanging="345"/>
        <w:rPr>
          <w:sz w:val="24"/>
        </w:rPr>
      </w:pPr>
      <w:r>
        <w:rPr>
          <w:rFonts w:ascii="宋体" w:hAnsi="宋体" w:cs="宋体"/>
          <w:kern w:val="0"/>
          <w:sz w:val="24"/>
        </w:rPr>
        <w:t>保密性</w:t>
      </w:r>
      <w:r>
        <w:rPr>
          <w:sz w:val="24"/>
        </w:rPr>
        <w:t>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冗余分析；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余量分析；</w:t>
      </w:r>
    </w:p>
    <w:p>
      <w:pPr>
        <w:pStyle w:val="Normal"/>
        <w:numPr>
          <w:ilvl w:val="0"/>
          <w:numId w:val="14"/>
        </w:numPr>
        <w:tabs>
          <w:tab w:val="clear" w:pos="420"/>
          <w:tab w:val="left" w:pos="540" w:leader="none"/>
          <w:tab w:val="left" w:pos="675" w:leader="none"/>
        </w:tabs>
        <w:spacing w:lineRule="auto" w:line="360"/>
        <w:ind w:left="660" w:hanging="345"/>
        <w:rPr>
          <w:sz w:val="24"/>
        </w:rPr>
      </w:pPr>
      <w:r>
        <w:rPr>
          <w:sz w:val="24"/>
        </w:rPr>
        <w:t>抗攻击、抗摧毁、抗入侵分析。</w:t>
      </w:r>
    </w:p>
    <w:p>
      <w:pPr>
        <w:pStyle w:val="Heading3"/>
        <w:numPr>
          <w:ilvl w:val="2"/>
          <w:numId w:val="11"/>
        </w:numPr>
        <w:spacing w:lineRule="auto" w:line="300" w:before="0" w:after="0"/>
        <w:rPr>
          <w:b w:val="false"/>
          <w:b w:val="false"/>
          <w:sz w:val="24"/>
        </w:rPr>
      </w:pPr>
      <w:bookmarkStart w:id="18" w:name="__RefHeading___Toc58518994"/>
      <w:bookmarkEnd w:id="18"/>
      <w:r>
        <w:rPr>
          <w:b w:val="false"/>
          <w:sz w:val="24"/>
        </w:rPr>
        <w:t>评审</w:t>
      </w:r>
    </w:p>
    <w:p>
      <w:pPr>
        <w:pStyle w:val="Heading4"/>
        <w:numPr>
          <w:ilvl w:val="3"/>
          <w:numId w:val="11"/>
        </w:numPr>
        <w:spacing w:lineRule="auto" w:line="300" w:before="0" w:after="0"/>
        <w:rPr>
          <w:b w:val="false"/>
          <w:b w:val="false"/>
          <w:sz w:val="24"/>
        </w:rPr>
      </w:pPr>
      <w:r>
        <w:rPr>
          <w:b w:val="false"/>
          <w:sz w:val="24"/>
        </w:rPr>
        <w:t>需求分析评审</w:t>
      </w:r>
    </w:p>
    <w:p>
      <w:pPr>
        <w:pStyle w:val="Normal"/>
        <w:numPr>
          <w:ilvl w:val="0"/>
          <w:numId w:val="15"/>
        </w:numPr>
        <w:tabs>
          <w:tab w:val="clear" w:pos="420"/>
          <w:tab w:val="left" w:pos="717" w:leader="none"/>
        </w:tabs>
        <w:spacing w:lineRule="auto" w:line="360"/>
        <w:rPr>
          <w:sz w:val="24"/>
        </w:rPr>
      </w:pPr>
      <w:r>
        <w:rPr>
          <w:sz w:val="24"/>
        </w:rPr>
        <w:t>安全性目标；</w:t>
      </w:r>
    </w:p>
    <w:p>
      <w:pPr>
        <w:pStyle w:val="Normal"/>
        <w:numPr>
          <w:ilvl w:val="0"/>
          <w:numId w:val="15"/>
        </w:numPr>
        <w:tabs>
          <w:tab w:val="clear" w:pos="420"/>
          <w:tab w:val="left" w:pos="717" w:leader="none"/>
        </w:tabs>
        <w:spacing w:lineRule="auto" w:line="360"/>
        <w:rPr>
          <w:sz w:val="24"/>
        </w:rPr>
      </w:pPr>
      <w:r>
        <w:rPr>
          <w:sz w:val="24"/>
        </w:rPr>
        <w:t>安全性大纲；</w:t>
      </w:r>
    </w:p>
    <w:p>
      <w:pPr>
        <w:pStyle w:val="Normal"/>
        <w:numPr>
          <w:ilvl w:val="0"/>
          <w:numId w:val="15"/>
        </w:numPr>
        <w:tabs>
          <w:tab w:val="clear" w:pos="420"/>
          <w:tab w:val="left" w:pos="717" w:leader="none"/>
        </w:tabs>
        <w:spacing w:lineRule="auto" w:line="360"/>
        <w:rPr>
          <w:sz w:val="24"/>
        </w:rPr>
      </w:pPr>
      <w:r>
        <w:rPr>
          <w:sz w:val="24"/>
        </w:rPr>
        <w:t>选用或制定的规范和准则。</w:t>
      </w:r>
    </w:p>
    <w:p>
      <w:pPr>
        <w:pStyle w:val="Heading4"/>
        <w:numPr>
          <w:ilvl w:val="3"/>
          <w:numId w:val="11"/>
        </w:numPr>
        <w:spacing w:lineRule="auto" w:line="300" w:before="0" w:after="0"/>
        <w:rPr>
          <w:b w:val="false"/>
          <w:b w:val="false"/>
          <w:sz w:val="24"/>
        </w:rPr>
      </w:pPr>
      <w:r>
        <w:rPr>
          <w:b w:val="false"/>
          <w:sz w:val="24"/>
        </w:rPr>
        <w:t>概要设计评审</w:t>
      </w:r>
    </w:p>
    <w:p>
      <w:pPr>
        <w:pStyle w:val="Normal"/>
        <w:numPr>
          <w:ilvl w:val="0"/>
          <w:numId w:val="8"/>
        </w:numPr>
        <w:tabs>
          <w:tab w:val="clear" w:pos="420"/>
          <w:tab w:val="left" w:pos="717" w:leader="none"/>
        </w:tabs>
        <w:spacing w:lineRule="auto" w:line="360"/>
        <w:rPr>
          <w:sz w:val="24"/>
        </w:rPr>
      </w:pPr>
      <w:r>
        <w:rPr>
          <w:sz w:val="24"/>
        </w:rPr>
        <w:t>安全性目标分配；</w:t>
      </w:r>
    </w:p>
    <w:p>
      <w:pPr>
        <w:pStyle w:val="Normal"/>
        <w:numPr>
          <w:ilvl w:val="0"/>
          <w:numId w:val="8"/>
        </w:numPr>
        <w:tabs>
          <w:tab w:val="clear" w:pos="420"/>
          <w:tab w:val="left" w:pos="717" w:leader="none"/>
        </w:tabs>
        <w:spacing w:lineRule="auto" w:line="360"/>
        <w:rPr>
          <w:sz w:val="24"/>
        </w:rPr>
      </w:pPr>
      <w:r>
        <w:rPr>
          <w:sz w:val="24"/>
        </w:rPr>
        <w:t>安全性设计方案。</w:t>
      </w:r>
    </w:p>
    <w:p>
      <w:pPr>
        <w:pStyle w:val="Heading4"/>
        <w:numPr>
          <w:ilvl w:val="3"/>
          <w:numId w:val="11"/>
        </w:numPr>
        <w:spacing w:lineRule="auto" w:line="300" w:before="0" w:after="0"/>
        <w:rPr>
          <w:b w:val="false"/>
          <w:b w:val="false"/>
          <w:sz w:val="24"/>
        </w:rPr>
      </w:pPr>
      <w:r>
        <w:rPr>
          <w:b w:val="false"/>
          <w:sz w:val="24"/>
        </w:rPr>
        <w:t>详细设计评审</w:t>
      </w:r>
    </w:p>
    <w:p>
      <w:pPr>
        <w:pStyle w:val="Normal"/>
        <w:numPr>
          <w:ilvl w:val="0"/>
          <w:numId w:val="18"/>
        </w:numPr>
        <w:tabs>
          <w:tab w:val="clear" w:pos="420"/>
          <w:tab w:val="left" w:pos="717" w:leader="none"/>
        </w:tabs>
        <w:spacing w:lineRule="auto" w:line="360"/>
        <w:rPr>
          <w:sz w:val="24"/>
        </w:rPr>
      </w:pPr>
      <w:r>
        <w:rPr>
          <w:sz w:val="24"/>
        </w:rPr>
        <w:t>各单元安全性目标；</w:t>
      </w:r>
    </w:p>
    <w:p>
      <w:pPr>
        <w:pStyle w:val="Normal"/>
        <w:numPr>
          <w:ilvl w:val="0"/>
          <w:numId w:val="18"/>
        </w:numPr>
        <w:tabs>
          <w:tab w:val="clear" w:pos="420"/>
          <w:tab w:val="left" w:pos="717" w:leader="none"/>
        </w:tabs>
        <w:spacing w:lineRule="auto" w:line="360"/>
        <w:rPr>
          <w:sz w:val="24"/>
        </w:rPr>
      </w:pPr>
      <w:r>
        <w:rPr>
          <w:sz w:val="24"/>
        </w:rPr>
        <w:t>安全性设计方案。</w:t>
      </w:r>
    </w:p>
    <w:p>
      <w:pPr>
        <w:pStyle w:val="Heading4"/>
        <w:numPr>
          <w:ilvl w:val="3"/>
          <w:numId w:val="11"/>
        </w:numPr>
        <w:spacing w:lineRule="auto" w:line="300" w:before="0" w:after="0"/>
        <w:rPr>
          <w:b w:val="false"/>
          <w:b w:val="false"/>
          <w:sz w:val="24"/>
        </w:rPr>
      </w:pPr>
      <w:r>
        <w:rPr>
          <w:b w:val="false"/>
          <w:sz w:val="24"/>
        </w:rPr>
        <w:t>软件测试计划评审</w:t>
      </w:r>
    </w:p>
    <w:p>
      <w:pPr>
        <w:pStyle w:val="Normal"/>
        <w:numPr>
          <w:ilvl w:val="0"/>
          <w:numId w:val="7"/>
        </w:numPr>
        <w:tabs>
          <w:tab w:val="clear" w:pos="420"/>
          <w:tab w:val="left" w:pos="717" w:leader="none"/>
        </w:tabs>
        <w:spacing w:lineRule="auto" w:line="360"/>
        <w:rPr>
          <w:sz w:val="24"/>
        </w:rPr>
      </w:pPr>
      <w:r>
        <w:rPr>
          <w:sz w:val="24"/>
        </w:rPr>
        <w:t>软件安全性验证和确认的方法；</w:t>
      </w:r>
    </w:p>
    <w:p>
      <w:pPr>
        <w:pStyle w:val="Normal"/>
        <w:numPr>
          <w:ilvl w:val="0"/>
          <w:numId w:val="7"/>
        </w:numPr>
        <w:tabs>
          <w:tab w:val="clear" w:pos="420"/>
          <w:tab w:val="left" w:pos="717" w:leader="none"/>
        </w:tabs>
        <w:spacing w:lineRule="auto" w:line="360"/>
        <w:rPr>
          <w:sz w:val="24"/>
        </w:rPr>
      </w:pPr>
      <w:r>
        <w:rPr>
          <w:sz w:val="24"/>
        </w:rPr>
        <w:t>软件安全性测试（计划、规程、用例和设施）；</w:t>
      </w:r>
    </w:p>
    <w:p>
      <w:pPr>
        <w:pStyle w:val="Normal"/>
        <w:numPr>
          <w:ilvl w:val="0"/>
          <w:numId w:val="7"/>
        </w:numPr>
        <w:tabs>
          <w:tab w:val="clear" w:pos="420"/>
          <w:tab w:val="left" w:pos="717" w:leader="none"/>
        </w:tabs>
        <w:spacing w:lineRule="auto" w:line="360"/>
        <w:rPr>
          <w:sz w:val="24"/>
        </w:rPr>
      </w:pPr>
      <w:r>
        <w:rPr>
          <w:sz w:val="24"/>
        </w:rPr>
        <w:t>验证与确认时使用的其它准则。</w:t>
      </w:r>
    </w:p>
    <w:p>
      <w:pPr>
        <w:pStyle w:val="Heading3"/>
        <w:numPr>
          <w:ilvl w:val="2"/>
          <w:numId w:val="11"/>
        </w:numPr>
        <w:spacing w:lineRule="auto" w:line="300" w:before="0" w:after="0"/>
        <w:rPr>
          <w:b w:val="false"/>
          <w:b w:val="false"/>
          <w:sz w:val="24"/>
        </w:rPr>
      </w:pPr>
      <w:bookmarkStart w:id="19" w:name="__RefHeading___Toc58518995"/>
      <w:bookmarkEnd w:id="19"/>
      <w:r>
        <w:rPr>
          <w:b w:val="false"/>
          <w:sz w:val="24"/>
        </w:rPr>
        <w:t>安全性事件文件和数据记录</w:t>
      </w:r>
    </w:p>
    <w:p>
      <w:pPr>
        <w:pStyle w:val="Normal"/>
        <w:spacing w:lineRule="auto" w:line="360"/>
        <w:ind w:left="424" w:firstLine="480"/>
        <w:rPr>
          <w:sz w:val="24"/>
        </w:rPr>
      </w:pPr>
      <w:r>
        <w:rPr>
          <w:sz w:val="24"/>
        </w:rPr>
        <w:t>根据合同安全部分要求和安全数据管理目标，确定</w:t>
      </w:r>
      <w:r>
        <w:rPr>
          <w:sz w:val="24"/>
        </w:rPr>
        <w:t>4.2.7</w:t>
      </w:r>
      <w:r>
        <w:rPr>
          <w:sz w:val="24"/>
        </w:rPr>
        <w:t>　安全性事件文件和数据要求的范围。应提供安全性事件数据可追溯性，并建立相应文件，文件应写明具体数据的采集条件、所作的设想，并注明对数据应用的限制。为保证关键安全事件得到明确认识，该系统应提供充分的数据。</w:t>
      </w:r>
    </w:p>
    <w:p>
      <w:pPr>
        <w:pStyle w:val="Normal"/>
        <w:spacing w:lineRule="auto" w:line="360"/>
        <w:ind w:left="701" w:firstLine="240"/>
        <w:rPr>
          <w:sz w:val="24"/>
        </w:rPr>
      </w:pPr>
      <w:r>
        <w:rPr>
          <w:sz w:val="24"/>
        </w:rPr>
        <w:t>应监视以下关键事项：</w:t>
      </w:r>
    </w:p>
    <w:p>
      <w:pPr>
        <w:pStyle w:val="Normal"/>
        <w:numPr>
          <w:ilvl w:val="0"/>
          <w:numId w:val="12"/>
        </w:numPr>
        <w:tabs>
          <w:tab w:val="clear" w:pos="420"/>
          <w:tab w:val="left" w:pos="717" w:leader="none"/>
        </w:tabs>
        <w:spacing w:lineRule="auto" w:line="360"/>
        <w:ind w:left="702" w:firstLine="558"/>
        <w:rPr>
          <w:sz w:val="24"/>
        </w:rPr>
      </w:pPr>
      <w:r>
        <w:rPr>
          <w:sz w:val="24"/>
        </w:rPr>
        <w:t>安全目标的建立；</w:t>
      </w:r>
    </w:p>
    <w:p>
      <w:pPr>
        <w:pStyle w:val="Normal"/>
        <w:numPr>
          <w:ilvl w:val="0"/>
          <w:numId w:val="12"/>
        </w:numPr>
        <w:tabs>
          <w:tab w:val="clear" w:pos="420"/>
          <w:tab w:val="left" w:pos="717" w:leader="none"/>
        </w:tabs>
        <w:spacing w:lineRule="auto" w:line="360"/>
        <w:ind w:left="702" w:firstLine="558"/>
        <w:rPr>
          <w:sz w:val="24"/>
        </w:rPr>
      </w:pPr>
      <w:r>
        <w:rPr>
          <w:sz w:val="24"/>
        </w:rPr>
        <w:t>安全性目标分配；</w:t>
      </w:r>
    </w:p>
    <w:p>
      <w:pPr>
        <w:pStyle w:val="Normal"/>
        <w:numPr>
          <w:ilvl w:val="0"/>
          <w:numId w:val="12"/>
        </w:numPr>
        <w:tabs>
          <w:tab w:val="clear" w:pos="420"/>
          <w:tab w:val="left" w:pos="717" w:leader="none"/>
        </w:tabs>
        <w:spacing w:lineRule="auto" w:line="360"/>
        <w:ind w:left="702" w:firstLine="558"/>
        <w:rPr>
          <w:sz w:val="24"/>
        </w:rPr>
      </w:pPr>
      <w:r>
        <w:rPr>
          <w:sz w:val="24"/>
        </w:rPr>
        <w:t>安全性测试；</w:t>
      </w:r>
    </w:p>
    <w:p>
      <w:pPr>
        <w:pStyle w:val="Normal"/>
        <w:numPr>
          <w:ilvl w:val="0"/>
          <w:numId w:val="12"/>
        </w:numPr>
        <w:tabs>
          <w:tab w:val="clear" w:pos="420"/>
          <w:tab w:val="left" w:pos="717" w:leader="none"/>
        </w:tabs>
        <w:spacing w:lineRule="auto" w:line="360"/>
        <w:ind w:left="702" w:firstLine="558"/>
        <w:rPr>
          <w:sz w:val="24"/>
        </w:rPr>
      </w:pPr>
      <w:r>
        <w:rPr>
          <w:sz w:val="24"/>
        </w:rPr>
        <w:t>安全事件发生；</w:t>
      </w:r>
    </w:p>
    <w:p>
      <w:pPr>
        <w:pStyle w:val="Normal"/>
        <w:numPr>
          <w:ilvl w:val="0"/>
          <w:numId w:val="12"/>
        </w:numPr>
        <w:tabs>
          <w:tab w:val="clear" w:pos="420"/>
          <w:tab w:val="left" w:pos="717" w:leader="none"/>
        </w:tabs>
        <w:spacing w:lineRule="auto" w:line="360"/>
        <w:ind w:left="702" w:firstLine="558"/>
        <w:rPr>
          <w:sz w:val="24"/>
        </w:rPr>
      </w:pPr>
      <w:r>
        <w:rPr>
          <w:sz w:val="24"/>
        </w:rPr>
        <w:t>安全保障活动；</w:t>
      </w:r>
    </w:p>
    <w:p>
      <w:pPr>
        <w:pStyle w:val="Normal"/>
        <w:numPr>
          <w:ilvl w:val="0"/>
          <w:numId w:val="12"/>
        </w:numPr>
        <w:tabs>
          <w:tab w:val="clear" w:pos="420"/>
          <w:tab w:val="left" w:pos="717" w:leader="none"/>
        </w:tabs>
        <w:spacing w:lineRule="auto" w:line="360"/>
        <w:ind w:left="702" w:firstLine="558"/>
        <w:rPr>
          <w:sz w:val="24"/>
        </w:rPr>
      </w:pPr>
      <w:r>
        <w:rPr>
          <w:sz w:val="24"/>
        </w:rPr>
        <w:t>安全维护活动；</w:t>
      </w:r>
    </w:p>
    <w:p>
      <w:pPr>
        <w:pStyle w:val="Normal"/>
        <w:numPr>
          <w:ilvl w:val="0"/>
          <w:numId w:val="12"/>
        </w:numPr>
        <w:tabs>
          <w:tab w:val="clear" w:pos="420"/>
          <w:tab w:val="left" w:pos="717" w:leader="none"/>
        </w:tabs>
        <w:spacing w:lineRule="auto" w:line="360"/>
        <w:ind w:left="702" w:firstLine="558"/>
        <w:rPr>
          <w:sz w:val="24"/>
        </w:rPr>
      </w:pPr>
      <w:r>
        <w:rPr>
          <w:sz w:val="24"/>
        </w:rPr>
        <w:t>安全数据分析；</w:t>
      </w:r>
    </w:p>
    <w:p>
      <w:pPr>
        <w:pStyle w:val="Normal"/>
        <w:numPr>
          <w:ilvl w:val="0"/>
          <w:numId w:val="12"/>
        </w:numPr>
        <w:tabs>
          <w:tab w:val="clear" w:pos="420"/>
          <w:tab w:val="left" w:pos="717" w:leader="none"/>
        </w:tabs>
        <w:spacing w:lineRule="auto" w:line="360"/>
        <w:ind w:left="702" w:firstLine="558"/>
        <w:rPr>
          <w:sz w:val="24"/>
        </w:rPr>
      </w:pPr>
      <w:r>
        <w:rPr>
          <w:sz w:val="24"/>
        </w:rPr>
        <w:t>采取的保障措施和结果。</w:t>
      </w:r>
    </w:p>
    <w:p>
      <w:pPr>
        <w:pStyle w:val="Heading3"/>
        <w:numPr>
          <w:ilvl w:val="2"/>
          <w:numId w:val="11"/>
        </w:numPr>
        <w:spacing w:lineRule="auto" w:line="300" w:before="0" w:after="0"/>
        <w:rPr>
          <w:b w:val="false"/>
          <w:b w:val="false"/>
          <w:sz w:val="24"/>
        </w:rPr>
      </w:pPr>
      <w:bookmarkStart w:id="20" w:name="__RefHeading___Toc58518996"/>
      <w:bookmarkEnd w:id="20"/>
      <w:r>
        <w:rPr>
          <w:b w:val="false"/>
          <w:sz w:val="24"/>
        </w:rPr>
        <w:t>安全培训</w:t>
      </w:r>
    </w:p>
    <w:p>
      <w:pPr>
        <w:pStyle w:val="Normal"/>
        <w:spacing w:lineRule="auto" w:line="360"/>
        <w:ind w:firstLine="425"/>
        <w:rPr>
          <w:sz w:val="24"/>
        </w:rPr>
      </w:pPr>
      <w:r>
        <w:rPr>
          <w:sz w:val="24"/>
        </w:rPr>
        <w:t>要求及时制定培训计划。培训计划应与软件开发计划、维护要求、运行支持策略协调一致。培训对象包括安全管理维护人员、质量控制人员、管理人员、操作人员，针对不同对象进行不同类型、不同级别的培训。培训内容如下：</w:t>
      </w:r>
    </w:p>
    <w:p>
      <w:pPr>
        <w:pStyle w:val="Normal"/>
        <w:numPr>
          <w:ilvl w:val="0"/>
          <w:numId w:val="17"/>
        </w:numPr>
        <w:tabs>
          <w:tab w:val="clear" w:pos="420"/>
          <w:tab w:val="left" w:pos="720" w:leader="none"/>
        </w:tabs>
        <w:spacing w:lineRule="auto" w:line="360"/>
        <w:rPr>
          <w:sz w:val="24"/>
        </w:rPr>
      </w:pPr>
      <w:r>
        <w:rPr>
          <w:sz w:val="24"/>
        </w:rPr>
        <w:t>安全一般知识或专门技术；</w:t>
      </w:r>
    </w:p>
    <w:p>
      <w:pPr>
        <w:pStyle w:val="Normal"/>
        <w:numPr>
          <w:ilvl w:val="0"/>
          <w:numId w:val="17"/>
        </w:numPr>
        <w:tabs>
          <w:tab w:val="clear" w:pos="420"/>
          <w:tab w:val="left" w:pos="720" w:leader="none"/>
        </w:tabs>
        <w:spacing w:lineRule="auto" w:line="360"/>
        <w:rPr>
          <w:sz w:val="24"/>
        </w:rPr>
      </w:pPr>
      <w:r>
        <w:rPr>
          <w:sz w:val="24"/>
        </w:rPr>
        <w:t>安全相关操作要求；</w:t>
      </w:r>
    </w:p>
    <w:p>
      <w:pPr>
        <w:pStyle w:val="Normal"/>
        <w:numPr>
          <w:ilvl w:val="0"/>
          <w:numId w:val="17"/>
        </w:numPr>
        <w:tabs>
          <w:tab w:val="clear" w:pos="420"/>
          <w:tab w:val="left" w:pos="720" w:leader="none"/>
        </w:tabs>
        <w:spacing w:lineRule="auto" w:line="360"/>
        <w:rPr>
          <w:sz w:val="24"/>
        </w:rPr>
      </w:pPr>
      <w:r>
        <w:rPr>
          <w:sz w:val="24"/>
        </w:rPr>
        <w:t>需用的时间和资源；</w:t>
      </w:r>
    </w:p>
    <w:p>
      <w:pPr>
        <w:pStyle w:val="Normal"/>
        <w:numPr>
          <w:ilvl w:val="0"/>
          <w:numId w:val="17"/>
        </w:numPr>
        <w:tabs>
          <w:tab w:val="clear" w:pos="420"/>
          <w:tab w:val="left" w:pos="720" w:leader="none"/>
        </w:tabs>
        <w:spacing w:lineRule="auto" w:line="360"/>
        <w:rPr>
          <w:sz w:val="24"/>
        </w:rPr>
      </w:pPr>
      <w:r>
        <w:rPr>
          <w:sz w:val="24"/>
        </w:rPr>
        <w:t>需用的设备和工具。</w:t>
      </w:r>
    </w:p>
    <w:p>
      <w:pPr>
        <w:pStyle w:val="Heading3"/>
        <w:numPr>
          <w:ilvl w:val="2"/>
          <w:numId w:val="11"/>
        </w:numPr>
        <w:spacing w:lineRule="auto" w:line="300" w:before="0" w:after="0"/>
        <w:rPr>
          <w:b w:val="false"/>
          <w:b w:val="false"/>
          <w:sz w:val="24"/>
        </w:rPr>
      </w:pPr>
      <w:bookmarkStart w:id="21" w:name="__RefHeading___Toc58518997"/>
      <w:bookmarkEnd w:id="21"/>
      <w:r>
        <w:rPr>
          <w:b w:val="false"/>
          <w:sz w:val="24"/>
        </w:rPr>
        <w:t>安全保障要求</w:t>
      </w:r>
    </w:p>
    <w:p>
      <w:pPr>
        <w:pStyle w:val="Normal"/>
        <w:spacing w:lineRule="auto" w:line="360"/>
        <w:ind w:firstLine="425"/>
        <w:rPr>
          <w:sz w:val="24"/>
        </w:rPr>
      </w:pPr>
      <w:r>
        <w:rPr>
          <w:sz w:val="24"/>
        </w:rPr>
        <w:t>对安全维护保障要求应进行说明并指定计划，需考虑下列因素：</w:t>
      </w:r>
    </w:p>
    <w:p>
      <w:pPr>
        <w:pStyle w:val="Normal"/>
        <w:numPr>
          <w:ilvl w:val="0"/>
          <w:numId w:val="19"/>
        </w:numPr>
        <w:tabs>
          <w:tab w:val="clear" w:pos="420"/>
          <w:tab w:val="left" w:pos="720" w:leader="none"/>
        </w:tabs>
        <w:spacing w:lineRule="auto" w:line="360"/>
        <w:rPr>
          <w:sz w:val="24"/>
        </w:rPr>
      </w:pPr>
      <w:r>
        <w:rPr>
          <w:sz w:val="24"/>
        </w:rPr>
        <w:t>安全维护保障策略；</w:t>
      </w:r>
    </w:p>
    <w:p>
      <w:pPr>
        <w:pStyle w:val="Normal"/>
        <w:numPr>
          <w:ilvl w:val="0"/>
          <w:numId w:val="19"/>
        </w:numPr>
        <w:tabs>
          <w:tab w:val="clear" w:pos="420"/>
          <w:tab w:val="left" w:pos="720" w:leader="none"/>
        </w:tabs>
        <w:spacing w:lineRule="auto" w:line="360"/>
        <w:rPr>
          <w:sz w:val="24"/>
        </w:rPr>
      </w:pPr>
      <w:r>
        <w:rPr>
          <w:sz w:val="24"/>
        </w:rPr>
        <w:t>安全技术保障功能；</w:t>
      </w:r>
    </w:p>
    <w:p>
      <w:pPr>
        <w:pStyle w:val="Normal"/>
        <w:numPr>
          <w:ilvl w:val="0"/>
          <w:numId w:val="19"/>
        </w:numPr>
        <w:tabs>
          <w:tab w:val="clear" w:pos="420"/>
          <w:tab w:val="left" w:pos="720" w:leader="none"/>
        </w:tabs>
        <w:spacing w:lineRule="auto" w:line="360"/>
        <w:rPr>
          <w:sz w:val="24"/>
        </w:rPr>
      </w:pPr>
      <w:r>
        <w:rPr>
          <w:sz w:val="24"/>
        </w:rPr>
        <w:t>安全维护保障任务；</w:t>
      </w:r>
    </w:p>
    <w:p>
      <w:pPr>
        <w:pStyle w:val="Normal"/>
        <w:numPr>
          <w:ilvl w:val="0"/>
          <w:numId w:val="19"/>
        </w:numPr>
        <w:tabs>
          <w:tab w:val="clear" w:pos="420"/>
          <w:tab w:val="left" w:pos="720" w:leader="none"/>
        </w:tabs>
        <w:spacing w:lineRule="auto" w:line="360"/>
        <w:rPr>
          <w:sz w:val="24"/>
        </w:rPr>
      </w:pPr>
      <w:r>
        <w:rPr>
          <w:sz w:val="24"/>
        </w:rPr>
        <w:t>安全配置管理；</w:t>
      </w:r>
    </w:p>
    <w:p>
      <w:pPr>
        <w:pStyle w:val="Normal"/>
        <w:numPr>
          <w:ilvl w:val="0"/>
          <w:numId w:val="19"/>
        </w:numPr>
        <w:tabs>
          <w:tab w:val="clear" w:pos="420"/>
          <w:tab w:val="left" w:pos="720" w:leader="none"/>
        </w:tabs>
        <w:spacing w:lineRule="auto" w:line="360"/>
        <w:rPr>
          <w:sz w:val="24"/>
        </w:rPr>
      </w:pPr>
      <w:r>
        <w:rPr>
          <w:sz w:val="24"/>
        </w:rPr>
        <w:t>安全操作规程；</w:t>
      </w:r>
    </w:p>
    <w:p>
      <w:pPr>
        <w:pStyle w:val="Normal"/>
        <w:numPr>
          <w:ilvl w:val="0"/>
          <w:numId w:val="19"/>
        </w:numPr>
        <w:tabs>
          <w:tab w:val="clear" w:pos="420"/>
          <w:tab w:val="left" w:pos="840" w:leader="none"/>
        </w:tabs>
        <w:spacing w:lineRule="auto" w:line="360"/>
        <w:rPr>
          <w:sz w:val="24"/>
        </w:rPr>
      </w:pPr>
      <w:r>
        <w:rPr>
          <w:sz w:val="24"/>
        </w:rPr>
        <w:t>安全突发事件和分析；</w:t>
      </w:r>
    </w:p>
    <w:p>
      <w:pPr>
        <w:pStyle w:val="Normal"/>
        <w:numPr>
          <w:ilvl w:val="0"/>
          <w:numId w:val="19"/>
        </w:numPr>
        <w:tabs>
          <w:tab w:val="clear" w:pos="420"/>
          <w:tab w:val="left" w:pos="720" w:leader="none"/>
        </w:tabs>
        <w:spacing w:lineRule="auto" w:line="360"/>
        <w:rPr>
          <w:sz w:val="24"/>
        </w:rPr>
      </w:pPr>
      <w:r>
        <w:rPr>
          <w:sz w:val="24"/>
        </w:rPr>
        <w:t>安全数据采集和现场跟踪；</w:t>
      </w:r>
    </w:p>
    <w:p>
      <w:pPr>
        <w:pStyle w:val="Normal"/>
        <w:numPr>
          <w:ilvl w:val="0"/>
          <w:numId w:val="19"/>
        </w:numPr>
        <w:tabs>
          <w:tab w:val="clear" w:pos="420"/>
          <w:tab w:val="left" w:pos="720" w:leader="none"/>
        </w:tabs>
        <w:spacing w:lineRule="auto" w:line="360"/>
        <w:rPr>
          <w:sz w:val="24"/>
        </w:rPr>
      </w:pPr>
      <w:r>
        <w:rPr>
          <w:sz w:val="24"/>
        </w:rPr>
        <w:t>安全文件的管理。</w:t>
      </w:r>
    </w:p>
    <w:sectPr>
      <w:headerReference w:type="default" r:id="rId4"/>
      <w:footerReference w:type="default" r:id="rId5"/>
      <w:type w:val="nextPage"/>
      <w:pgSz w:w="11906" w:h="16838"/>
      <w:pgMar w:left="1797" w:right="1797" w:gutter="0" w:header="851"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Wingdings">
    <w:charset w:val="02"/>
    <w:family w:val="auto"/>
    <w:pitch w:val="default"/>
  </w:font>
  <w:font w:name="Times">
    <w:altName w:val="Times New Roman"/>
    <w:charset w:val="00"/>
    <w:family w:val="roman"/>
    <w:pitch w:val="default"/>
  </w:font>
  <w:font w:name="宋体">
    <w:charset w:val="86"/>
    <w:family w:val="auto"/>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7">
              <wp:simplePos x="0" y="0"/>
              <wp:positionH relativeFrom="column">
                <wp:align>center</wp:align>
              </wp:positionH>
              <wp:positionV relativeFrom="page">
                <wp:posOffset>915035</wp:posOffset>
              </wp:positionV>
              <wp:extent cx="5941060" cy="147955"/>
              <wp:effectExtent l="0" t="0" r="0" b="0"/>
              <wp:wrapSquare wrapText="largest"/>
              <wp:docPr id="2" name="Frame2"/>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1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1" w:hanging="431"/>
      </w:pPr>
      <w:rPr/>
    </w:lvl>
    <w:lvl w:ilvl="1">
      <w:start w:val="1"/>
      <w:numFmt w:val="decimal"/>
      <w:lvlText w:val="%1.%2"/>
      <w:lvlJc w:val="left"/>
      <w:pPr>
        <w:tabs>
          <w:tab w:val="num" w:pos="0"/>
        </w:tabs>
        <w:ind w:left="578" w:hanging="578"/>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pStyle w:val="Heading7"/>
      <w:numFmt w:val="decimal"/>
      <w:lvlText w:val="%1.%2.%3.%4.%5.%6.%7"/>
      <w:lvlJc w:val="left"/>
      <w:pPr>
        <w:tabs>
          <w:tab w:val="num" w:pos="0"/>
        </w:tabs>
        <w:ind w:left="1298" w:hanging="1298"/>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2" w:hanging="1582"/>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57" w:firstLine="57"/>
      </w:pPr>
      <w:rPr/>
    </w:lvl>
    <w:lvl w:ilvl="1">
      <w:start w:val="1"/>
      <w:numFmt w:val="lowerLetter"/>
      <w:lvlText w:val="%2)"/>
      <w:lvlJc w:val="left"/>
      <w:pPr>
        <w:tabs>
          <w:tab w:val="num" w:pos="0"/>
        </w:tabs>
        <w:ind w:left="783" w:hanging="420"/>
      </w:pPr>
    </w:lvl>
    <w:lvl w:ilvl="2">
      <w:start w:val="1"/>
      <w:numFmt w:val="lowerRoman"/>
      <w:lvlText w:val="%3."/>
      <w:lvlJc w:val="right"/>
      <w:pPr>
        <w:tabs>
          <w:tab w:val="num" w:pos="0"/>
        </w:tabs>
        <w:ind w:left="1203" w:hanging="420"/>
      </w:pPr>
    </w:lvl>
    <w:lvl w:ilvl="3">
      <w:start w:val="1"/>
      <w:numFmt w:val="decimal"/>
      <w:lvlText w:val="%4."/>
      <w:lvlJc w:val="left"/>
      <w:pPr>
        <w:tabs>
          <w:tab w:val="num" w:pos="0"/>
        </w:tabs>
        <w:ind w:left="1623" w:hanging="420"/>
      </w:pPr>
    </w:lvl>
    <w:lvl w:ilvl="4">
      <w:start w:val="1"/>
      <w:numFmt w:val="lowerLetter"/>
      <w:lvlText w:val="%5)"/>
      <w:lvlJc w:val="left"/>
      <w:pPr>
        <w:tabs>
          <w:tab w:val="num" w:pos="0"/>
        </w:tabs>
        <w:ind w:left="2043" w:hanging="420"/>
      </w:pPr>
    </w:lvl>
    <w:lvl w:ilvl="5">
      <w:start w:val="1"/>
      <w:numFmt w:val="lowerRoman"/>
      <w:lvlText w:val="%6."/>
      <w:lvlJc w:val="right"/>
      <w:pPr>
        <w:tabs>
          <w:tab w:val="num" w:pos="0"/>
        </w:tabs>
        <w:ind w:left="2463" w:hanging="420"/>
      </w:pPr>
    </w:lvl>
    <w:lvl w:ilvl="6">
      <w:start w:val="1"/>
      <w:numFmt w:val="decimal"/>
      <w:lvlText w:val="%7."/>
      <w:lvlJc w:val="left"/>
      <w:pPr>
        <w:tabs>
          <w:tab w:val="num" w:pos="0"/>
        </w:tabs>
        <w:ind w:left="2883" w:hanging="420"/>
      </w:pPr>
    </w:lvl>
    <w:lvl w:ilvl="7">
      <w:start w:val="1"/>
      <w:numFmt w:val="lowerLetter"/>
      <w:lvlText w:val="%8)"/>
      <w:lvlJc w:val="left"/>
      <w:pPr>
        <w:tabs>
          <w:tab w:val="num" w:pos="0"/>
        </w:tabs>
        <w:ind w:left="3303" w:hanging="420"/>
      </w:pPr>
    </w:lvl>
    <w:lvl w:ilvl="8">
      <w:start w:val="1"/>
      <w:numFmt w:val="lowerRoman"/>
      <w:lvlText w:val="%9."/>
      <w:lvlJc w:val="right"/>
      <w:pPr>
        <w:tabs>
          <w:tab w:val="num" w:pos="0"/>
        </w:tabs>
        <w:ind w:left="3723" w:hanging="420"/>
      </w:pPr>
    </w:lvl>
  </w:abstractNum>
  <w:abstractNum w:abstractNumId="4">
    <w:lvl w:ilvl="0">
      <w:start w:val="1"/>
      <w:numFmt w:val="lowerLetter"/>
      <w:lvlText w:val="%1．"/>
      <w:lvlJc w:val="left"/>
      <w:pPr>
        <w:tabs>
          <w:tab w:val="num" w:pos="0"/>
        </w:tabs>
        <w:ind w:left="702" w:hanging="345"/>
      </w:pPr>
      <w:rPr/>
    </w:lvl>
  </w:abstractNum>
  <w:abstractNum w:abstractNumId="5">
    <w:lvl w:ilvl="0">
      <w:start w:val="1"/>
      <w:numFmt w:val="lowerLetter"/>
      <w:lvlText w:val="%1．"/>
      <w:lvlJc w:val="left"/>
      <w:pPr>
        <w:tabs>
          <w:tab w:val="num" w:pos="0"/>
        </w:tabs>
        <w:ind w:left="702" w:hanging="345"/>
      </w:pPr>
      <w:rPr/>
    </w:lvl>
  </w:abstractNum>
  <w:abstractNum w:abstractNumId="6">
    <w:lvl w:ilvl="0">
      <w:start w:val="1"/>
      <w:numFmt w:val="lowerLetter"/>
      <w:lvlText w:val="%1．"/>
      <w:lvlJc w:val="left"/>
      <w:pPr>
        <w:tabs>
          <w:tab w:val="num" w:pos="0"/>
        </w:tabs>
        <w:ind w:left="702" w:hanging="345"/>
      </w:pPr>
      <w:rPr/>
    </w:lvl>
  </w:abstractNum>
  <w:abstractNum w:abstractNumId="7">
    <w:lvl w:ilvl="0">
      <w:start w:val="1"/>
      <w:numFmt w:val="lowerLetter"/>
      <w:lvlText w:val="%1．"/>
      <w:lvlJc w:val="left"/>
      <w:pPr>
        <w:tabs>
          <w:tab w:val="num" w:pos="0"/>
        </w:tabs>
        <w:ind w:left="702" w:hanging="345"/>
      </w:pPr>
      <w:rPr/>
    </w:lvl>
  </w:abstractNum>
  <w:abstractNum w:abstractNumId="8">
    <w:lvl w:ilvl="0">
      <w:start w:val="1"/>
      <w:numFmt w:val="lowerLetter"/>
      <w:lvlText w:val="%1．"/>
      <w:lvlJc w:val="left"/>
      <w:pPr>
        <w:tabs>
          <w:tab w:val="num" w:pos="0"/>
        </w:tabs>
        <w:ind w:left="702" w:hanging="345"/>
      </w:pPr>
      <w:rPr/>
    </w:lvl>
  </w:abstractNum>
  <w:abstractNum w:abstractNumId="9">
    <w:lvl w:ilvl="0">
      <w:start w:val="1"/>
      <w:numFmt w:val="lowerLetter"/>
      <w:lvlText w:val="%1．"/>
      <w:lvlJc w:val="left"/>
      <w:pPr>
        <w:tabs>
          <w:tab w:val="num" w:pos="0"/>
        </w:tabs>
        <w:ind w:left="702" w:hanging="345"/>
      </w:pPr>
      <w:rPr/>
    </w:lvl>
  </w:abstractNum>
  <w:abstractNum w:abstractNumId="10">
    <w:lvl w:ilvl="0">
      <w:start w:val="1"/>
      <w:numFmt w:val="lowerLetter"/>
      <w:lvlText w:val="%1．"/>
      <w:lvlJc w:val="left"/>
      <w:pPr>
        <w:tabs>
          <w:tab w:val="num" w:pos="420"/>
        </w:tabs>
        <w:ind w:left="702" w:hanging="345"/>
      </w:pPr>
      <w:rPr/>
    </w:lvl>
  </w:abstractNum>
  <w:abstractNum w:abstractNumId="11">
    <w:lvl w:ilvl="0">
      <w:start w:val="1"/>
      <w:numFmt w:val="decimal"/>
      <w:suff w:val="nothing"/>
      <w:lvlText w:val="%1　"/>
      <w:lvlJc w:val="left"/>
      <w:pPr>
        <w:tabs>
          <w:tab w:val="num" w:pos="0"/>
        </w:tabs>
        <w:ind w:left="0" w:hanging="0"/>
      </w:pPr>
      <w:rPr>
        <w:sz w:val="24"/>
        <w:i w:val="false"/>
        <w:b w:val="false"/>
        <w:szCs w:val="24"/>
        <w:rFonts w:ascii="黑体" w:hAnsi="黑体" w:eastAsia="黑体"/>
      </w:rPr>
    </w:lvl>
    <w:lvl w:ilvl="1">
      <w:start w:val="1"/>
      <w:numFmt w:val="decimal"/>
      <w:suff w:val="nothing"/>
      <w:lvlText w:val="%1.%2　"/>
      <w:lvlJc w:val="left"/>
      <w:pPr>
        <w:tabs>
          <w:tab w:val="num" w:pos="0"/>
        </w:tabs>
        <w:ind w:left="0" w:hanging="0"/>
      </w:pPr>
      <w:rPr>
        <w:sz w:val="24"/>
        <w:i w:val="false"/>
        <w:b w:val="false"/>
        <w:rFonts w:ascii="黑体" w:hAnsi="黑体" w:eastAsia="黑体"/>
      </w:rPr>
    </w:lvl>
    <w:lvl w:ilvl="2">
      <w:start w:val="1"/>
      <w:numFmt w:val="decimal"/>
      <w:suff w:val="nothing"/>
      <w:lvlText w:val="%1.%2.%3　"/>
      <w:lvlJc w:val="left"/>
      <w:pPr>
        <w:tabs>
          <w:tab w:val="num" w:pos="0"/>
        </w:tabs>
        <w:ind w:left="0" w:hanging="0"/>
      </w:pPr>
      <w:rPr>
        <w:sz w:val="24"/>
        <w:i w:val="false"/>
        <w:b/>
        <w:rFonts w:ascii="黑体" w:hAnsi="黑体" w:eastAsia="黑体" w:cs="Times New Roman"/>
      </w:rPr>
    </w:lvl>
    <w:lvl w:ilvl="3">
      <w:start w:val="1"/>
      <w:numFmt w:val="decimal"/>
      <w:suff w:val="nothing"/>
      <w:lvlText w:val="%1.%2.%3.%4　"/>
      <w:lvlJc w:val="left"/>
      <w:pPr>
        <w:tabs>
          <w:tab w:val="num" w:pos="0"/>
        </w:tabs>
        <w:ind w:left="0" w:hanging="0"/>
      </w:pPr>
      <w:rPr>
        <w:sz w:val="24"/>
        <w:i w:val="false"/>
        <w:b/>
        <w:rFonts w:ascii="黑体" w:hAnsi="黑体" w:eastAsia="黑体"/>
      </w:rPr>
    </w:lvl>
    <w:lvl w:ilvl="4">
      <w:start w:val="1"/>
      <w:numFmt w:val="decimal"/>
      <w:suff w:val="nothing"/>
      <w:lvlText w:val="%1.%2.%3.%4.%5　"/>
      <w:lvlJc w:val="left"/>
      <w:pPr>
        <w:tabs>
          <w:tab w:val="num" w:pos="0"/>
        </w:tabs>
        <w:ind w:left="0" w:hanging="0"/>
      </w:pPr>
      <w:rPr>
        <w:sz w:val="24"/>
        <w:i w:val="false"/>
        <w:b w:val="false"/>
        <w:rFonts w:ascii="黑体" w:hAnsi="黑体" w:eastAsia="黑体"/>
      </w:rPr>
    </w:lvl>
    <w:lvl w:ilvl="5">
      <w:start w:val="1"/>
      <w:numFmt w:val="decimal"/>
      <w:suff w:val="nothing"/>
      <w:lvlText w:val="%1.%2.%3.%4.%5.%6　"/>
      <w:lvlJc w:val="left"/>
      <w:pPr>
        <w:tabs>
          <w:tab w:val="num" w:pos="0"/>
        </w:tabs>
        <w:ind w:left="0" w:hanging="0"/>
      </w:pPr>
      <w:rPr>
        <w:sz w:val="24"/>
        <w:i w:val="false"/>
        <w:b w:val="false"/>
        <w:rFonts w:ascii="黑体" w:hAnsi="黑体" w:eastAsia="黑体"/>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2">
    <w:lvl w:ilvl="0">
      <w:start w:val="1"/>
      <w:numFmt w:val="lowerLetter"/>
      <w:lvlText w:val="%1．"/>
      <w:lvlJc w:val="left"/>
      <w:pPr>
        <w:tabs>
          <w:tab w:val="num" w:pos="420"/>
        </w:tabs>
        <w:ind w:left="702" w:hanging="345"/>
      </w:pPr>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13">
    <w:lvl w:ilvl="0">
      <w:start w:val="1"/>
      <w:numFmt w:val="bullet"/>
      <w:lvlText w:val=""/>
      <w:lvlJc w:val="left"/>
      <w:pPr>
        <w:tabs>
          <w:tab w:val="num" w:pos="0"/>
        </w:tabs>
        <w:ind w:left="851" w:hanging="284"/>
      </w:pPr>
      <w:rPr>
        <w:rFonts w:ascii="Wingdings" w:hAnsi="Wingdings" w:cs="Wingdings" w:hint="default"/>
        <w:sz w:val="21"/>
        <w:szCs w:val="21"/>
      </w:rPr>
    </w:lvl>
  </w:abstractNum>
  <w:abstractNum w:abstractNumId="14">
    <w:lvl w:ilvl="0">
      <w:start w:val="1"/>
      <w:numFmt w:val="lowerLetter"/>
      <w:lvlText w:val="%1．"/>
      <w:lvlJc w:val="left"/>
      <w:pPr>
        <w:tabs>
          <w:tab w:val="num" w:pos="0"/>
        </w:tabs>
        <w:ind w:left="525" w:hanging="345"/>
      </w:pPr>
      <w:rPr/>
    </w:lvl>
  </w:abstractNum>
  <w:abstractNum w:abstractNumId="15">
    <w:lvl w:ilvl="0">
      <w:start w:val="1"/>
      <w:numFmt w:val="lowerLetter"/>
      <w:lvlText w:val="%1．"/>
      <w:lvlJc w:val="left"/>
      <w:pPr>
        <w:tabs>
          <w:tab w:val="num" w:pos="0"/>
        </w:tabs>
        <w:ind w:left="702" w:hanging="345"/>
      </w:pPr>
      <w:rPr/>
    </w:lvl>
  </w:abstractNum>
  <w:abstractNum w:abstractNumId="16">
    <w:lvl w:ilvl="0">
      <w:start w:val="1"/>
      <w:numFmt w:val="bullet"/>
      <w:lvlText w:val=""/>
      <w:lvlJc w:val="left"/>
      <w:pPr>
        <w:tabs>
          <w:tab w:val="num" w:pos="0"/>
        </w:tabs>
        <w:ind w:left="453" w:hanging="453"/>
      </w:pPr>
      <w:rPr>
        <w:rFonts w:ascii="Wingdings" w:hAnsi="Wingdings" w:cs="Wingdings" w:hint="default"/>
        <w:sz w:val="18"/>
        <w:i w:val="false"/>
        <w:b/>
        <w:szCs w:val="18"/>
      </w:rPr>
    </w:lvl>
    <w:lvl w:ilvl="1">
      <w:start w:val="1"/>
      <w:numFmt w:val="decimal"/>
      <w:lvlText w:val="%1.%2"/>
      <w:lvlJc w:val="left"/>
      <w:pPr>
        <w:tabs>
          <w:tab w:val="num" w:pos="0"/>
        </w:tabs>
        <w:ind w:left="390" w:hanging="390"/>
      </w:pPr>
      <w:rPr/>
    </w:lvl>
    <w:lvl w:ilvl="2">
      <w:start w:val="1"/>
      <w:numFmt w:val="decimal"/>
      <w:lvlText w:val="%1.%2.%3"/>
      <w:lvlJc w:val="left"/>
      <w:pPr>
        <w:tabs>
          <w:tab w:val="num" w:pos="0"/>
        </w:tabs>
        <w:ind w:left="390" w:hanging="390"/>
      </w:pPr>
      <w:rPr/>
    </w:lvl>
    <w:lvl w:ilvl="3">
      <w:start w:val="1"/>
      <w:numFmt w:val="decimal"/>
      <w:lvlText w:val="%1.%2.%3.%4"/>
      <w:lvlJc w:val="left"/>
      <w:pPr>
        <w:tabs>
          <w:tab w:val="num" w:pos="0"/>
        </w:tabs>
        <w:ind w:left="390" w:hanging="390"/>
      </w:pPr>
      <w:rPr/>
    </w:lvl>
    <w:lvl w:ilvl="4">
      <w:start w:val="1"/>
      <w:numFmt w:val="decimal"/>
      <w:lvlText w:val="%1.%2.%3.%4.%5"/>
      <w:lvlJc w:val="left"/>
      <w:pPr>
        <w:tabs>
          <w:tab w:val="num" w:pos="0"/>
        </w:tabs>
        <w:ind w:left="390" w:hanging="390"/>
      </w:pPr>
      <w:rPr/>
    </w:lvl>
    <w:lvl w:ilvl="5">
      <w:start w:val="1"/>
      <w:numFmt w:val="decimal"/>
      <w:lvlText w:val="%1.%2.%3.%4.%5.%6"/>
      <w:lvlJc w:val="left"/>
      <w:pPr>
        <w:tabs>
          <w:tab w:val="num" w:pos="0"/>
        </w:tabs>
        <w:ind w:left="390" w:hanging="390"/>
      </w:pPr>
      <w:rPr/>
    </w:lvl>
    <w:lvl w:ilvl="6">
      <w:start w:val="1"/>
      <w:numFmt w:val="decimal"/>
      <w:lvlText w:val="%1.%2.%3.%4.%5.%6.%7"/>
      <w:lvlJc w:val="left"/>
      <w:pPr>
        <w:tabs>
          <w:tab w:val="num" w:pos="0"/>
        </w:tabs>
        <w:ind w:left="390" w:hanging="390"/>
      </w:pPr>
      <w:rPr/>
    </w:lvl>
    <w:lvl w:ilvl="7">
      <w:start w:val="1"/>
      <w:numFmt w:val="decimal"/>
      <w:lvlText w:val="%1.%2.%3.%4.%5.%6.%7.%8"/>
      <w:lvlJc w:val="left"/>
      <w:pPr>
        <w:tabs>
          <w:tab w:val="num" w:pos="0"/>
        </w:tabs>
        <w:ind w:left="390" w:hanging="390"/>
      </w:pPr>
      <w:rPr/>
    </w:lvl>
    <w:lvl w:ilvl="8">
      <w:start w:val="1"/>
      <w:numFmt w:val="decimal"/>
      <w:lvlText w:val="%1.%2.%3.%4.%5.%6.%7.%8.%9"/>
      <w:lvlJc w:val="left"/>
      <w:pPr>
        <w:tabs>
          <w:tab w:val="num" w:pos="0"/>
        </w:tabs>
        <w:ind w:left="390" w:hanging="390"/>
      </w:pPr>
      <w:rPr/>
    </w:lvl>
  </w:abstractNum>
  <w:abstractNum w:abstractNumId="17">
    <w:lvl w:ilvl="0">
      <w:start w:val="1"/>
      <w:numFmt w:val="lowerLetter"/>
      <w:lvlText w:val="%1．"/>
      <w:lvlJc w:val="left"/>
      <w:pPr>
        <w:tabs>
          <w:tab w:val="num" w:pos="0"/>
        </w:tabs>
        <w:ind w:left="720" w:hanging="300"/>
      </w:pPr>
      <w:rPr/>
    </w:lvl>
  </w:abstractNum>
  <w:abstractNum w:abstractNumId="18">
    <w:lvl w:ilvl="0">
      <w:start w:val="1"/>
      <w:numFmt w:val="lowerLetter"/>
      <w:lvlText w:val="%1．"/>
      <w:lvlJc w:val="left"/>
      <w:pPr>
        <w:tabs>
          <w:tab w:val="num" w:pos="0"/>
        </w:tabs>
        <w:ind w:left="702" w:hanging="345"/>
      </w:pPr>
      <w:rPr/>
    </w:lvl>
  </w:abstractNum>
  <w:abstractNum w:abstractNumId="19">
    <w:lvl w:ilvl="0">
      <w:start w:val="1"/>
      <w:numFmt w:val="lowerLetter"/>
      <w:lvlText w:val="%1．"/>
      <w:lvlJc w:val="left"/>
      <w:pPr>
        <w:tabs>
          <w:tab w:val="num" w:pos="0"/>
        </w:tabs>
        <w:ind w:left="720" w:hanging="3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8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1"/>
      </w:numPr>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11"/>
      </w:numPr>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11"/>
      </w:numPr>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11"/>
      </w:numPr>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11"/>
      </w:numPr>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0"/>
        <w:numId w:val="11"/>
      </w:numPr>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6"/>
        <w:numId w:val="1"/>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7"/>
        <w:numId w:val="1"/>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8"/>
        <w:numId w:val="1"/>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rFonts w:ascii="黑体" w:hAnsi="黑体" w:eastAsia="黑体"/>
      <w:b w:val="false"/>
      <w:i w:val="false"/>
      <w:sz w:val="24"/>
      <w:szCs w:val="24"/>
    </w:rPr>
  </w:style>
  <w:style w:type="character" w:styleId="WW8Num11z1">
    <w:name w:val="WW8Num11z1"/>
    <w:qFormat/>
    <w:rPr>
      <w:rFonts w:ascii="黑体" w:hAnsi="黑体" w:eastAsia="黑体"/>
      <w:b w:val="false"/>
      <w:i w:val="false"/>
      <w:sz w:val="24"/>
    </w:rPr>
  </w:style>
  <w:style w:type="character" w:styleId="WW8Num11z2">
    <w:name w:val="WW8Num11z2"/>
    <w:qFormat/>
    <w:rPr>
      <w:rFonts w:ascii="黑体" w:hAnsi="黑体" w:eastAsia="黑体" w:cs="Times New Roman"/>
      <w:b/>
      <w:i w:val="false"/>
      <w:sz w:val="24"/>
    </w:rPr>
  </w:style>
  <w:style w:type="character" w:styleId="WW8Num11z3">
    <w:name w:val="WW8Num11z3"/>
    <w:qFormat/>
    <w:rPr>
      <w:rFonts w:ascii="黑体" w:hAnsi="黑体" w:eastAsia="黑体"/>
      <w:b/>
      <w:i w:val="false"/>
      <w:sz w:val="24"/>
    </w:rPr>
  </w:style>
  <w:style w:type="character" w:styleId="WW8Num11z6">
    <w:name w:val="WW8Num11z6"/>
    <w:qFormat/>
    <w:rPr/>
  </w:style>
  <w:style w:type="character" w:styleId="WW8Num12z0">
    <w:name w:val="WW8Num12z0"/>
    <w:qFormat/>
    <w:rPr/>
  </w:style>
  <w:style w:type="character" w:styleId="WW8Num13z0">
    <w:name w:val="WW8Num13z0"/>
    <w:qFormat/>
    <w:rPr>
      <w:rFonts w:ascii="Wingdings" w:hAnsi="Wingdings" w:cs="Wingdings"/>
      <w:sz w:val="21"/>
      <w:szCs w:val="21"/>
    </w:rPr>
  </w:style>
  <w:style w:type="character" w:styleId="WW8Num14z0">
    <w:name w:val="WW8Num14z0"/>
    <w:qFormat/>
    <w:rPr/>
  </w:style>
  <w:style w:type="character" w:styleId="WW8Num15z0">
    <w:name w:val="WW8Num15z0"/>
    <w:qFormat/>
    <w:rPr/>
  </w:style>
  <w:style w:type="character" w:styleId="WW8Num16z0">
    <w:name w:val="WW8Num16z0"/>
    <w:qFormat/>
    <w:rPr>
      <w:rFonts w:ascii="Wingdings" w:hAnsi="Wingdings" w:cs="Wingdings"/>
      <w:b/>
      <w:i w:val="false"/>
      <w:sz w:val="18"/>
      <w:szCs w:val="18"/>
    </w:rPr>
  </w:style>
  <w:style w:type="character" w:styleId="WW8Num16z1">
    <w:name w:val="WW8Num16z1"/>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Style5">
    <w:name w:val="默认段落字体"/>
    <w:qFormat/>
    <w:rPr/>
  </w:style>
  <w:style w:type="character" w:styleId="2">
    <w:name w:val="标题 2 字符"/>
    <w:qFormat/>
    <w:rPr>
      <w:rFonts w:ascii="Arial" w:hAnsi="Arial" w:eastAsia="黑体" w:cs="Arial"/>
      <w:b/>
      <w:bCs/>
      <w:kern w:val="2"/>
      <w:sz w:val="32"/>
      <w:szCs w:val="32"/>
      <w:lang w:val="en-US" w:eastAsia="zh-CN" w:bidi="ar-SA"/>
    </w:rPr>
  </w:style>
  <w:style w:type="character" w:styleId="Style6">
    <w:name w:val="题注 字符"/>
    <w:qFormat/>
    <w:rPr>
      <w:rFonts w:ascii="Arial" w:hAnsi="Arial" w:eastAsia="宋体" w:cs="Arial"/>
      <w:sz w:val="21"/>
      <w:szCs w:val="21"/>
      <w:lang w:val="en-US" w:eastAsia="zh-CN" w:bidi="ar-SA"/>
    </w:rPr>
  </w:style>
  <w:style w:type="character" w:styleId="PageNumber">
    <w:name w:val="Page Number"/>
    <w:basedOn w:val="Style5"/>
    <w:rPr/>
  </w:style>
  <w:style w:type="character" w:styleId="InternetLink">
    <w:name w:val="Hyperlink"/>
    <w:rPr>
      <w:color w:val="0000FF"/>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2Char">
    <w:name w:val="样式 首行缩进:  2 字符 Char"/>
    <w:qFormat/>
    <w:rPr>
      <w:rFonts w:ascii="宋体" w:hAnsi="宋体" w:eastAsia="仿宋_GB2312;仿宋" w:cs="宋体"/>
      <w:kern w:val="2"/>
      <w:sz w:val="24"/>
      <w:szCs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7">
    <w:name w:val="正文缩进"/>
    <w:basedOn w:val="Normal"/>
    <w:qFormat/>
    <w:pPr>
      <w:spacing w:lineRule="auto" w:line="300"/>
      <w:ind w:firstLine="482"/>
    </w:pPr>
    <w:rPr>
      <w:rFonts w:ascii="宋体" w:hAnsi="宋体"/>
      <w:kern w:val="0"/>
      <w:sz w:val="24"/>
      <w:szCs w:val="20"/>
    </w:rPr>
  </w:style>
  <w:style w:type="paragraph" w:styleId="Style8">
    <w:name w:val="题注"/>
    <w:basedOn w:val="Normal"/>
    <w:next w:val="Normal"/>
    <w:qFormat/>
    <w:pPr>
      <w:spacing w:before="163" w:after="163"/>
      <w:jc w:val="center"/>
    </w:pPr>
    <w:rPr>
      <w:rFonts w:ascii="Arial" w:hAnsi="Arial" w:cs="Arial"/>
      <w:kern w:val="0"/>
      <w:szCs w:val="21"/>
    </w:rPr>
  </w:style>
  <w:style w:type="paragraph" w:styleId="Style9">
    <w:name w:val="文档结构图"/>
    <w:basedOn w:val="Normal"/>
    <w:qFormat/>
    <w:pPr>
      <w:shd w:fill="000080" w:val="clear"/>
    </w:pPr>
    <w:rPr/>
  </w:style>
  <w:style w:type="paragraph" w:styleId="TextBodyIndent">
    <w:name w:val="Body Text Indent"/>
    <w:basedOn w:val="Normal"/>
    <w:pPr>
      <w:spacing w:before="0" w:after="120"/>
      <w:ind w:left="420" w:hanging="0"/>
    </w:pPr>
    <w:rPr/>
  </w:style>
  <w:style w:type="paragraph" w:styleId="Contents3">
    <w:name w:val="TOC 3"/>
    <w:basedOn w:val="Normal"/>
    <w:next w:val="Normal"/>
    <w:pPr>
      <w:ind w:left="840" w:hanging="0"/>
    </w:pPr>
    <w:rPr/>
  </w:style>
  <w:style w:type="paragraph" w:styleId="21">
    <w:name w:val="正文文本缩进 2"/>
    <w:basedOn w:val="Normal"/>
    <w:qFormat/>
    <w:pPr>
      <w:spacing w:lineRule="auto" w:line="480" w:before="0" w:after="120"/>
      <w:ind w:left="42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6">
    <w:name w:val="TOC 6"/>
    <w:basedOn w:val="Normal"/>
    <w:next w:val="Normal"/>
    <w:pPr>
      <w:ind w:left="2100" w:hanging="0"/>
    </w:pPr>
    <w:rPr/>
  </w:style>
  <w:style w:type="paragraph" w:styleId="3">
    <w:name w:val="正文文本缩进 3"/>
    <w:basedOn w:val="Normal"/>
    <w:qFormat/>
    <w:pPr>
      <w:numPr>
        <w:ilvl w:val="0"/>
        <w:numId w:val="13"/>
      </w:numPr>
      <w:tabs>
        <w:tab w:val="clear" w:pos="420"/>
      </w:tabs>
      <w:spacing w:before="0" w:after="120"/>
      <w:ind w:left="420" w:hanging="0"/>
    </w:pPr>
    <w:rPr>
      <w:sz w:val="16"/>
      <w:szCs w:val="16"/>
    </w:rPr>
  </w:style>
  <w:style w:type="paragraph" w:styleId="Style10">
    <w:name w:val="图表目录"/>
    <w:basedOn w:val="Normal"/>
    <w:next w:val="Normal"/>
    <w:qFormat/>
    <w:pPr>
      <w:ind w:hanging="200"/>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Normal1">
    <w:name w:val="LO-Normal"/>
    <w:qFormat/>
    <w:pPr>
      <w:widowControl w:val="false"/>
      <w:bidi w:val="0"/>
      <w:spacing w:lineRule="atLeast" w:line="0"/>
      <w:textAlignment w:val="baseline"/>
    </w:pPr>
    <w:rPr>
      <w:rFonts w:ascii="宋体" w:hAnsi="宋体" w:eastAsia="宋体" w:cs="Times New Roman"/>
      <w:color w:val="auto"/>
      <w:sz w:val="34"/>
      <w:szCs w:val="20"/>
      <w:lang w:val="en-US" w:eastAsia="zh-CN" w:bidi="ar-SA"/>
    </w:rPr>
  </w:style>
  <w:style w:type="paragraph" w:styleId="Style11">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2">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3">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4">
    <w:name w:val="样式4"/>
    <w:basedOn w:val="Normal"/>
    <w:qFormat/>
    <w:pPr/>
    <w:rPr>
      <w:spacing w:val="2"/>
      <w:szCs w:val="20"/>
      <w:lang w:val="en-US" w:eastAsia="en-US"/>
    </w:rPr>
  </w:style>
  <w:style w:type="paragraph" w:styleId="1">
    <w:name w:val="1正文"/>
    <w:basedOn w:val="Normal"/>
    <w:qFormat/>
    <w:pPr>
      <w:spacing w:lineRule="exact" w:line="360"/>
    </w:pPr>
    <w:rPr>
      <w:szCs w:val="21"/>
      <w:lang w:val="en-US" w:eastAsia="en-US"/>
    </w:rPr>
  </w:style>
  <w:style w:type="paragraph" w:styleId="Zw">
    <w:name w:val="zw"/>
    <w:basedOn w:val="Normal"/>
    <w:qFormat/>
    <w:pPr>
      <w:spacing w:lineRule="exact" w:line="440"/>
      <w:ind w:firstLine="425"/>
    </w:pPr>
    <w:rPr>
      <w:color w:val="008000"/>
      <w:sz w:val="24"/>
      <w:szCs w:val="20"/>
      <w:lang w:val="en-US" w:eastAsia="en-US"/>
    </w:rPr>
  </w:style>
  <w:style w:type="paragraph" w:styleId="Style14">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Char2">
    <w:name w:val=" Char"/>
    <w:basedOn w:val="Normal"/>
    <w:qFormat/>
    <w:pPr>
      <w:widowControl/>
      <w:spacing w:lineRule="exact" w:line="240" w:before="0" w:after="160"/>
      <w:ind w:left="420" w:hanging="0"/>
      <w:jc w:val="left"/>
    </w:pPr>
    <w:rPr>
      <w:rFonts w:ascii="Verdana" w:hAnsi="Verdana" w:cs="Verdana"/>
      <w:kern w:val="0"/>
      <w:sz w:val="24"/>
      <w:szCs w:val="20"/>
    </w:rPr>
  </w:style>
  <w:style w:type="paragraph" w:styleId="Style16">
    <w:name w:val="正文（首行缩进两字） + 小四"/>
    <w:basedOn w:val="Normal"/>
    <w:qFormat/>
    <w:pPr>
      <w:widowControl/>
      <w:snapToGrid w:val="false"/>
      <w:spacing w:lineRule="auto" w:line="300"/>
      <w:ind w:firstLine="482"/>
      <w:jc w:val="left"/>
      <w:textAlignment w:val="baseline"/>
    </w:pPr>
    <w:rPr>
      <w:kern w:val="0"/>
      <w:sz w:val="24"/>
      <w:szCs w:val="20"/>
    </w:rPr>
  </w:style>
  <w:style w:type="paragraph" w:styleId="Style17">
    <w:name w:val="表格文字"/>
    <w:basedOn w:val="Normal"/>
    <w:qFormat/>
    <w:pPr>
      <w:numPr>
        <w:ilvl w:val="0"/>
        <w:numId w:val="3"/>
      </w:numPr>
      <w:tabs>
        <w:tab w:val="clear" w:pos="420"/>
        <w:tab w:val="left" w:pos="360" w:leader="none"/>
      </w:tabs>
    </w:pPr>
    <w:rPr>
      <w:lang w:val="en-US" w:eastAsia="en-US"/>
    </w:rPr>
  </w:style>
  <w:style w:type="paragraph" w:styleId="CharChar1">
    <w:name w:val=" Char Char1"/>
    <w:basedOn w:val="Style10"/>
    <w:next w:val="Normal"/>
    <w:qFormat/>
    <w:pPr>
      <w:widowControl/>
      <w:snapToGrid w:val="false"/>
      <w:ind w:hanging="0"/>
      <w:jc w:val="center"/>
      <w:textAlignment w:val="baseline"/>
    </w:pPr>
    <w:rPr>
      <w:kern w:val="0"/>
      <w:szCs w:val="21"/>
    </w:rPr>
  </w:style>
  <w:style w:type="paragraph" w:styleId="Style18">
    <w:name w:val="文件名称"/>
    <w:basedOn w:val="Normal"/>
    <w:qFormat/>
    <w:pPr>
      <w:widowControl/>
      <w:snapToGrid w:val="false"/>
      <w:spacing w:lineRule="auto" w:line="360"/>
      <w:jc w:val="center"/>
      <w:textAlignment w:val="baseline"/>
    </w:pPr>
    <w:rPr>
      <w:rFonts w:eastAsia="黑体"/>
      <w:spacing w:val="20"/>
      <w:kern w:val="0"/>
      <w:sz w:val="44"/>
      <w:szCs w:val="44"/>
    </w:rPr>
  </w:style>
  <w:style w:type="paragraph" w:styleId="Char21">
    <w:name w:val="Char2"/>
    <w:basedOn w:val="Normal"/>
    <w:qFormat/>
    <w:pPr>
      <w:widowControl/>
      <w:spacing w:lineRule="exact" w:line="240" w:before="0" w:after="160"/>
      <w:ind w:left="420" w:hanging="0"/>
      <w:jc w:val="left"/>
    </w:pPr>
    <w:rPr>
      <w:rFonts w:ascii="Verdana" w:hAnsi="Verdana" w:cs="Verdana"/>
      <w:kern w:val="0"/>
      <w:sz w:val="24"/>
      <w:szCs w:val="20"/>
    </w:rPr>
  </w:style>
  <w:style w:type="paragraph" w:styleId="Style19">
    <w:name w:val="注释"/>
    <w:basedOn w:val="Normal"/>
    <w:qFormat/>
    <w:pPr>
      <w:spacing w:lineRule="exact" w:line="440"/>
      <w:ind w:left="360" w:hanging="360"/>
    </w:pPr>
    <w:rPr>
      <w:color w:val="FF0000"/>
      <w:sz w:val="18"/>
      <w:szCs w:val="20"/>
    </w:rPr>
  </w:style>
  <w:style w:type="paragraph" w:styleId="22">
    <w:name w:val="附录2层"/>
    <w:basedOn w:val="Normal"/>
    <w:next w:val="Style11"/>
    <w:qFormat/>
    <w:pPr>
      <w:widowControl/>
      <w:snapToGrid w:val="false"/>
      <w:spacing w:lineRule="atLeast" w:line="360"/>
      <w:textAlignment w:val="baseline"/>
    </w:pPr>
    <w:rPr>
      <w:rFonts w:ascii="黑体" w:hAnsi="黑体" w:eastAsia="黑体"/>
      <w:kern w:val="0"/>
      <w:sz w:val="24"/>
      <w:szCs w:val="20"/>
    </w:rPr>
  </w:style>
  <w:style w:type="paragraph" w:styleId="11">
    <w:name w:val="并列项1"/>
    <w:basedOn w:val="Normal"/>
    <w:qFormat/>
    <w:pPr>
      <w:numPr>
        <w:ilvl w:val="0"/>
        <w:numId w:val="4"/>
      </w:numPr>
      <w:tabs>
        <w:tab w:val="clear" w:pos="420"/>
        <w:tab w:val="left" w:pos="780" w:leader="none"/>
      </w:tabs>
      <w:ind w:left="737" w:hanging="317"/>
    </w:pPr>
    <w:rPr>
      <w:bCs/>
      <w:kern w:val="0"/>
      <w:szCs w:val="20"/>
    </w:rPr>
  </w:style>
  <w:style w:type="paragraph" w:styleId="Style20">
    <w:name w:val="表格与图中内容"/>
    <w:basedOn w:val="Normal"/>
    <w:qFormat/>
    <w:pPr>
      <w:widowControl/>
      <w:spacing w:before="20" w:after="20"/>
    </w:pPr>
    <w:rPr>
      <w:kern w:val="0"/>
      <w:szCs w:val="20"/>
    </w:rPr>
  </w:style>
  <w:style w:type="paragraph" w:styleId="2ChapterXXStatementh22Header2l2Level2Hea">
    <w:name w:val="样式 标题 2第一层条Chapter X.X. Statementh22Header 2l2Level 2 Hea..."/>
    <w:basedOn w:val="Heading2"/>
    <w:qFormat/>
    <w:pPr>
      <w:numPr>
        <w:ilvl w:val="0"/>
        <w:numId w:val="11"/>
      </w:numPr>
      <w:spacing w:lineRule="auto" w:line="240" w:before="93" w:after="93"/>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2010-07-08T13:48:00Z</dcterms:created>
  <dc:creator>技术研发部-张新亮-17710693680</dc:creator>
  <dc:description/>
  <dc:language>en-US</dc:language>
  <cp:lastModifiedBy>技术研发部-张新亮-17710693680</cp:lastModifiedBy>
  <cp:lastPrinted>2010-07-19T13:47:00Z</cp:lastPrinted>
  <dcterms:modified xsi:type="dcterms:W3CDTF">2024-03-15T08:23:01Z</dcterms:modified>
  <cp:revision>107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624976589D054CB9A01805DAD09DAB1B_12</vt:lpwstr>
  </property>
  <property fmtid="{D5CDD505-2E9C-101B-9397-08002B2CF9AE}" pid="3" name="KSOProductBuildVer">
    <vt:lpwstr>2052-12.1.0.16412</vt:lpwstr>
  </property>
  <property fmtid="{D5CDD505-2E9C-101B-9397-08002B2CF9AE}" pid="4" name="commondata">
    <vt:lpwstr>commondata</vt:lpwstr>
  </property>
</Properties>
</file>