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rFonts w:ascii="黑体" w:hAnsi="黑体" w:eastAsia="黑体"/>
          <w:sz w:val="44"/>
          <w:szCs w:val="44"/>
        </w:rPr>
      </w:pPr>
      <w:r>
        <w:rPr>
          <w:rFonts w:eastAsia="黑体" w:ascii="黑体" w:hAnsi="黑体"/>
          <w:sz w:val="44"/>
          <w:szCs w:val="44"/>
        </w:rPr>
      </w:r>
    </w:p>
    <w:tbl>
      <w:tblPr>
        <w:tblW w:w="8522" w:type="dxa"/>
        <w:jc w:val="left"/>
        <w:tblInd w:w="0" w:type="dxa"/>
        <w:tblLayout w:type="fixed"/>
        <w:tblCellMar>
          <w:top w:w="0" w:type="dxa"/>
          <w:left w:w="108" w:type="dxa"/>
          <w:bottom w:w="0" w:type="dxa"/>
          <w:right w:w="108" w:type="dxa"/>
        </w:tblCellMar>
      </w:tblPr>
      <w:tblGrid>
        <w:gridCol w:w="8522"/>
      </w:tblGrid>
      <w:tr>
        <w:trPr>
          <w:trHeight w:val="1707" w:hRule="atLeast"/>
        </w:trPr>
        <w:tc>
          <w:tcPr>
            <w:tcW w:w="8522"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数据库设计说明</w:t>
            </w:r>
          </w:p>
        </w:tc>
      </w:tr>
      <w:tr>
        <w:trPr>
          <w:trHeight w:val="6854" w:hRule="atLeast"/>
        </w:trPr>
        <w:tc>
          <w:tcPr>
            <w:tcW w:w="8522" w:type="dxa"/>
            <w:tcBorders>
              <w:left w:val="single" w:sz="4" w:space="0" w:color="000000"/>
              <w:bottom w:val="single" w:sz="4" w:space="0" w:color="000000"/>
              <w:right w:val="single" w:sz="4" w:space="0" w:color="000000"/>
            </w:tcBorders>
          </w:tcPr>
          <w:p>
            <w:pPr>
              <w:pStyle w:val="1"/>
              <w:spacing w:lineRule="auto" w:line="480"/>
              <w:ind w:left="-1" w:hanging="198"/>
              <w:jc w:val="center"/>
              <w:rPr>
                <w:rFonts w:eastAsia="宋体"/>
                <w:sz w:val="32"/>
                <w:szCs w:val="32"/>
                <w:lang w:val="en-US" w:eastAsia="zh-CN"/>
              </w:rPr>
            </w:pPr>
            <w:r>
              <w:rPr>
                <w:rFonts w:eastAsia="Times New Roman"/>
                <w:sz w:val="32"/>
                <w:szCs w:val="32"/>
              </w:rPr>
              <w:t xml:space="preserve">  </w:t>
            </w: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before="240" w:after="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4"/>
              <w:spacing w:before="240" w:after="0"/>
              <w:ind w:left="0" w:hanging="0"/>
              <w:jc w:val="center"/>
              <w:rPr>
                <w:szCs w:val="32"/>
              </w:rPr>
            </w:pPr>
            <w:r>
              <w:rPr>
                <w:szCs w:val="32"/>
              </w:rPr>
              <w:t>XXXXXXXXXX</w:t>
            </w:r>
          </w:p>
          <w:p>
            <w:pPr>
              <w:pStyle w:val="Style14"/>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tbl>
      <w:tblPr>
        <w:tblW w:w="8175" w:type="dxa"/>
        <w:jc w:val="left"/>
        <w:tblInd w:w="213" w:type="dxa"/>
        <w:tblLayout w:type="fixed"/>
        <w:tblCellMar>
          <w:top w:w="0" w:type="dxa"/>
          <w:left w:w="108" w:type="dxa"/>
          <w:bottom w:w="0" w:type="dxa"/>
          <w:right w:w="108" w:type="dxa"/>
        </w:tblCellMar>
      </w:tblPr>
      <w:tblGrid>
        <w:gridCol w:w="8175"/>
      </w:tblGrid>
      <w:tr>
        <w:trPr>
          <w:trHeight w:val="1454" w:hRule="atLeast"/>
        </w:trPr>
        <w:tc>
          <w:tcPr>
            <w:tcW w:w="8175" w:type="dxa"/>
            <w:tcBorders>
              <w:top w:val="single" w:sz="4" w:space="0" w:color="000000"/>
              <w:left w:val="single" w:sz="4" w:space="0" w:color="000000"/>
              <w:right w:val="single" w:sz="4" w:space="0" w:color="000000"/>
            </w:tcBorders>
          </w:tcPr>
          <w:p>
            <w:pPr>
              <w:pStyle w:val="Style12"/>
              <w:snapToGrid w:val="false"/>
              <w:ind w:hanging="0"/>
              <w:rPr>
                <w:sz w:val="21"/>
                <w:szCs w:val="21"/>
              </w:rPr>
            </w:pPr>
            <w:r>
              <w:rPr>
                <w:sz w:val="21"/>
                <w:szCs w:val="21"/>
              </w:rPr>
            </w:r>
          </w:p>
        </w:tc>
      </w:tr>
      <w:tr>
        <w:trPr>
          <w:trHeight w:val="1502" w:hRule="atLeast"/>
        </w:trPr>
        <w:tc>
          <w:tcPr>
            <w:tcW w:w="8175"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数据库设计说明</w:t>
            </w:r>
          </w:p>
        </w:tc>
      </w:tr>
      <w:tr>
        <w:trPr>
          <w:trHeight w:val="6240" w:hRule="atLeast"/>
        </w:trPr>
        <w:tc>
          <w:tcPr>
            <w:tcW w:w="8175" w:type="dxa"/>
            <w:tcBorders>
              <w:left w:val="single" w:sz="4" w:space="0" w:color="000000"/>
              <w:bottom w:val="single" w:sz="4" w:space="0" w:color="000000"/>
              <w:right w:val="single" w:sz="4" w:space="0" w:color="000000"/>
            </w:tcBorders>
          </w:tcPr>
          <w:p>
            <w:pPr>
              <w:pStyle w:val="Style14"/>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39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1"/>
        <w:rPr/>
      </w:pPr>
      <w:r>
        <w:rPr/>
      </w:r>
    </w:p>
    <w:p>
      <w:pPr>
        <w:pStyle w:val="1"/>
        <w:rPr/>
      </w:pPr>
      <w:r>
        <w:rPr>
          <w:rFonts w:eastAsia="Times New Roman"/>
        </w:rPr>
        <w:t xml:space="preserve"> </w:t>
      </w:r>
    </w:p>
    <w:p>
      <w:pPr>
        <w:pStyle w:val="Normal"/>
        <w:spacing w:lineRule="auto" w:line="240" w:before="0" w:after="0"/>
        <w:ind w:left="0" w:right="0" w:hanging="0"/>
        <w:jc w:val="center"/>
        <w:rPr>
          <w:rFonts w:ascii="宋体" w:hAnsi="宋体" w:eastAsia="宋体" w:cs="宋体"/>
          <w:sz w:val="21"/>
        </w:rPr>
      </w:pPr>
      <w:r>
        <w:rPr>
          <w:rFonts w:ascii="宋体" w:hAnsi="宋体" w:cs="宋体"/>
          <w:sz w:val="21"/>
        </w:rPr>
        <w:t>目录</w:t>
      </w:r>
    </w:p>
    <w:sdt>
      <w:sdtPr>
        <w:docPartObj>
          <w:docPartGallery w:val="Table of Contents"/>
          <w:docPartUnique w:val="true"/>
        </w:docPartObj>
      </w:sdtPr>
      <w:sdtContent>
        <w:p>
          <w:pPr>
            <w:pStyle w:val="Contents1"/>
            <w:tabs>
              <w:tab w:val="clear" w:pos="420"/>
              <w:tab w:val="right" w:pos="8306" w:leader="dot"/>
            </w:tabs>
            <w:rPr/>
          </w:pPr>
          <w:r>
            <w:fldChar w:fldCharType="begin"/>
          </w:r>
          <w:r>
            <w:rPr>
              <w:rStyle w:val="IndexLink"/>
              <w:i w:val="false"/>
              <w:szCs w:val="24"/>
              <w:rFonts w:eastAsia="黑体" w:ascii="黑体" w:hAnsi="黑体"/>
            </w:rPr>
            <w:instrText xml:space="preserve">TOC \o "1-1" \h \u </w:instrText>
          </w:r>
          <w:r>
            <w:rPr>
              <w:rStyle w:val="IndexLink"/>
              <w:i w:val="false"/>
              <w:szCs w:val="24"/>
              <w:rFonts w:eastAsia="黑体" w:ascii="黑体" w:hAnsi="黑体"/>
            </w:rPr>
            <w:fldChar w:fldCharType="separate"/>
          </w:r>
          <w:hyperlink w:anchor="__RefHeading___Toc20648">
            <w:r>
              <w:rPr>
                <w:rStyle w:val="IndexLink"/>
                <w:rFonts w:eastAsia="黑体" w:ascii="黑体" w:hAnsi="黑体"/>
                <w:i w:val="false"/>
                <w:szCs w:val="24"/>
              </w:rPr>
              <w:t xml:space="preserve">1 </w:t>
            </w:r>
            <w:r>
              <w:rPr>
                <w:rStyle w:val="IndexLink"/>
                <w:rFonts w:ascii="黑体" w:hAnsi="黑体" w:eastAsia="黑体"/>
                <w:szCs w:val="24"/>
              </w:rPr>
              <w:t>范围</w:t>
            </w:r>
            <w:r>
              <w:rPr>
                <w:rStyle w:val="IndexLink"/>
              </w:rPr>
              <w:tab/>
              <w:t>1</w:t>
            </w:r>
          </w:hyperlink>
        </w:p>
        <w:p>
          <w:pPr>
            <w:pStyle w:val="Contents1"/>
            <w:tabs>
              <w:tab w:val="clear" w:pos="420"/>
              <w:tab w:val="right" w:pos="8306" w:leader="dot"/>
            </w:tabs>
            <w:rPr/>
          </w:pPr>
          <w:hyperlink w:anchor="__RefHeading___Toc14107">
            <w:r>
              <w:rPr>
                <w:rStyle w:val="IndexLink"/>
                <w:rFonts w:eastAsia="黑体" w:ascii="黑体" w:hAnsi="黑体"/>
                <w:i w:val="false"/>
                <w:szCs w:val="24"/>
              </w:rPr>
              <w:t xml:space="preserve">2 </w:t>
            </w:r>
            <w:r>
              <w:rPr>
                <w:rStyle w:val="IndexLink"/>
              </w:rPr>
              <w:t>引用</w:t>
            </w:r>
            <w:r>
              <w:rPr>
                <w:rStyle w:val="IndexLink"/>
                <w:rFonts w:ascii="黑体" w:hAnsi="黑体" w:eastAsia="黑体"/>
                <w:szCs w:val="24"/>
              </w:rPr>
              <w:t>文档</w:t>
            </w:r>
            <w:r>
              <w:rPr>
                <w:rStyle w:val="IndexLink"/>
              </w:rPr>
              <w:tab/>
              <w:t>1</w:t>
            </w:r>
          </w:hyperlink>
        </w:p>
        <w:p>
          <w:pPr>
            <w:pStyle w:val="Contents1"/>
            <w:tabs>
              <w:tab w:val="clear" w:pos="420"/>
              <w:tab w:val="right" w:pos="8306" w:leader="dot"/>
            </w:tabs>
            <w:rPr/>
          </w:pPr>
          <w:hyperlink w:anchor="__RefHeading___Toc10593">
            <w:r>
              <w:rPr>
                <w:rStyle w:val="IndexLink"/>
                <w:rFonts w:eastAsia="黑体" w:ascii="黑体" w:hAnsi="黑体"/>
                <w:i w:val="false"/>
                <w:szCs w:val="24"/>
              </w:rPr>
              <w:t xml:space="preserve">3 </w:t>
            </w:r>
            <w:r>
              <w:rPr>
                <w:rStyle w:val="IndexLink"/>
              </w:rPr>
              <w:t>数据库级设计决策</w:t>
            </w:r>
            <w:r>
              <w:rPr>
                <w:rStyle w:val="IndexLink"/>
              </w:rPr>
              <w:tab/>
              <w:t>1</w:t>
            </w:r>
          </w:hyperlink>
        </w:p>
        <w:p>
          <w:pPr>
            <w:pStyle w:val="Contents1"/>
            <w:tabs>
              <w:tab w:val="clear" w:pos="420"/>
              <w:tab w:val="right" w:pos="8306" w:leader="dot"/>
            </w:tabs>
            <w:rPr/>
          </w:pPr>
          <w:hyperlink w:anchor="__RefHeading___Toc8286">
            <w:r>
              <w:rPr>
                <w:rStyle w:val="IndexLink"/>
                <w:rFonts w:eastAsia="黑体" w:ascii="黑体" w:hAnsi="黑体"/>
                <w:i w:val="false"/>
                <w:szCs w:val="24"/>
              </w:rPr>
              <w:t xml:space="preserve">4 </w:t>
            </w:r>
            <w:r>
              <w:rPr>
                <w:rStyle w:val="IndexLink"/>
              </w:rPr>
              <w:t>数据库详细设计</w:t>
            </w:r>
            <w:r>
              <w:rPr>
                <w:rStyle w:val="IndexLink"/>
              </w:rPr>
              <w:tab/>
              <w:t>2</w:t>
            </w:r>
          </w:hyperlink>
        </w:p>
        <w:p>
          <w:pPr>
            <w:pStyle w:val="Contents1"/>
            <w:tabs>
              <w:tab w:val="clear" w:pos="420"/>
              <w:tab w:val="right" w:pos="8306" w:leader="dot"/>
            </w:tabs>
            <w:rPr/>
          </w:pPr>
          <w:hyperlink w:anchor="__RefHeading___Toc21990">
            <w:r>
              <w:rPr>
                <w:rStyle w:val="IndexLink"/>
                <w:rFonts w:eastAsia="宋体" w:cs="Times New Roman"/>
                <w:bCs/>
              </w:rPr>
              <w:t>4. X</w:t>
            </w:r>
            <w:r>
              <w:rPr>
                <w:rStyle w:val="IndexLink"/>
                <w:rFonts w:ascii="Times New Roman" w:hAnsi="Times New Roman" w:cs="Times New Roman"/>
                <w:bCs/>
              </w:rPr>
              <w:t>（数据库设计级别的名称）</w:t>
            </w:r>
            <w:r>
              <w:rPr>
                <w:rStyle w:val="IndexLink"/>
              </w:rPr>
              <w:tab/>
              <w:t>2</w:t>
            </w:r>
          </w:hyperlink>
        </w:p>
        <w:p>
          <w:pPr>
            <w:pStyle w:val="Contents1"/>
            <w:tabs>
              <w:tab w:val="clear" w:pos="420"/>
              <w:tab w:val="right" w:pos="8306" w:leader="dot"/>
            </w:tabs>
            <w:rPr/>
          </w:pPr>
          <w:hyperlink w:anchor="__RefHeading___Toc6657">
            <w:r>
              <w:rPr>
                <w:rStyle w:val="IndexLink"/>
                <w:rFonts w:eastAsia="黑体" w:ascii="黑体" w:hAnsi="黑体"/>
                <w:i w:val="false"/>
                <w:szCs w:val="24"/>
              </w:rPr>
              <w:t xml:space="preserve">5 </w:t>
            </w:r>
            <w:r>
              <w:rPr>
                <w:rStyle w:val="IndexLink"/>
              </w:rPr>
              <w:t>用于数据库访问或操纵的软件单元详细设计</w:t>
            </w:r>
            <w:r>
              <w:rPr>
                <w:rStyle w:val="IndexLink"/>
              </w:rPr>
              <w:tab/>
              <w:t>4</w:t>
            </w:r>
          </w:hyperlink>
        </w:p>
        <w:p>
          <w:pPr>
            <w:pStyle w:val="Contents1"/>
            <w:tabs>
              <w:tab w:val="clear" w:pos="420"/>
              <w:tab w:val="right" w:pos="8306" w:leader="dot"/>
            </w:tabs>
            <w:rPr/>
          </w:pPr>
          <w:hyperlink w:anchor="__RefHeading___Toc17163">
            <w:r>
              <w:rPr>
                <w:rStyle w:val="IndexLink"/>
                <w:rFonts w:eastAsia="宋体" w:cs="Times New Roman"/>
                <w:bCs/>
              </w:rPr>
              <w:t>5. X</w:t>
            </w:r>
            <w:r>
              <w:rPr>
                <w:rStyle w:val="IndexLink"/>
                <w:rFonts w:ascii="Times New Roman" w:hAnsi="Times New Roman" w:cs="Times New Roman"/>
                <w:bCs/>
              </w:rPr>
              <w:t>（软件单元的唯一标识符，或者一组软件单元的标志符）</w:t>
            </w:r>
            <w:r>
              <w:rPr>
                <w:rStyle w:val="IndexLink"/>
              </w:rPr>
              <w:tab/>
              <w:t>4</w:t>
            </w:r>
          </w:hyperlink>
        </w:p>
        <w:p>
          <w:pPr>
            <w:pStyle w:val="Contents1"/>
            <w:tabs>
              <w:tab w:val="clear" w:pos="420"/>
              <w:tab w:val="right" w:pos="8306" w:leader="dot"/>
            </w:tabs>
            <w:rPr/>
          </w:pPr>
          <w:hyperlink w:anchor="__RefHeading___Toc15758">
            <w:r>
              <w:rPr>
                <w:rStyle w:val="IndexLink"/>
                <w:rFonts w:eastAsia="黑体" w:ascii="黑体" w:hAnsi="黑体"/>
                <w:i w:val="false"/>
                <w:szCs w:val="24"/>
              </w:rPr>
              <w:t xml:space="preserve">6 </w:t>
            </w:r>
            <w:r>
              <w:rPr>
                <w:rStyle w:val="IndexLink"/>
                <w:rFonts w:ascii="黑体" w:hAnsi="黑体" w:eastAsia="黑体"/>
                <w:szCs w:val="24"/>
              </w:rPr>
              <w:t>需求可追踪性</w:t>
            </w:r>
            <w:r>
              <w:rPr>
                <w:rStyle w:val="IndexLink"/>
              </w:rPr>
              <w:tab/>
              <w:t>6</w:t>
            </w:r>
          </w:hyperlink>
        </w:p>
        <w:p>
          <w:pPr>
            <w:pStyle w:val="Contents1"/>
            <w:tabs>
              <w:tab w:val="clear" w:pos="420"/>
              <w:tab w:val="right" w:pos="8306" w:leader="dot"/>
            </w:tabs>
            <w:rPr/>
          </w:pPr>
          <w:hyperlink w:anchor="__RefHeading___Toc11277">
            <w:r>
              <w:rPr>
                <w:rStyle w:val="IndexLink"/>
                <w:rFonts w:eastAsia="黑体" w:ascii="黑体" w:hAnsi="黑体"/>
                <w:i w:val="false"/>
                <w:szCs w:val="24"/>
              </w:rPr>
              <w:t xml:space="preserve">7 </w:t>
            </w:r>
            <w:r>
              <w:rPr>
                <w:rStyle w:val="IndexLink"/>
                <w:rFonts w:ascii="黑体" w:hAnsi="黑体" w:eastAsia="黑体"/>
                <w:szCs w:val="24"/>
              </w:rPr>
              <w:t>注释</w:t>
            </w:r>
            <w:r>
              <w:rPr>
                <w:rStyle w:val="IndexLink"/>
              </w:rPr>
              <w:tab/>
              <w:t>6</w:t>
            </w:r>
          </w:hyperlink>
          <w:r>
            <w:rPr>
              <w:rStyle w:val="IndexLink"/>
            </w:rPr>
            <w:fldChar w:fldCharType="end"/>
          </w:r>
        </w:p>
      </w:sdtContent>
    </w:sdt>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Normal"/>
        <w:rPr/>
      </w:pPr>
      <w:r>
        <w:rPr/>
      </w:r>
    </w:p>
    <w:p>
      <w:pPr>
        <w:pStyle w:val="Heading1"/>
        <w:spacing w:lineRule="auto" w:line="240" w:before="156" w:after="156"/>
        <w:rPr>
          <w:rFonts w:ascii="黑体" w:hAnsi="黑体" w:eastAsia="黑体"/>
          <w:sz w:val="24"/>
          <w:szCs w:val="24"/>
        </w:rPr>
      </w:pPr>
      <w:bookmarkStart w:id="0" w:name="__RefHeading___Toc20648"/>
      <w:bookmarkEnd w:id="0"/>
      <w:r>
        <w:rPr>
          <w:rFonts w:ascii="黑体" w:hAnsi="黑体" w:eastAsia="黑体"/>
          <w:sz w:val="24"/>
          <w:szCs w:val="24"/>
        </w:rPr>
        <w:t>范围</w:t>
      </w:r>
    </w:p>
    <w:p>
      <w:pPr>
        <w:pStyle w:val="Heading2"/>
        <w:spacing w:lineRule="auto" w:line="240" w:before="93" w:after="93"/>
        <w:rPr>
          <w:sz w:val="24"/>
        </w:rPr>
      </w:pPr>
      <w:r>
        <w:rPr>
          <w:sz w:val="24"/>
        </w:rPr>
        <w:t>标识</w:t>
      </w:r>
    </w:p>
    <w:p>
      <w:pPr>
        <w:pStyle w:val="Normal"/>
        <w:spacing w:lineRule="auto" w:line="360"/>
        <w:ind w:firstLine="360"/>
        <w:rPr>
          <w:sz w:val="24"/>
        </w:rPr>
      </w:pPr>
      <w:r>
        <w:rPr>
          <w:sz w:val="24"/>
        </w:rPr>
        <w:t>本条应描述本文档所适用的系统和软件的完整标识，适用时，包括其标识号、名称、缩略名、版本号和发布号。</w:t>
      </w:r>
    </w:p>
    <w:p>
      <w:pPr>
        <w:pStyle w:val="Style10"/>
        <w:numPr>
          <w:ilvl w:val="0"/>
          <w:numId w:val="11"/>
        </w:numPr>
        <w:tabs>
          <w:tab w:val="clear" w:pos="420"/>
          <w:tab w:val="left" w:pos="360" w:leader="none"/>
        </w:tabs>
        <w:ind w:left="345" w:firstLine="555"/>
        <w:rPr>
          <w:rFonts w:ascii="Times New Roman" w:hAnsi="Times New Roman"/>
        </w:rPr>
      </w:pPr>
      <w:bookmarkStart w:id="1" w:name="OLE_LINK4"/>
      <w:bookmarkEnd w:id="1"/>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0"/>
        <w:numPr>
          <w:ilvl w:val="0"/>
          <w:numId w:val="11"/>
        </w:numPr>
        <w:tabs>
          <w:tab w:val="clear" w:pos="420"/>
          <w:tab w:val="left" w:pos="360" w:leader="none"/>
        </w:tabs>
        <w:ind w:left="345" w:firstLine="555"/>
        <w:rPr>
          <w:rFonts w:ascii="Times New Roman" w:hAnsi="Times New Roman"/>
        </w:rPr>
      </w:pPr>
      <w:r>
        <w:rPr>
          <w:rFonts w:ascii="Times New Roman" w:hAnsi="Times New Roman"/>
        </w:rPr>
        <w:t>标题：；</w:t>
      </w:r>
    </w:p>
    <w:p>
      <w:pPr>
        <w:pStyle w:val="Style10"/>
        <w:numPr>
          <w:ilvl w:val="0"/>
          <w:numId w:val="11"/>
        </w:numPr>
        <w:tabs>
          <w:tab w:val="clear" w:pos="420"/>
          <w:tab w:val="left" w:pos="360" w:leader="none"/>
        </w:tabs>
        <w:ind w:left="345" w:firstLine="555"/>
        <w:rPr>
          <w:rFonts w:ascii="Times New Roman" w:hAnsi="Times New Roman"/>
        </w:rPr>
      </w:pPr>
      <w:r>
        <w:rPr>
          <w:rFonts w:ascii="Times New Roman" w:hAnsi="Times New Roman"/>
        </w:rPr>
        <w:t>软件名称；</w:t>
      </w:r>
    </w:p>
    <w:p>
      <w:pPr>
        <w:pStyle w:val="Style10"/>
        <w:numPr>
          <w:ilvl w:val="0"/>
          <w:numId w:val="11"/>
        </w:numPr>
        <w:tabs>
          <w:tab w:val="clear" w:pos="420"/>
          <w:tab w:val="left" w:pos="360" w:leader="none"/>
        </w:tabs>
        <w:ind w:left="345" w:firstLine="555"/>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10"/>
        <w:numPr>
          <w:ilvl w:val="0"/>
          <w:numId w:val="11"/>
        </w:numPr>
        <w:tabs>
          <w:tab w:val="clear" w:pos="420"/>
          <w:tab w:val="left" w:pos="360" w:leader="none"/>
        </w:tabs>
        <w:ind w:left="345" w:firstLine="555"/>
        <w:rPr>
          <w:rFonts w:ascii="Times New Roman" w:hAnsi="Times New Roman"/>
        </w:rPr>
      </w:pPr>
      <w:r>
        <w:rPr>
          <w:rFonts w:ascii="Times New Roman" w:hAnsi="Times New Roman"/>
        </w:rPr>
        <w:t>软件版本号</w:t>
      </w:r>
      <w:r>
        <w:rPr>
          <w:rFonts w:ascii="Times New Roman" w:hAnsi="Times New Roman"/>
        </w:rPr>
        <w:t>。</w:t>
      </w:r>
    </w:p>
    <w:p>
      <w:pPr>
        <w:pStyle w:val="Heading2"/>
        <w:spacing w:lineRule="auto" w:line="240" w:before="93" w:after="93"/>
        <w:rPr>
          <w:sz w:val="24"/>
        </w:rPr>
      </w:pPr>
      <w:bookmarkStart w:id="2" w:name="OLE_LINK4"/>
      <w:bookmarkEnd w:id="2"/>
      <w:r>
        <w:rPr>
          <w:sz w:val="24"/>
        </w:rPr>
        <w:t>系统概述</w:t>
      </w:r>
    </w:p>
    <w:p>
      <w:pPr>
        <w:pStyle w:val="Normal"/>
        <w:spacing w:lineRule="auto" w:line="360"/>
        <w:ind w:firstLine="360"/>
        <w:rPr>
          <w:sz w:val="24"/>
        </w:rPr>
      </w:pPr>
      <w:r>
        <w:rPr>
          <w:sz w:val="24"/>
        </w:rPr>
        <w:t>本条应简要描述本文档所适用数据库的用途。它还应描述数据库的一般特性；</w:t>
      </w:r>
      <w:r>
        <w:rPr>
          <w:rFonts w:eastAsia="Times New Roman"/>
          <w:sz w:val="24"/>
        </w:rPr>
        <w:t xml:space="preserve">    </w:t>
      </w:r>
      <w:r>
        <w:rPr>
          <w:sz w:val="24"/>
        </w:rPr>
        <w:t>概述其开发、使用和维护的历史；标识项目的投资方、需方、用户、开发方和保障机构等；标识当前和计划的运行现场；列出其他有关文档。</w:t>
      </w:r>
    </w:p>
    <w:p>
      <w:pPr>
        <w:pStyle w:val="Heading2"/>
        <w:spacing w:lineRule="auto" w:line="240" w:before="93" w:after="93"/>
        <w:rPr>
          <w:sz w:val="24"/>
        </w:rPr>
      </w:pPr>
      <w:r>
        <w:rPr>
          <w:sz w:val="24"/>
        </w:rPr>
        <w:t>文档概述</w:t>
      </w:r>
    </w:p>
    <w:p>
      <w:pPr>
        <w:pStyle w:val="Normal"/>
        <w:spacing w:lineRule="auto" w:line="360"/>
        <w:ind w:firstLine="360"/>
        <w:rPr>
          <w:sz w:val="24"/>
        </w:rPr>
      </w:pPr>
      <w:r>
        <w:rPr>
          <w:sz w:val="24"/>
        </w:rPr>
        <w:t>本条应概括本文档的用途和内容，并描述与其使用有关的保密性考虑。</w:t>
      </w:r>
    </w:p>
    <w:p>
      <w:pPr>
        <w:pStyle w:val="Heading1"/>
        <w:spacing w:lineRule="auto" w:line="240" w:before="156" w:after="156"/>
        <w:rPr>
          <w:sz w:val="24"/>
        </w:rPr>
      </w:pPr>
      <w:bookmarkStart w:id="3" w:name="__RefHeading___Toc14107"/>
      <w:bookmarkEnd w:id="3"/>
      <w:r>
        <w:rPr>
          <w:sz w:val="24"/>
        </w:rPr>
        <w:t>引用</w:t>
      </w:r>
      <w:r>
        <w:rPr>
          <w:rFonts w:ascii="黑体" w:hAnsi="黑体" w:eastAsia="黑体"/>
          <w:sz w:val="24"/>
          <w:szCs w:val="24"/>
        </w:rPr>
        <w:t>文档</w:t>
      </w:r>
    </w:p>
    <w:p>
      <w:pPr>
        <w:pStyle w:val="Normal"/>
        <w:spacing w:lineRule="auto" w:line="360"/>
        <w:ind w:firstLine="360"/>
        <w:rPr>
          <w:sz w:val="24"/>
        </w:rPr>
      </w:pPr>
      <w:r>
        <w:rPr>
          <w:sz w:val="24"/>
        </w:rPr>
        <w:t>本章应列出引用文档的编号、标题、编写单位、修订版及日期，还应标识不能通过正常采购活动得到的文档的来源。</w:t>
      </w:r>
    </w:p>
    <w:p>
      <w:pPr>
        <w:pStyle w:val="Heading1"/>
        <w:spacing w:lineRule="auto" w:line="240" w:before="156" w:after="156"/>
        <w:rPr>
          <w:sz w:val="24"/>
        </w:rPr>
      </w:pPr>
      <w:bookmarkStart w:id="4" w:name="__RefHeading___Toc10593"/>
      <w:bookmarkEnd w:id="4"/>
      <w:r>
        <w:rPr>
          <w:sz w:val="24"/>
        </w:rPr>
        <w:t>数据库级设计决策</w:t>
      </w:r>
    </w:p>
    <w:p>
      <w:pPr>
        <w:pStyle w:val="Normal"/>
        <w:spacing w:lineRule="auto" w:line="360"/>
        <w:ind w:firstLine="360"/>
        <w:rPr>
          <w:sz w:val="24"/>
        </w:rPr>
      </w:pPr>
      <w:r>
        <w:rPr>
          <w:sz w:val="24"/>
        </w:rPr>
        <w:t>本章应根据需要分条给出数据库级设计决策，即数据库的行为设计决策（忽略其内部实现，从用户角度出发描述数据库将怎样运转以满足需求）以及其他影响数据库进一步设计的决策，并给出决策理由。如果决策在系统需求或软件需求中均是明确的，</w:t>
      </w:r>
      <w:r>
        <w:rPr>
          <w:rFonts w:eastAsia="Times New Roman"/>
          <w:sz w:val="24"/>
        </w:rPr>
        <w:t xml:space="preserve"> </w:t>
      </w:r>
      <w:r>
        <w:rPr>
          <w:sz w:val="24"/>
        </w:rPr>
        <w:t>本章应如实陈述。针对关键性需求（例如对安全性或保密性需求）的设计决策，应在专门的章条中加以叙述。如果设计决策依赖于系统状态或方式，应指明这种依赖关系。如果部分或全部设计决策在用户的或商用的数据库管理系统</w:t>
      </w:r>
      <w:r>
        <w:rPr>
          <w:sz w:val="24"/>
        </w:rPr>
        <w:t>D</w:t>
      </w:r>
      <w:r>
        <w:rPr>
          <w:sz w:val="24"/>
        </w:rPr>
        <w:t>（</w:t>
      </w:r>
      <w:r>
        <w:rPr>
          <w:sz w:val="24"/>
        </w:rPr>
        <w:t>BMS</w:t>
      </w:r>
      <w:r>
        <w:rPr>
          <w:sz w:val="24"/>
        </w:rPr>
        <w:t>）中进行了描述，本章可以直接引用。本章应给出或引用需要了解的设计约定。数据库级设计决策的例子如下：</w:t>
      </w:r>
    </w:p>
    <w:p>
      <w:pPr>
        <w:pStyle w:val="Normal"/>
        <w:numPr>
          <w:ilvl w:val="0"/>
          <w:numId w:val="2"/>
        </w:numPr>
        <w:spacing w:lineRule="auto" w:line="360"/>
        <w:ind w:left="0" w:firstLine="360"/>
        <w:rPr>
          <w:sz w:val="24"/>
        </w:rPr>
      </w:pPr>
      <w:r>
        <w:rPr>
          <w:sz w:val="24"/>
        </w:rPr>
        <w:t>关于数据库将接收的查询或其他输入以及它将产生的输（出显示、报表、消息、响应等）的设计决策，包括与其他系统、硬件、软件及用户的接口（本文档的</w:t>
      </w:r>
      <w:r>
        <w:rPr>
          <w:sz w:val="24"/>
        </w:rPr>
        <w:t xml:space="preserve">5.X.d </w:t>
      </w:r>
      <w:r>
        <w:rPr>
          <w:sz w:val="24"/>
        </w:rPr>
        <w:t>条指出这项说明应考虑的主题。）如果这一信息的全部或部分在接口设计说明</w:t>
      </w:r>
      <w:r>
        <w:rPr>
          <w:sz w:val="24"/>
        </w:rPr>
        <w:t>(IDD)</w:t>
      </w:r>
      <w:r>
        <w:rPr>
          <w:sz w:val="24"/>
        </w:rPr>
        <w:t>中给出，那么可以直接引用。</w:t>
      </w:r>
    </w:p>
    <w:p>
      <w:pPr>
        <w:pStyle w:val="Normal"/>
        <w:numPr>
          <w:ilvl w:val="0"/>
          <w:numId w:val="2"/>
        </w:numPr>
        <w:spacing w:lineRule="auto" w:line="360"/>
        <w:ind w:left="0" w:firstLine="360"/>
        <w:rPr>
          <w:sz w:val="24"/>
        </w:rPr>
      </w:pPr>
      <w:r>
        <w:rPr>
          <w:sz w:val="24"/>
        </w:rPr>
        <w:t>有关响应每个输入或查询时数据库行为的设计决策包，括数据库将执行什么动作，响应时和其他性能特性，所选择的方程式／算法／规则，处理和对不允许的输入的处理。</w:t>
      </w:r>
    </w:p>
    <w:p>
      <w:pPr>
        <w:pStyle w:val="Normal"/>
        <w:numPr>
          <w:ilvl w:val="0"/>
          <w:numId w:val="2"/>
        </w:numPr>
        <w:spacing w:lineRule="auto" w:line="360"/>
        <w:ind w:left="0" w:firstLine="360"/>
        <w:rPr>
          <w:sz w:val="24"/>
        </w:rPr>
      </w:pPr>
      <w:r>
        <w:rPr>
          <w:sz w:val="24"/>
        </w:rPr>
        <w:t>有关数据库／数据文件如何呈现给用户的设计决策（本文档的</w:t>
      </w:r>
      <w:r>
        <w:rPr>
          <w:sz w:val="24"/>
        </w:rPr>
        <w:t xml:space="preserve">4.X </w:t>
      </w:r>
      <w:r>
        <w:rPr>
          <w:sz w:val="24"/>
        </w:rPr>
        <w:t>条标识了这项说明应考虑的主题）。</w:t>
      </w:r>
    </w:p>
    <w:p>
      <w:pPr>
        <w:pStyle w:val="Normal"/>
        <w:numPr>
          <w:ilvl w:val="0"/>
          <w:numId w:val="2"/>
        </w:numPr>
        <w:spacing w:lineRule="auto" w:line="360"/>
        <w:ind w:left="0" w:firstLine="360"/>
        <w:rPr>
          <w:sz w:val="24"/>
        </w:rPr>
      </w:pPr>
      <w:r>
        <w:rPr>
          <w:sz w:val="24"/>
        </w:rPr>
        <w:t>有关所使用的数据库管理系统（包括名称、版本／发布版）以及为适应需求的变更而引入到数据库内部的灵活性类型的设计决策。</w:t>
      </w:r>
    </w:p>
    <w:p>
      <w:pPr>
        <w:pStyle w:val="Normal"/>
        <w:numPr>
          <w:ilvl w:val="0"/>
          <w:numId w:val="2"/>
        </w:numPr>
        <w:spacing w:lineRule="auto" w:line="360"/>
        <w:ind w:left="0" w:firstLine="360"/>
        <w:rPr>
          <w:sz w:val="24"/>
        </w:rPr>
      </w:pPr>
      <w:r>
        <w:rPr>
          <w:sz w:val="24"/>
        </w:rPr>
        <w:t>有关数据库应提供的可用性、安全性、保密性和操作连续性的等级和类型的设计决策。</w:t>
      </w:r>
    </w:p>
    <w:p>
      <w:pPr>
        <w:pStyle w:val="Normal"/>
        <w:numPr>
          <w:ilvl w:val="0"/>
          <w:numId w:val="2"/>
        </w:numPr>
        <w:spacing w:lineRule="auto" w:line="360"/>
        <w:ind w:left="0" w:firstLine="360"/>
        <w:rPr>
          <w:sz w:val="24"/>
        </w:rPr>
      </w:pPr>
      <w:r>
        <w:rPr>
          <w:sz w:val="24"/>
        </w:rPr>
        <w:t>有关数据库的分布（例如客户</w:t>
      </w:r>
      <w:r>
        <w:rPr>
          <w:sz w:val="24"/>
        </w:rPr>
        <w:t>/</w:t>
      </w:r>
      <w:r>
        <w:rPr>
          <w:sz w:val="24"/>
        </w:rPr>
        <w:t>服务器）、主数据库文件的更新和维护的设计决策，包括维护一致性、建立／重建同步和维持同步、强制完整性和业务规则。</w:t>
      </w:r>
    </w:p>
    <w:p>
      <w:pPr>
        <w:pStyle w:val="Normal"/>
        <w:numPr>
          <w:ilvl w:val="0"/>
          <w:numId w:val="2"/>
        </w:numPr>
        <w:spacing w:lineRule="auto" w:line="360"/>
        <w:ind w:left="0" w:firstLine="360"/>
        <w:rPr>
          <w:sz w:val="24"/>
        </w:rPr>
      </w:pPr>
      <w:r>
        <w:rPr>
          <w:sz w:val="24"/>
        </w:rPr>
        <w:t>有关备份与恢复的设计决策，包括数据和处理的分布策略，备份和恢复过程中允许的动作，以及对新技术或非标准技术（如视频和声音等）的特殊考虑。</w:t>
      </w:r>
    </w:p>
    <w:p>
      <w:pPr>
        <w:pStyle w:val="Normal"/>
        <w:numPr>
          <w:ilvl w:val="0"/>
          <w:numId w:val="2"/>
        </w:numPr>
        <w:spacing w:lineRule="auto" w:line="360"/>
        <w:ind w:left="0" w:firstLine="360"/>
        <w:rPr>
          <w:sz w:val="24"/>
        </w:rPr>
      </w:pPr>
      <w:r>
        <w:rPr>
          <w:sz w:val="24"/>
        </w:rPr>
        <w:t>关于重新打包、排序、索引、同步以及一致性的设计决策，包括自动磁盘管理和自动空间回收、优化策略、存储与空间大小以及数据库的规模与继承数据捕获等方面的考虑。</w:t>
      </w:r>
    </w:p>
    <w:p>
      <w:pPr>
        <w:pStyle w:val="Heading1"/>
        <w:spacing w:lineRule="auto" w:line="240" w:before="156" w:after="156"/>
        <w:rPr>
          <w:sz w:val="24"/>
        </w:rPr>
      </w:pPr>
      <w:bookmarkStart w:id="5" w:name="__RefHeading___Toc8286"/>
      <w:bookmarkEnd w:id="5"/>
      <w:r>
        <w:rPr>
          <w:sz w:val="24"/>
        </w:rPr>
        <w:t>数据库详细设计</w:t>
      </w:r>
    </w:p>
    <w:p>
      <w:pPr>
        <w:pStyle w:val="Normal"/>
        <w:spacing w:lineRule="auto" w:line="360"/>
        <w:ind w:firstLine="360"/>
        <w:rPr>
          <w:sz w:val="24"/>
        </w:rPr>
      </w:pPr>
      <w:r>
        <w:rPr>
          <w:sz w:val="24"/>
        </w:rPr>
        <w:t>本章应根据需要分条描述数据库的详细设计。设计级别数以及这些级别的名称应根据所使用的方法确定。例如数据的设计级别包括概念设计、内部设计、逻辑设计、物理设计。如设计的全部或部分依赖于系统的状态或方式，应指明这种依赖性关系。本章应给出或引用需要了解的设计约定。</w:t>
      </w:r>
    </w:p>
    <w:p>
      <w:pPr>
        <w:pStyle w:val="Normal"/>
        <w:spacing w:lineRule="auto" w:line="360"/>
        <w:ind w:firstLine="360"/>
        <w:rPr>
          <w:sz w:val="24"/>
        </w:rPr>
      </w:pPr>
      <w:r>
        <w:rPr>
          <w:sz w:val="24"/>
        </w:rPr>
        <w:t>注：本文档用“数据元素集合”一词来代表在一指定的设计级别（例如概念设计、内部设计、逻辑设计、物理设计）上具有特定结构（数据元素的编号／次序／分组）的任何实体、关系、模式、字段、表、数组等，用“数据元素”一词来代表在该级别上不具有结构的任何关系、属性、字段、单元</w:t>
      </w:r>
      <w:r>
        <w:rPr>
          <w:sz w:val="24"/>
        </w:rPr>
        <w:t>(cell)</w:t>
      </w:r>
      <w:r>
        <w:rPr>
          <w:sz w:val="24"/>
        </w:rPr>
        <w:t>、数据元素等。</w:t>
      </w:r>
    </w:p>
    <w:p>
      <w:pPr>
        <w:pStyle w:val="Heading1"/>
        <w:numPr>
          <w:ilvl w:val="0"/>
          <w:numId w:val="9"/>
        </w:numPr>
        <w:spacing w:lineRule="auto" w:line="240" w:before="156" w:after="156"/>
        <w:rPr>
          <w:rFonts w:ascii="Times New Roman" w:hAnsi="Times New Roman" w:eastAsia="宋体" w:cs="Times New Roman"/>
          <w:b/>
          <w:b/>
          <w:bCs/>
          <w:sz w:val="24"/>
        </w:rPr>
      </w:pPr>
      <w:bookmarkStart w:id="6" w:name="__RefHeading___Toc21990"/>
      <w:bookmarkEnd w:id="6"/>
      <w:r>
        <w:rPr>
          <w:rFonts w:eastAsia="宋体" w:cs="Times New Roman"/>
          <w:b/>
          <w:bCs/>
          <w:sz w:val="24"/>
        </w:rPr>
        <w:t>X</w:t>
      </w:r>
      <w:r>
        <w:rPr>
          <w:rFonts w:ascii="Times New Roman" w:hAnsi="Times New Roman" w:cs="Times New Roman"/>
          <w:b/>
          <w:bCs/>
          <w:sz w:val="24"/>
        </w:rPr>
        <w:t>（数据库设计级别的名称）</w:t>
      </w:r>
    </w:p>
    <w:p>
      <w:pPr>
        <w:pStyle w:val="Normal"/>
        <w:spacing w:lineRule="auto" w:line="360"/>
        <w:ind w:firstLine="315"/>
        <w:rPr>
          <w:rFonts w:ascii="Times New Roman" w:hAnsi="Times New Roman" w:eastAsia="宋体" w:cs="Times New Roman"/>
          <w:sz w:val="24"/>
          <w:lang w:val="en-US" w:eastAsia="zh-CN"/>
        </w:rPr>
      </w:pPr>
      <w:r>
        <w:rPr>
          <w:rFonts w:eastAsia="Times New Roman"/>
          <w:lang w:val="en-US" w:eastAsia="zh-CN"/>
        </w:rPr>
        <w:t xml:space="preserve">   </w:t>
      </w:r>
      <w:r>
        <w:rPr>
          <w:rFonts w:ascii="Times New Roman" w:hAnsi="Times New Roman" w:cs="Times New Roman"/>
          <w:sz w:val="24"/>
          <w:lang w:val="en-US" w:eastAsia="zh-CN"/>
        </w:rPr>
        <w:t>本条应标识数据库设计级别，并用所选择的设计方法的术语描述数据库的数据元素和数据元素集合。（若适用）这些信息应包括如下内容，它们可按任何适合于所提供信息的顺序提供：</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a)</w:t>
      </w:r>
      <w:r>
        <w:rPr>
          <w:rFonts w:ascii="Times New Roman" w:hAnsi="Times New Roman" w:cs="Times New Roman"/>
          <w:sz w:val="24"/>
          <w:lang w:val="en-US" w:eastAsia="zh-CN"/>
        </w:rPr>
        <w:t>数据库设计中各个数据元素的特征，例如：</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1) </w:t>
      </w:r>
      <w:r>
        <w:rPr>
          <w:rFonts w:ascii="Times New Roman" w:hAnsi="Times New Roman" w:cs="Times New Roman"/>
          <w:sz w:val="24"/>
          <w:lang w:val="en-US" w:eastAsia="zh-CN"/>
        </w:rPr>
        <w:t>名称／标识符：</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a</w:t>
      </w:r>
      <w:r>
        <w:rPr>
          <w:rFonts w:ascii="Times New Roman" w:hAnsi="Times New Roman" w:cs="Times New Roman"/>
          <w:sz w:val="24"/>
          <w:lang w:val="en-US" w:eastAsia="zh-CN"/>
        </w:rPr>
        <w:t>．唯一标识符；</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b</w:t>
      </w:r>
      <w:r>
        <w:rPr>
          <w:rFonts w:ascii="Times New Roman" w:hAnsi="Times New Roman" w:cs="Times New Roman"/>
          <w:sz w:val="24"/>
          <w:lang w:val="en-US" w:eastAsia="zh-CN"/>
        </w:rPr>
        <w:t>．非技术名称（自然语言名称；）</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c</w:t>
      </w:r>
      <w:r>
        <w:rPr>
          <w:rFonts w:ascii="Times New Roman" w:hAnsi="Times New Roman" w:cs="Times New Roman"/>
          <w:sz w:val="24"/>
          <w:lang w:val="en-US" w:eastAsia="zh-CN"/>
        </w:rPr>
        <w:t>．数据元素名称（应优先使用标准化的数据元素名称；）</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d</w:t>
      </w:r>
      <w:r>
        <w:rPr>
          <w:rFonts w:ascii="Times New Roman" w:hAnsi="Times New Roman" w:cs="Times New Roman"/>
          <w:sz w:val="24"/>
          <w:lang w:val="en-US" w:eastAsia="zh-CN"/>
        </w:rPr>
        <w:t>．技术名称（如在数据库中字段名；）</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e</w:t>
      </w:r>
      <w:r>
        <w:rPr>
          <w:rFonts w:ascii="Times New Roman" w:hAnsi="Times New Roman" w:cs="Times New Roman"/>
          <w:sz w:val="24"/>
          <w:lang w:val="en-US" w:eastAsia="zh-CN"/>
        </w:rPr>
        <w:t>．缩略名或同义名。</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2) </w:t>
      </w:r>
      <w:r>
        <w:rPr>
          <w:rFonts w:ascii="Times New Roman" w:hAnsi="Times New Roman" w:cs="Times New Roman"/>
          <w:sz w:val="24"/>
          <w:lang w:val="en-US" w:eastAsia="zh-CN"/>
        </w:rPr>
        <w:t>数据类型（字母、数字、整数等。）</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3) </w:t>
      </w:r>
      <w:r>
        <w:rPr>
          <w:rFonts w:ascii="Times New Roman" w:hAnsi="Times New Roman" w:cs="Times New Roman"/>
          <w:sz w:val="24"/>
          <w:lang w:val="en-US" w:eastAsia="zh-CN"/>
        </w:rPr>
        <w:t>大小和格式（如：字符串的长度和标点符号。）</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4) </w:t>
      </w:r>
      <w:r>
        <w:rPr>
          <w:rFonts w:ascii="Times New Roman" w:hAnsi="Times New Roman" w:cs="Times New Roman"/>
          <w:sz w:val="24"/>
          <w:lang w:val="en-US" w:eastAsia="zh-CN"/>
        </w:rPr>
        <w:t>计量单位（如：</w:t>
      </w:r>
      <w:r>
        <w:rPr>
          <w:rFonts w:eastAsia="宋体" w:cs="Times New Roman"/>
          <w:sz w:val="24"/>
          <w:lang w:val="en-US" w:eastAsia="zh-CN"/>
        </w:rPr>
        <w:t xml:space="preserve">m </w:t>
      </w:r>
      <w:r>
        <w:rPr>
          <w:rFonts w:ascii="Times New Roman" w:hAnsi="Times New Roman" w:cs="Times New Roman"/>
          <w:sz w:val="24"/>
          <w:lang w:val="en-US" w:eastAsia="zh-CN"/>
        </w:rPr>
        <w:t>等）。</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5) </w:t>
      </w:r>
      <w:r>
        <w:rPr>
          <w:rFonts w:ascii="Times New Roman" w:hAnsi="Times New Roman" w:cs="Times New Roman"/>
          <w:sz w:val="24"/>
          <w:lang w:val="en-US" w:eastAsia="zh-CN"/>
        </w:rPr>
        <w:t>可能值的范围或枚举</w:t>
      </w:r>
      <w:r>
        <w:rPr>
          <w:rFonts w:eastAsia="宋体" w:cs="Times New Roman"/>
          <w:sz w:val="24"/>
          <w:lang w:val="en-US" w:eastAsia="zh-CN"/>
        </w:rPr>
        <w:t>(</w:t>
      </w:r>
      <w:r>
        <w:rPr>
          <w:rFonts w:ascii="Times New Roman" w:hAnsi="Times New Roman" w:cs="Times New Roman"/>
          <w:sz w:val="24"/>
          <w:lang w:val="en-US" w:eastAsia="zh-CN"/>
        </w:rPr>
        <w:t>如：</w:t>
      </w:r>
      <w:r>
        <w:rPr>
          <w:rFonts w:eastAsia="宋体" w:cs="Times New Roman"/>
          <w:sz w:val="24"/>
          <w:lang w:val="en-US" w:eastAsia="zh-CN"/>
        </w:rPr>
        <w:t>0-99)</w:t>
      </w:r>
      <w:r>
        <w:rPr>
          <w:rFonts w:ascii="Times New Roman" w:hAnsi="Times New Roman" w:cs="Times New Roman"/>
          <w:sz w:val="24"/>
          <w:lang w:val="en-US" w:eastAsia="zh-CN"/>
        </w:rPr>
        <w:t>。</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6) </w:t>
      </w:r>
      <w:r>
        <w:rPr>
          <w:rFonts w:ascii="Times New Roman" w:hAnsi="Times New Roman" w:cs="Times New Roman"/>
          <w:sz w:val="24"/>
          <w:lang w:val="en-US" w:eastAsia="zh-CN"/>
        </w:rPr>
        <w:t>准确性（正确程度）和精度（有效数位数。）</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7) </w:t>
      </w:r>
      <w:r>
        <w:rPr>
          <w:rFonts w:ascii="Times New Roman" w:hAnsi="Times New Roman" w:cs="Times New Roman"/>
          <w:sz w:val="24"/>
          <w:lang w:val="en-US" w:eastAsia="zh-CN"/>
        </w:rPr>
        <w:t>优先级、定时、频率、容量、排序以及其他约束条件（例如数据元素是否可以被更新、业务规则是否适用。）</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8) </w:t>
      </w:r>
      <w:r>
        <w:rPr>
          <w:rFonts w:ascii="Times New Roman" w:hAnsi="Times New Roman" w:cs="Times New Roman"/>
          <w:sz w:val="24"/>
          <w:lang w:val="en-US" w:eastAsia="zh-CN"/>
        </w:rPr>
        <w:t>保密性约束。</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9) </w:t>
      </w:r>
      <w:r>
        <w:rPr>
          <w:rFonts w:ascii="Times New Roman" w:hAnsi="Times New Roman" w:cs="Times New Roman"/>
          <w:sz w:val="24"/>
          <w:lang w:val="en-US" w:eastAsia="zh-CN"/>
        </w:rPr>
        <w:t>来源（建立／发送的实体）和接受者（使用／接收的实体。）</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b) </w:t>
      </w:r>
      <w:r>
        <w:rPr>
          <w:rFonts w:ascii="Times New Roman" w:hAnsi="Times New Roman" w:cs="Times New Roman"/>
          <w:sz w:val="24"/>
          <w:lang w:val="en-US" w:eastAsia="zh-CN"/>
        </w:rPr>
        <w:t>数据库设计中的数据元素组合体（记录、消息、文件、数组、显示、报表等）的特征，例如：</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1) </w:t>
      </w:r>
      <w:r>
        <w:rPr>
          <w:rFonts w:ascii="Times New Roman" w:hAnsi="Times New Roman" w:cs="Times New Roman"/>
          <w:sz w:val="24"/>
          <w:lang w:val="en-US" w:eastAsia="zh-CN"/>
        </w:rPr>
        <w:t>名称／标识符：</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a</w:t>
      </w:r>
      <w:r>
        <w:rPr>
          <w:rFonts w:ascii="Times New Roman" w:hAnsi="Times New Roman" w:cs="Times New Roman"/>
          <w:sz w:val="24"/>
          <w:lang w:val="en-US" w:eastAsia="zh-CN"/>
        </w:rPr>
        <w:t>．</w:t>
      </w:r>
      <w:r>
        <w:rPr>
          <w:rFonts w:ascii="Times New Roman" w:hAnsi="Times New Roman" w:cs="Times New Roman" w:eastAsia="Times New Roman"/>
          <w:sz w:val="24"/>
          <w:lang w:val="en-US" w:eastAsia="zh-CN"/>
        </w:rPr>
        <w:t xml:space="preserve"> </w:t>
      </w:r>
      <w:r>
        <w:rPr>
          <w:rFonts w:ascii="Times New Roman" w:hAnsi="Times New Roman" w:cs="Times New Roman"/>
          <w:sz w:val="24"/>
          <w:lang w:val="en-US" w:eastAsia="zh-CN"/>
        </w:rPr>
        <w:t>唯一标识符；</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b</w:t>
      </w:r>
      <w:r>
        <w:rPr>
          <w:rFonts w:ascii="Times New Roman" w:hAnsi="Times New Roman" w:cs="Times New Roman"/>
          <w:sz w:val="24"/>
          <w:lang w:val="en-US" w:eastAsia="zh-CN"/>
        </w:rPr>
        <w:t>．非技术名称（自然语言名称；）</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c</w:t>
      </w:r>
      <w:r>
        <w:rPr>
          <w:rFonts w:ascii="Times New Roman" w:hAnsi="Times New Roman" w:cs="Times New Roman"/>
          <w:sz w:val="24"/>
          <w:lang w:val="en-US" w:eastAsia="zh-CN"/>
        </w:rPr>
        <w:t>．技术名称（如数据库中字段名称：）</w:t>
      </w:r>
      <w:r>
        <w:rPr>
          <w:rFonts w:ascii="Times New Roman" w:hAnsi="Times New Roman" w:cs="Times New Roman" w:eastAsia="Times New Roman"/>
          <w:sz w:val="24"/>
          <w:lang w:val="en-US" w:eastAsia="zh-CN"/>
        </w:rPr>
        <w:t xml:space="preserve"> </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d</w:t>
      </w:r>
      <w:r>
        <w:rPr>
          <w:rFonts w:ascii="Times New Roman" w:hAnsi="Times New Roman" w:cs="Times New Roman"/>
          <w:sz w:val="24"/>
          <w:lang w:val="en-US" w:eastAsia="zh-CN"/>
        </w:rPr>
        <w:t>．缩略名或同义名。</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2) </w:t>
      </w:r>
      <w:r>
        <w:rPr>
          <w:rFonts w:ascii="Times New Roman" w:hAnsi="Times New Roman" w:cs="Times New Roman"/>
          <w:sz w:val="24"/>
          <w:lang w:val="en-US" w:eastAsia="zh-CN"/>
        </w:rPr>
        <w:t>数据元素组合体中的数据元素及其结构（编号、顺序和分组。）</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3) </w:t>
      </w:r>
      <w:r>
        <w:rPr>
          <w:rFonts w:ascii="Times New Roman" w:hAnsi="Times New Roman" w:cs="Times New Roman"/>
          <w:sz w:val="24"/>
          <w:lang w:val="en-US" w:eastAsia="zh-CN"/>
        </w:rPr>
        <w:t>介质（例如光盘）以及在介质上数据元素／数据元素组合体的结构。</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4) </w:t>
      </w:r>
      <w:r>
        <w:rPr>
          <w:rFonts w:ascii="Times New Roman" w:hAnsi="Times New Roman" w:cs="Times New Roman"/>
          <w:sz w:val="24"/>
          <w:lang w:val="en-US" w:eastAsia="zh-CN"/>
        </w:rPr>
        <w:t>显示和其他输出的视听特征（例如颜色、布局、字体、图标和其他显示元素、峰鸣音和亮度）。</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5) </w:t>
      </w:r>
      <w:r>
        <w:rPr>
          <w:rFonts w:ascii="Times New Roman" w:hAnsi="Times New Roman" w:cs="Times New Roman"/>
          <w:sz w:val="24"/>
          <w:lang w:val="en-US" w:eastAsia="zh-CN"/>
        </w:rPr>
        <w:t>数据元素组合体之间的关系，如分类／存取特征。</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6) </w:t>
      </w:r>
      <w:r>
        <w:rPr>
          <w:rFonts w:ascii="Times New Roman" w:hAnsi="Times New Roman" w:cs="Times New Roman"/>
          <w:sz w:val="24"/>
          <w:lang w:val="en-US" w:eastAsia="zh-CN"/>
        </w:rPr>
        <w:t>优先级、定时、频率、容量、序列及其他约束，例如数据元素组合体是否可以被更新、业务规则是否适用。</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7) </w:t>
      </w:r>
      <w:r>
        <w:rPr>
          <w:rFonts w:ascii="Times New Roman" w:hAnsi="Times New Roman" w:cs="Times New Roman"/>
          <w:sz w:val="24"/>
          <w:lang w:val="en-US" w:eastAsia="zh-CN"/>
        </w:rPr>
        <w:t>保密性约束。</w:t>
      </w:r>
    </w:p>
    <w:p>
      <w:pPr>
        <w:pStyle w:val="Normal"/>
        <w:spacing w:lineRule="auto" w:line="360"/>
        <w:ind w:firstLine="360"/>
        <w:rPr>
          <w:rFonts w:ascii="Times New Roman" w:hAnsi="Times New Roman" w:eastAsia="宋体" w:cs="Times New Roman"/>
          <w:sz w:val="24"/>
          <w:lang w:val="en-US" w:eastAsia="zh-CN"/>
        </w:rPr>
      </w:pPr>
      <w:r>
        <w:rPr>
          <w:rFonts w:eastAsia="宋体" w:cs="Times New Roman"/>
          <w:sz w:val="24"/>
          <w:lang w:val="en-US" w:eastAsia="zh-CN"/>
        </w:rPr>
        <w:t xml:space="preserve">8) </w:t>
      </w:r>
      <w:r>
        <w:rPr>
          <w:rFonts w:ascii="Times New Roman" w:hAnsi="Times New Roman" w:cs="Times New Roman"/>
          <w:sz w:val="24"/>
          <w:lang w:val="en-US" w:eastAsia="zh-CN"/>
        </w:rPr>
        <w:t>来源（建立／发送的实体）和接受（使用／接收的实体。）</w:t>
      </w:r>
    </w:p>
    <w:p>
      <w:pPr>
        <w:pStyle w:val="Heading1"/>
        <w:spacing w:lineRule="auto" w:line="240" w:before="156" w:after="156"/>
        <w:rPr>
          <w:sz w:val="24"/>
        </w:rPr>
      </w:pPr>
      <w:bookmarkStart w:id="7" w:name="__RefHeading___Toc6657"/>
      <w:bookmarkEnd w:id="7"/>
      <w:r>
        <w:rPr>
          <w:sz w:val="24"/>
        </w:rPr>
        <w:t>用于数据库访问或操纵的软件单元详细设计</w:t>
      </w:r>
    </w:p>
    <w:p>
      <w:pPr>
        <w:pStyle w:val="Normal"/>
        <w:spacing w:lineRule="auto" w:line="360"/>
        <w:ind w:firstLine="360"/>
        <w:rPr>
          <w:sz w:val="24"/>
        </w:rPr>
      </w:pPr>
      <w:r>
        <w:rPr>
          <w:sz w:val="24"/>
        </w:rPr>
        <w:t>本章应分为以下子条描述用于数据库访问或操纵的软件单元。如果部分或全部信息在其他处描述，例如用户定制的数据库管理系统</w:t>
      </w:r>
      <w:r>
        <w:rPr>
          <w:sz w:val="24"/>
        </w:rPr>
        <w:t>D</w:t>
      </w:r>
      <w:r>
        <w:rPr>
          <w:sz w:val="24"/>
        </w:rPr>
        <w:t>（</w:t>
      </w:r>
      <w:r>
        <w:rPr>
          <w:sz w:val="24"/>
        </w:rPr>
        <w:t>BMS</w:t>
      </w:r>
      <w:r>
        <w:rPr>
          <w:sz w:val="24"/>
        </w:rPr>
        <w:t>）的设计说明、或商用的数据库管理系统（</w:t>
      </w:r>
      <w:r>
        <w:rPr>
          <w:sz w:val="24"/>
        </w:rPr>
        <w:t>DBMS</w:t>
      </w:r>
      <w:r>
        <w:rPr>
          <w:sz w:val="24"/>
        </w:rPr>
        <w:t>）的用户手册，可直接引用而无需重复。如果设计的全部或部分依赖于系统的状态或方式，应指明这种依赖关系。如果在多个子条中存在重复的设计信息，只需在一个子条中描述，其他子条可直接引用。本章应给出或引用需要了解的设计约定。</w:t>
      </w:r>
    </w:p>
    <w:p>
      <w:pPr>
        <w:pStyle w:val="Heading1"/>
        <w:numPr>
          <w:ilvl w:val="0"/>
          <w:numId w:val="9"/>
        </w:numPr>
        <w:tabs>
          <w:tab w:val="clear" w:pos="420"/>
          <w:tab w:val="left" w:pos="312" w:leader="none"/>
        </w:tabs>
        <w:spacing w:lineRule="auto" w:line="240" w:before="156" w:after="156"/>
        <w:rPr>
          <w:rFonts w:ascii="Times New Roman" w:hAnsi="Times New Roman" w:eastAsia="宋体" w:cs="Times New Roman"/>
          <w:b/>
          <w:b/>
          <w:bCs/>
          <w:sz w:val="24"/>
        </w:rPr>
      </w:pPr>
      <w:bookmarkStart w:id="8" w:name="__RefHeading___Toc17163"/>
      <w:bookmarkEnd w:id="8"/>
      <w:r>
        <w:rPr>
          <w:rFonts w:eastAsia="宋体" w:cs="Times New Roman"/>
          <w:b/>
          <w:bCs/>
          <w:sz w:val="24"/>
        </w:rPr>
        <w:t>X</w:t>
      </w:r>
      <w:r>
        <w:rPr>
          <w:rFonts w:ascii="Times New Roman" w:hAnsi="Times New Roman" w:cs="Times New Roman"/>
          <w:b/>
          <w:bCs/>
          <w:sz w:val="24"/>
        </w:rPr>
        <w:t>（软件单元的唯一标识符，或者一组软件单元的标志符）</w:t>
      </w:r>
    </w:p>
    <w:p>
      <w:pPr>
        <w:pStyle w:val="Normal"/>
        <w:spacing w:lineRule="auto" w:line="360"/>
        <w:ind w:firstLine="360"/>
        <w:rPr>
          <w:sz w:val="24"/>
        </w:rPr>
      </w:pPr>
      <w:r>
        <w:rPr>
          <w:sz w:val="24"/>
        </w:rPr>
        <w:t>本条应该通过唯一标识符来标识软件单元并，且对该单元进行说明（。若适用）应包括下列信息。本条也可以指定一组软件单元，然后再分条对它们分别进行标识和说明。包含这些软件单元的软件单元，可以引用这些软件单元的说明，而无需重复。</w:t>
      </w:r>
    </w:p>
    <w:p>
      <w:pPr>
        <w:pStyle w:val="Normal"/>
        <w:numPr>
          <w:ilvl w:val="0"/>
          <w:numId w:val="3"/>
        </w:numPr>
        <w:spacing w:lineRule="auto" w:line="360"/>
        <w:ind w:left="0" w:firstLine="360"/>
        <w:rPr>
          <w:sz w:val="24"/>
        </w:rPr>
      </w:pPr>
      <w:r>
        <w:rPr>
          <w:sz w:val="24"/>
        </w:rPr>
        <w:t>（若有）单元设计决策，例如所使用的算法等，如果此前尚未选定。</w:t>
      </w:r>
    </w:p>
    <w:p>
      <w:pPr>
        <w:pStyle w:val="Normal"/>
        <w:numPr>
          <w:ilvl w:val="0"/>
          <w:numId w:val="3"/>
        </w:numPr>
        <w:spacing w:lineRule="auto" w:line="360"/>
        <w:ind w:left="0" w:firstLine="360"/>
        <w:rPr>
          <w:sz w:val="24"/>
        </w:rPr>
      </w:pPr>
      <w:r>
        <w:rPr>
          <w:rFonts w:eastAsia="Times New Roman"/>
          <w:sz w:val="24"/>
          <w:lang w:val="en-US" w:eastAsia="zh-CN"/>
        </w:rPr>
        <w:t xml:space="preserve"> </w:t>
      </w:r>
      <w:r>
        <w:rPr>
          <w:sz w:val="24"/>
        </w:rPr>
        <w:t>该软件单元设计中的任何约束、限定或非常规特征。</w:t>
      </w:r>
    </w:p>
    <w:p>
      <w:pPr>
        <w:pStyle w:val="Normal"/>
        <w:numPr>
          <w:ilvl w:val="0"/>
          <w:numId w:val="3"/>
        </w:numPr>
        <w:spacing w:lineRule="auto" w:line="360"/>
        <w:ind w:left="0" w:firstLine="360"/>
        <w:rPr>
          <w:sz w:val="24"/>
        </w:rPr>
      </w:pPr>
      <w:r>
        <w:rPr>
          <w:rFonts w:eastAsia="Times New Roman"/>
          <w:sz w:val="24"/>
          <w:lang w:val="en-US" w:eastAsia="zh-CN"/>
        </w:rPr>
        <w:t xml:space="preserve"> </w:t>
      </w:r>
      <w:r>
        <w:rPr>
          <w:sz w:val="24"/>
        </w:rPr>
        <w:t>所采用的不同于为该软件所指定语言的编程语言及使用它的理由。</w:t>
      </w:r>
    </w:p>
    <w:p>
      <w:pPr>
        <w:pStyle w:val="Normal"/>
        <w:numPr>
          <w:ilvl w:val="0"/>
          <w:numId w:val="3"/>
        </w:numPr>
        <w:spacing w:lineRule="auto" w:line="360"/>
        <w:ind w:left="0" w:firstLine="360"/>
        <w:rPr>
          <w:sz w:val="24"/>
        </w:rPr>
      </w:pPr>
      <w:r>
        <w:rPr>
          <w:rFonts w:eastAsia="Times New Roman"/>
          <w:sz w:val="24"/>
          <w:lang w:val="en-US" w:eastAsia="zh-CN"/>
        </w:rPr>
        <w:t xml:space="preserve"> </w:t>
      </w:r>
      <w:r>
        <w:rPr>
          <w:sz w:val="24"/>
        </w:rPr>
        <w:t>如果该软件单元包含过程性命令或是由其组成</w:t>
      </w:r>
      <w:r>
        <w:rPr>
          <w:sz w:val="24"/>
        </w:rPr>
        <w:t>(</w:t>
      </w:r>
      <w:r>
        <w:rPr>
          <w:sz w:val="24"/>
        </w:rPr>
        <w:t>例如数据库管理系统</w:t>
      </w:r>
      <w:r>
        <w:rPr>
          <w:sz w:val="24"/>
        </w:rPr>
        <w:t>(DBMS)</w:t>
      </w:r>
      <w:r>
        <w:rPr>
          <w:sz w:val="24"/>
        </w:rPr>
        <w:t>中用于定义表和报表的菜单选择，用于数据库访问和操纵的在线</w:t>
      </w:r>
      <w:r>
        <w:rPr>
          <w:sz w:val="24"/>
        </w:rPr>
        <w:t xml:space="preserve">DBMS </w:t>
      </w:r>
      <w:r>
        <w:rPr>
          <w:sz w:val="24"/>
        </w:rPr>
        <w:t>查询，对用于代码自动生成的图形用户接口</w:t>
      </w:r>
      <w:r>
        <w:rPr>
          <w:sz w:val="24"/>
        </w:rPr>
        <w:t>(GUI)</w:t>
      </w:r>
      <w:r>
        <w:rPr>
          <w:sz w:val="24"/>
        </w:rPr>
        <w:t>构造器的输入，给操作系统的命令或</w:t>
      </w:r>
      <w:r>
        <w:rPr>
          <w:sz w:val="24"/>
        </w:rPr>
        <w:t xml:space="preserve">Shell </w:t>
      </w:r>
      <w:r>
        <w:rPr>
          <w:sz w:val="24"/>
        </w:rPr>
        <w:t>脚本），应列出这些过程性命令，并引用解释它们的用户手册或其他文档。</w:t>
      </w:r>
    </w:p>
    <w:p>
      <w:pPr>
        <w:pStyle w:val="Normal"/>
        <w:numPr>
          <w:ilvl w:val="0"/>
          <w:numId w:val="3"/>
        </w:numPr>
        <w:spacing w:lineRule="auto" w:line="360"/>
        <w:ind w:left="0" w:firstLine="360"/>
        <w:rPr>
          <w:sz w:val="24"/>
        </w:rPr>
      </w:pPr>
      <w:r>
        <w:rPr>
          <w:rFonts w:eastAsia="Times New Roman"/>
          <w:sz w:val="24"/>
          <w:lang w:val="en-US" w:eastAsia="zh-CN"/>
        </w:rPr>
        <w:t xml:space="preserve"> </w:t>
      </w:r>
      <w:r>
        <w:rPr>
          <w:sz w:val="24"/>
        </w:rPr>
        <w:t>如果该软件单元包含、接收或输出数据，（若适用）应对它的输入、输出以及其他数据元和数据元素集合进行说明。该软件单元的局部数据应该单独描述，不应该和输入或输出数据混在一起。接口特性可以在此提供，也可以引用接口设计说明</w:t>
      </w:r>
      <w:r>
        <w:rPr>
          <w:sz w:val="24"/>
        </w:rPr>
        <w:t>(IDD)</w:t>
      </w:r>
      <w:r>
        <w:rPr>
          <w:sz w:val="24"/>
        </w:rPr>
        <w:t>。</w:t>
      </w:r>
    </w:p>
    <w:p>
      <w:pPr>
        <w:pStyle w:val="Normal"/>
        <w:spacing w:lineRule="auto" w:line="360"/>
        <w:ind w:firstLine="360"/>
        <w:rPr>
          <w:sz w:val="24"/>
        </w:rPr>
      </w:pPr>
      <w:r>
        <w:rPr>
          <w:sz w:val="24"/>
        </w:rPr>
        <w:t>如果一指定的接口实体本未能被文档覆盖（例如，一个外部系统，）但是其接口特性在本数据库设计说明中描述软件单元时需要提到，则这些特性应作为假设进行描述、或以“当</w:t>
      </w:r>
      <w:r>
        <w:rPr>
          <w:sz w:val="24"/>
        </w:rPr>
        <w:t>[</w:t>
      </w:r>
      <w:r>
        <w:rPr>
          <w:sz w:val="24"/>
        </w:rPr>
        <w:t>未覆盖实体</w:t>
      </w:r>
      <w:r>
        <w:rPr>
          <w:sz w:val="24"/>
        </w:rPr>
        <w:t>]</w:t>
      </w:r>
      <w:r>
        <w:rPr>
          <w:sz w:val="24"/>
        </w:rPr>
        <w:t>这样做时，</w:t>
      </w:r>
      <w:r>
        <w:rPr>
          <w:sz w:val="24"/>
        </w:rPr>
        <w:t>[</w:t>
      </w:r>
      <w:r>
        <w:rPr>
          <w:sz w:val="24"/>
        </w:rPr>
        <w:t>软件单元</w:t>
      </w:r>
      <w:r>
        <w:rPr>
          <w:sz w:val="24"/>
        </w:rPr>
        <w:t>]</w:t>
      </w:r>
      <w:r>
        <w:rPr>
          <w:sz w:val="24"/>
        </w:rPr>
        <w:t>将……”的形式进行描述。本条可引用其他文档（例如数据字典、协议标准、用户接口标准）代替本条的信息描述。（若适用）设计说明应包括如下内容，以适合于所提供信息的任何顺序给出，并应从接口实体角度指出这些特性之间的区别（例如对数据元素的大小、频率或其他特性的不同期望值：）</w:t>
      </w:r>
    </w:p>
    <w:p>
      <w:pPr>
        <w:pStyle w:val="Normal"/>
        <w:numPr>
          <w:ilvl w:val="0"/>
          <w:numId w:val="10"/>
        </w:numPr>
        <w:spacing w:lineRule="auto" w:line="360"/>
        <w:ind w:left="0" w:firstLine="360"/>
        <w:rPr>
          <w:sz w:val="24"/>
        </w:rPr>
      </w:pPr>
      <w:r>
        <w:rPr>
          <w:sz w:val="24"/>
        </w:rPr>
        <w:t>接口的唯一标识符。</w:t>
      </w:r>
    </w:p>
    <w:p>
      <w:pPr>
        <w:pStyle w:val="Normal"/>
        <w:numPr>
          <w:ilvl w:val="0"/>
          <w:numId w:val="10"/>
        </w:numPr>
        <w:spacing w:lineRule="auto" w:line="360"/>
        <w:ind w:left="0" w:firstLine="360"/>
        <w:rPr>
          <w:sz w:val="24"/>
        </w:rPr>
      </w:pPr>
      <w:r>
        <w:rPr>
          <w:sz w:val="24"/>
        </w:rPr>
        <w:t>（若适用）用名称、编号、修订以及文档引用来标识接口实体（软件单元、配</w:t>
      </w:r>
      <w:r>
        <w:rPr>
          <w:rFonts w:eastAsia="Times New Roman"/>
          <w:sz w:val="24"/>
        </w:rPr>
        <w:t xml:space="preserve">   </w:t>
      </w:r>
      <w:r>
        <w:rPr>
          <w:sz w:val="24"/>
        </w:rPr>
        <w:t>置项、用户等）。</w:t>
      </w:r>
    </w:p>
    <w:p>
      <w:pPr>
        <w:pStyle w:val="Normal"/>
        <w:numPr>
          <w:ilvl w:val="0"/>
          <w:numId w:val="10"/>
        </w:numPr>
        <w:spacing w:lineRule="auto" w:line="360"/>
        <w:ind w:left="0" w:firstLine="360"/>
        <w:rPr>
          <w:sz w:val="24"/>
        </w:rPr>
      </w:pPr>
      <w:r>
        <w:rPr>
          <w:sz w:val="24"/>
        </w:rPr>
        <w:t>接口实体分配给接口的优先级。</w:t>
      </w:r>
    </w:p>
    <w:p>
      <w:pPr>
        <w:pStyle w:val="Normal"/>
        <w:numPr>
          <w:ilvl w:val="0"/>
          <w:numId w:val="10"/>
        </w:numPr>
        <w:spacing w:lineRule="auto" w:line="360"/>
        <w:ind w:left="0" w:firstLine="360"/>
        <w:rPr>
          <w:sz w:val="24"/>
        </w:rPr>
      </w:pPr>
      <w:r>
        <w:rPr>
          <w:sz w:val="24"/>
        </w:rPr>
        <w:t>要实现的接口类型（例如实时数据传输、数据的存储和检索等。）</w:t>
      </w:r>
    </w:p>
    <w:p>
      <w:pPr>
        <w:pStyle w:val="Normal"/>
        <w:numPr>
          <w:ilvl w:val="0"/>
          <w:numId w:val="10"/>
        </w:numPr>
        <w:spacing w:lineRule="auto" w:line="360"/>
        <w:ind w:left="0" w:firstLine="360"/>
        <w:rPr>
          <w:sz w:val="24"/>
        </w:rPr>
      </w:pPr>
      <w:r>
        <w:rPr>
          <w:sz w:val="24"/>
        </w:rPr>
        <w:t>接口实体将提供、储存、发送、访问、接收的各个数据元素的特征。本文档中的</w:t>
      </w:r>
      <w:r>
        <w:rPr>
          <w:rFonts w:eastAsia="Times New Roman"/>
          <w:sz w:val="24"/>
        </w:rPr>
        <w:t xml:space="preserve"> </w:t>
      </w:r>
      <w:r>
        <w:rPr>
          <w:sz w:val="24"/>
        </w:rPr>
        <w:t>4.X.a</w:t>
      </w:r>
      <w:r>
        <w:rPr>
          <w:sz w:val="24"/>
        </w:rPr>
        <w:t>条标识出了在本说明中需要包含的内容。</w:t>
      </w:r>
    </w:p>
    <w:p>
      <w:pPr>
        <w:pStyle w:val="Normal"/>
        <w:numPr>
          <w:ilvl w:val="0"/>
          <w:numId w:val="10"/>
        </w:numPr>
        <w:spacing w:lineRule="auto" w:line="360"/>
        <w:ind w:left="0" w:firstLine="360"/>
        <w:rPr>
          <w:sz w:val="24"/>
        </w:rPr>
      </w:pPr>
      <w:r>
        <w:rPr>
          <w:sz w:val="24"/>
        </w:rPr>
        <w:t>接口实体将提供、存储、发送、访问、接收的数据元素组合体（记录、消息、文件、数组、显示、报表等）的特征。本文档中的</w:t>
      </w:r>
      <w:r>
        <w:rPr>
          <w:sz w:val="24"/>
        </w:rPr>
        <w:t xml:space="preserve">4.X.b </w:t>
      </w:r>
      <w:r>
        <w:rPr>
          <w:sz w:val="24"/>
        </w:rPr>
        <w:t>条，标识了本说明中需要包含的内容。</w:t>
      </w:r>
    </w:p>
    <w:p>
      <w:pPr>
        <w:pStyle w:val="Normal"/>
        <w:numPr>
          <w:ilvl w:val="0"/>
          <w:numId w:val="10"/>
        </w:numPr>
        <w:spacing w:lineRule="auto" w:line="360"/>
        <w:ind w:left="0" w:firstLine="360"/>
        <w:rPr>
          <w:sz w:val="24"/>
        </w:rPr>
      </w:pPr>
      <w:r>
        <w:rPr>
          <w:sz w:val="24"/>
        </w:rPr>
        <w:t>接口实体所使用的接口通信方法的特征，例如：</w:t>
      </w:r>
      <w:r>
        <w:rPr>
          <w:rFonts w:eastAsia="Times New Roman"/>
          <w:sz w:val="24"/>
        </w:rPr>
        <w:t xml:space="preserve"> </w:t>
      </w:r>
    </w:p>
    <w:p>
      <w:pPr>
        <w:pStyle w:val="Normal"/>
        <w:numPr>
          <w:ilvl w:val="0"/>
          <w:numId w:val="8"/>
        </w:numPr>
        <w:spacing w:lineRule="auto" w:line="360"/>
        <w:ind w:left="0" w:firstLine="240"/>
        <w:rPr>
          <w:sz w:val="24"/>
        </w:rPr>
      </w:pPr>
      <w:r>
        <w:rPr>
          <w:sz w:val="24"/>
        </w:rPr>
        <w:t>唯一标识符；</w:t>
      </w:r>
      <w:r>
        <w:rPr>
          <w:rFonts w:eastAsia="Times New Roman"/>
          <w:sz w:val="24"/>
        </w:rPr>
        <w:t xml:space="preserve">                                              </w:t>
      </w:r>
    </w:p>
    <w:p>
      <w:pPr>
        <w:pStyle w:val="Normal"/>
        <w:numPr>
          <w:ilvl w:val="0"/>
          <w:numId w:val="8"/>
        </w:numPr>
        <w:spacing w:lineRule="auto" w:line="360"/>
        <w:ind w:left="0" w:firstLine="240"/>
        <w:rPr>
          <w:sz w:val="24"/>
        </w:rPr>
      </w:pPr>
      <w:r>
        <w:rPr>
          <w:sz w:val="24"/>
        </w:rPr>
        <w:t>通信链接／带宽／频率／介质和它们的特征；</w:t>
      </w:r>
      <w:r>
        <w:rPr>
          <w:rFonts w:eastAsia="Times New Roman"/>
          <w:sz w:val="24"/>
        </w:rPr>
        <w:t xml:space="preserve"> </w:t>
      </w:r>
    </w:p>
    <w:p>
      <w:pPr>
        <w:pStyle w:val="Normal"/>
        <w:numPr>
          <w:ilvl w:val="0"/>
          <w:numId w:val="8"/>
        </w:numPr>
        <w:spacing w:lineRule="auto" w:line="360"/>
        <w:ind w:left="0" w:firstLine="240"/>
        <w:rPr>
          <w:sz w:val="24"/>
        </w:rPr>
      </w:pPr>
      <w:r>
        <w:rPr>
          <w:sz w:val="24"/>
        </w:rPr>
        <w:t>消息格式；</w:t>
      </w:r>
      <w:r>
        <w:rPr>
          <w:rFonts w:eastAsia="Times New Roman"/>
          <w:sz w:val="24"/>
        </w:rPr>
        <w:t xml:space="preserve"> </w:t>
      </w:r>
    </w:p>
    <w:p>
      <w:pPr>
        <w:pStyle w:val="Normal"/>
        <w:numPr>
          <w:ilvl w:val="0"/>
          <w:numId w:val="8"/>
        </w:numPr>
        <w:spacing w:lineRule="auto" w:line="360"/>
        <w:ind w:left="0" w:firstLine="240"/>
        <w:rPr>
          <w:sz w:val="24"/>
        </w:rPr>
      </w:pPr>
      <w:r>
        <w:rPr>
          <w:sz w:val="24"/>
        </w:rPr>
        <w:t>流控制（如：序列编号和缓冲区分配）；</w:t>
      </w:r>
    </w:p>
    <w:p>
      <w:pPr>
        <w:pStyle w:val="Normal"/>
        <w:numPr>
          <w:ilvl w:val="0"/>
          <w:numId w:val="8"/>
        </w:numPr>
        <w:spacing w:lineRule="auto" w:line="360"/>
        <w:ind w:left="0" w:firstLine="240"/>
        <w:rPr>
          <w:sz w:val="24"/>
        </w:rPr>
      </w:pPr>
      <w:r>
        <w:rPr>
          <w:sz w:val="24"/>
        </w:rPr>
        <w:t>数据传输率、周期的或非周期的、以及传送间隔</w:t>
      </w:r>
      <w:r>
        <w:rPr>
          <w:sz w:val="24"/>
          <w:lang w:eastAsia="zh-CN"/>
        </w:rPr>
        <w:t>；</w:t>
      </w:r>
    </w:p>
    <w:p>
      <w:pPr>
        <w:pStyle w:val="Normal"/>
        <w:numPr>
          <w:ilvl w:val="0"/>
          <w:numId w:val="8"/>
        </w:numPr>
        <w:spacing w:lineRule="auto" w:line="360"/>
        <w:ind w:left="0" w:firstLine="240"/>
        <w:rPr>
          <w:sz w:val="24"/>
        </w:rPr>
      </w:pPr>
      <w:r>
        <w:rPr>
          <w:sz w:val="24"/>
        </w:rPr>
        <w:t>路由、寻址、命名约定</w:t>
      </w:r>
      <w:r>
        <w:rPr>
          <w:sz w:val="24"/>
          <w:lang w:eastAsia="zh-CN"/>
        </w:rPr>
        <w:t>；</w:t>
      </w:r>
    </w:p>
    <w:p>
      <w:pPr>
        <w:pStyle w:val="Normal"/>
        <w:numPr>
          <w:ilvl w:val="0"/>
          <w:numId w:val="8"/>
        </w:numPr>
        <w:spacing w:lineRule="auto" w:line="360"/>
        <w:ind w:left="0" w:firstLine="240"/>
        <w:rPr>
          <w:sz w:val="24"/>
        </w:rPr>
      </w:pPr>
      <w:r>
        <w:rPr>
          <w:sz w:val="24"/>
        </w:rPr>
        <w:t>传输服务，包括优先级与等级；</w:t>
      </w:r>
    </w:p>
    <w:p>
      <w:pPr>
        <w:pStyle w:val="Normal"/>
        <w:numPr>
          <w:ilvl w:val="0"/>
          <w:numId w:val="8"/>
        </w:numPr>
        <w:spacing w:lineRule="auto" w:line="360"/>
        <w:ind w:left="0" w:firstLine="240"/>
        <w:rPr>
          <w:sz w:val="24"/>
        </w:rPr>
      </w:pPr>
      <w:r>
        <w:rPr>
          <w:sz w:val="24"/>
        </w:rPr>
        <w:t>安全性／保密性考虑，如：加密、用户鉴别、隔离和审核。</w:t>
      </w:r>
    </w:p>
    <w:p>
      <w:pPr>
        <w:pStyle w:val="Normal"/>
        <w:numPr>
          <w:ilvl w:val="0"/>
          <w:numId w:val="10"/>
        </w:numPr>
        <w:spacing w:lineRule="auto" w:line="360"/>
        <w:ind w:left="0" w:firstLine="360"/>
        <w:rPr>
          <w:sz w:val="24"/>
        </w:rPr>
      </w:pPr>
      <w:r>
        <w:rPr>
          <w:sz w:val="24"/>
        </w:rPr>
        <w:t>接口实体所使用的接口协议特征，如：</w:t>
      </w:r>
      <w:r>
        <w:rPr>
          <w:rFonts w:eastAsia="Times New Roman"/>
          <w:sz w:val="24"/>
        </w:rPr>
        <w:t xml:space="preserve"> </w:t>
      </w:r>
    </w:p>
    <w:p>
      <w:pPr>
        <w:pStyle w:val="Normal"/>
        <w:numPr>
          <w:ilvl w:val="0"/>
          <w:numId w:val="4"/>
        </w:numPr>
        <w:spacing w:lineRule="auto" w:line="360"/>
        <w:ind w:left="0" w:firstLine="240"/>
        <w:rPr>
          <w:sz w:val="24"/>
        </w:rPr>
      </w:pPr>
      <w:r>
        <w:rPr>
          <w:sz w:val="24"/>
        </w:rPr>
        <w:t>唯一标识符；</w:t>
      </w:r>
      <w:r>
        <w:rPr>
          <w:rFonts w:eastAsia="Times New Roman"/>
          <w:sz w:val="24"/>
        </w:rPr>
        <w:t xml:space="preserve">                                </w:t>
      </w:r>
    </w:p>
    <w:p>
      <w:pPr>
        <w:pStyle w:val="Normal"/>
        <w:numPr>
          <w:ilvl w:val="0"/>
          <w:numId w:val="4"/>
        </w:numPr>
        <w:spacing w:lineRule="auto" w:line="360"/>
        <w:ind w:left="0" w:firstLine="240"/>
        <w:rPr>
          <w:sz w:val="24"/>
        </w:rPr>
      </w:pPr>
      <w:r>
        <w:rPr>
          <w:sz w:val="24"/>
        </w:rPr>
        <w:t>协议的优先级／层次；</w:t>
      </w:r>
    </w:p>
    <w:p>
      <w:pPr>
        <w:pStyle w:val="Normal"/>
        <w:numPr>
          <w:ilvl w:val="0"/>
          <w:numId w:val="4"/>
        </w:numPr>
        <w:spacing w:lineRule="auto" w:line="360"/>
        <w:ind w:left="0" w:firstLine="240"/>
        <w:rPr>
          <w:sz w:val="24"/>
        </w:rPr>
      </w:pPr>
      <w:r>
        <w:rPr>
          <w:sz w:val="24"/>
        </w:rPr>
        <w:t>打包（包括拆包和重新打包、）路由、寻址；</w:t>
      </w:r>
    </w:p>
    <w:p>
      <w:pPr>
        <w:pStyle w:val="Normal"/>
        <w:numPr>
          <w:ilvl w:val="0"/>
          <w:numId w:val="4"/>
        </w:numPr>
        <w:spacing w:lineRule="auto" w:line="360"/>
        <w:ind w:left="0" w:firstLine="240"/>
        <w:rPr>
          <w:sz w:val="24"/>
        </w:rPr>
      </w:pPr>
      <w:r>
        <w:rPr>
          <w:sz w:val="24"/>
        </w:rPr>
        <w:t>合法性检查、错误控制和恢复过程；</w:t>
      </w:r>
    </w:p>
    <w:p>
      <w:pPr>
        <w:pStyle w:val="Normal"/>
        <w:numPr>
          <w:ilvl w:val="0"/>
          <w:numId w:val="4"/>
        </w:numPr>
        <w:spacing w:lineRule="auto" w:line="360"/>
        <w:ind w:left="0" w:firstLine="240"/>
        <w:rPr>
          <w:sz w:val="24"/>
        </w:rPr>
      </w:pPr>
      <w:r>
        <w:rPr>
          <w:sz w:val="24"/>
        </w:rPr>
        <w:t>同步，包括连接的建立、保持和终止；</w:t>
      </w:r>
    </w:p>
    <w:p>
      <w:pPr>
        <w:pStyle w:val="Normal"/>
        <w:numPr>
          <w:ilvl w:val="0"/>
          <w:numId w:val="4"/>
        </w:numPr>
        <w:spacing w:lineRule="auto" w:line="360"/>
        <w:ind w:left="0" w:firstLine="240"/>
        <w:rPr>
          <w:sz w:val="24"/>
        </w:rPr>
      </w:pPr>
      <w:r>
        <w:rPr>
          <w:sz w:val="24"/>
        </w:rPr>
        <w:t>状态、标识及任何其他报告特征。</w:t>
      </w:r>
    </w:p>
    <w:p>
      <w:pPr>
        <w:pStyle w:val="Normal"/>
        <w:numPr>
          <w:ilvl w:val="0"/>
          <w:numId w:val="10"/>
        </w:numPr>
        <w:spacing w:lineRule="auto" w:line="360"/>
        <w:ind w:left="0" w:firstLine="360"/>
        <w:rPr>
          <w:sz w:val="24"/>
        </w:rPr>
      </w:pPr>
      <w:r>
        <w:rPr>
          <w:sz w:val="24"/>
        </w:rPr>
        <w:t>其他要求的特征，例如接口实体的物理兼容性（尺寸、公差、负荷、电压和接插件的兼容性等）。</w:t>
      </w:r>
    </w:p>
    <w:p>
      <w:pPr>
        <w:pStyle w:val="Normal"/>
        <w:numPr>
          <w:ilvl w:val="0"/>
          <w:numId w:val="10"/>
        </w:numPr>
        <w:spacing w:lineRule="auto" w:line="360"/>
        <w:ind w:left="0" w:firstLine="360"/>
        <w:rPr>
          <w:sz w:val="24"/>
        </w:rPr>
      </w:pPr>
      <w:r>
        <w:rPr>
          <w:sz w:val="24"/>
        </w:rPr>
        <w:t>如果软件单元包含逻辑，给出其要使用的逻辑（，若适用）应包括：</w:t>
      </w:r>
    </w:p>
    <w:p>
      <w:pPr>
        <w:pStyle w:val="Normal"/>
        <w:numPr>
          <w:ilvl w:val="0"/>
          <w:numId w:val="5"/>
        </w:numPr>
        <w:spacing w:lineRule="auto" w:line="360"/>
        <w:ind w:left="0" w:firstLine="518"/>
        <w:rPr>
          <w:sz w:val="24"/>
        </w:rPr>
      </w:pPr>
      <w:r>
        <w:rPr>
          <w:sz w:val="24"/>
        </w:rPr>
        <w:t>该软件单元执行启动时，其内部起作用的条件。</w:t>
      </w:r>
    </w:p>
    <w:p>
      <w:pPr>
        <w:pStyle w:val="Normal"/>
        <w:numPr>
          <w:ilvl w:val="0"/>
          <w:numId w:val="5"/>
        </w:numPr>
        <w:spacing w:lineRule="auto" w:line="360"/>
        <w:ind w:left="0" w:firstLine="518"/>
        <w:rPr>
          <w:sz w:val="24"/>
        </w:rPr>
      </w:pPr>
      <w:r>
        <w:rPr>
          <w:sz w:val="24"/>
        </w:rPr>
        <w:t>该软件单元将控制传递给其他软件单元的条件。</w:t>
      </w:r>
    </w:p>
    <w:p>
      <w:pPr>
        <w:pStyle w:val="Normal"/>
        <w:numPr>
          <w:ilvl w:val="0"/>
          <w:numId w:val="5"/>
        </w:numPr>
        <w:spacing w:lineRule="auto" w:line="360"/>
        <w:ind w:left="0" w:firstLine="518"/>
        <w:rPr>
          <w:sz w:val="24"/>
        </w:rPr>
      </w:pPr>
      <w:r>
        <w:rPr>
          <w:sz w:val="24"/>
        </w:rPr>
        <w:t>对每个输入的响应以及响应时间，包括数据转换、重命名以及数据传输操作。</w:t>
      </w:r>
    </w:p>
    <w:p>
      <w:pPr>
        <w:pStyle w:val="Normal"/>
        <w:numPr>
          <w:ilvl w:val="0"/>
          <w:numId w:val="5"/>
        </w:numPr>
        <w:spacing w:lineRule="auto" w:line="360"/>
        <w:ind w:left="0" w:firstLine="518"/>
        <w:rPr>
          <w:sz w:val="24"/>
        </w:rPr>
      </w:pPr>
      <w:r>
        <w:rPr>
          <w:sz w:val="24"/>
        </w:rPr>
        <w:t>软件单元运行期间的操作顺序和动态控制序列，包括：</w:t>
      </w:r>
    </w:p>
    <w:p>
      <w:pPr>
        <w:pStyle w:val="Normal"/>
        <w:numPr>
          <w:ilvl w:val="0"/>
          <w:numId w:val="7"/>
        </w:numPr>
        <w:spacing w:lineRule="auto" w:line="360"/>
        <w:ind w:left="694" w:hanging="0"/>
        <w:rPr>
          <w:sz w:val="24"/>
        </w:rPr>
      </w:pPr>
      <w:r>
        <w:rPr>
          <w:sz w:val="24"/>
        </w:rPr>
        <w:t>顺序控制的方法：</w:t>
      </w:r>
    </w:p>
    <w:p>
      <w:pPr>
        <w:pStyle w:val="Normal"/>
        <w:numPr>
          <w:ilvl w:val="0"/>
          <w:numId w:val="7"/>
        </w:numPr>
        <w:spacing w:lineRule="auto" w:line="360"/>
        <w:ind w:left="694" w:hanging="0"/>
        <w:rPr>
          <w:sz w:val="24"/>
        </w:rPr>
      </w:pPr>
      <w:r>
        <w:rPr>
          <w:sz w:val="24"/>
        </w:rPr>
        <w:t>该方法的逻辑和输入条件，例如时序变化、优先级分配等；</w:t>
      </w:r>
    </w:p>
    <w:p>
      <w:pPr>
        <w:pStyle w:val="Normal"/>
        <w:numPr>
          <w:ilvl w:val="0"/>
          <w:numId w:val="7"/>
        </w:numPr>
        <w:spacing w:lineRule="auto" w:line="360"/>
        <w:ind w:left="694" w:hanging="0"/>
        <w:rPr>
          <w:sz w:val="24"/>
        </w:rPr>
      </w:pPr>
      <w:r>
        <w:rPr>
          <w:sz w:val="24"/>
        </w:rPr>
        <w:t>进出内存的数据传输；</w:t>
      </w:r>
    </w:p>
    <w:p>
      <w:pPr>
        <w:pStyle w:val="Normal"/>
        <w:numPr>
          <w:ilvl w:val="0"/>
          <w:numId w:val="7"/>
        </w:numPr>
        <w:spacing w:lineRule="auto" w:line="360"/>
        <w:ind w:left="694" w:hanging="0"/>
        <w:rPr>
          <w:sz w:val="24"/>
        </w:rPr>
      </w:pPr>
      <w:r>
        <w:rPr>
          <w:sz w:val="24"/>
        </w:rPr>
        <w:t>对离散输入信号的感知，以及该软件单元内中断操作之间的时序关系</w:t>
      </w:r>
      <w:r>
        <w:rPr>
          <w:sz w:val="24"/>
          <w:lang w:eastAsia="zh-CN"/>
        </w:rPr>
        <w:t>；</w:t>
      </w:r>
    </w:p>
    <w:p>
      <w:pPr>
        <w:pStyle w:val="Normal"/>
        <w:numPr>
          <w:ilvl w:val="0"/>
          <w:numId w:val="5"/>
        </w:numPr>
        <w:spacing w:lineRule="auto" w:line="360"/>
        <w:ind w:left="0" w:firstLine="540"/>
        <w:rPr>
          <w:sz w:val="24"/>
        </w:rPr>
      </w:pPr>
      <w:r>
        <w:rPr>
          <w:sz w:val="24"/>
        </w:rPr>
        <w:t>异常和错误处理</w:t>
      </w:r>
      <w:r>
        <w:rPr>
          <w:sz w:val="24"/>
          <w:lang w:eastAsia="zh-CN"/>
        </w:rPr>
        <w:t>。</w:t>
      </w:r>
    </w:p>
    <w:p>
      <w:pPr>
        <w:pStyle w:val="Heading1"/>
        <w:spacing w:lineRule="auto" w:line="240" w:before="156" w:after="156"/>
        <w:rPr>
          <w:sz w:val="24"/>
        </w:rPr>
      </w:pPr>
      <w:bookmarkStart w:id="9" w:name="__RefHeading___Toc15758"/>
      <w:bookmarkEnd w:id="9"/>
      <w:r>
        <w:rPr>
          <w:rFonts w:ascii="黑体" w:hAnsi="黑体" w:eastAsia="黑体"/>
          <w:sz w:val="24"/>
          <w:szCs w:val="24"/>
        </w:rPr>
        <w:t>需求可追踪性</w:t>
      </w:r>
    </w:p>
    <w:p>
      <w:pPr>
        <w:pStyle w:val="Normal"/>
        <w:spacing w:lineRule="auto" w:line="360"/>
        <w:ind w:firstLine="360"/>
        <w:rPr>
          <w:sz w:val="24"/>
        </w:rPr>
      </w:pPr>
      <w:r>
        <w:rPr>
          <w:sz w:val="24"/>
        </w:rPr>
        <w:t>本章应描述：</w:t>
      </w:r>
    </w:p>
    <w:p>
      <w:pPr>
        <w:pStyle w:val="Normal"/>
        <w:numPr>
          <w:ilvl w:val="0"/>
          <w:numId w:val="6"/>
        </w:numPr>
        <w:spacing w:lineRule="auto" w:line="360"/>
        <w:ind w:left="0" w:firstLine="360"/>
        <w:rPr>
          <w:sz w:val="24"/>
        </w:rPr>
      </w:pPr>
      <w:r>
        <w:rPr>
          <w:sz w:val="24"/>
        </w:rPr>
        <w:t>从本文档所涉及的每个数据库或其他软件单元，到它所处理的系统需求或软件需求的可追踪性；</w:t>
      </w:r>
    </w:p>
    <w:p>
      <w:pPr>
        <w:pStyle w:val="Normal"/>
        <w:numPr>
          <w:ilvl w:val="0"/>
          <w:numId w:val="6"/>
        </w:numPr>
        <w:spacing w:lineRule="auto" w:line="360"/>
        <w:ind w:left="0" w:firstLine="360"/>
        <w:rPr>
          <w:sz w:val="24"/>
        </w:rPr>
      </w:pPr>
      <w:r>
        <w:rPr>
          <w:sz w:val="24"/>
        </w:rPr>
        <w:t>从已分配给本文档所涉及的数据库或其他软件单元的每个系统或软件需求到，数据库或软件单元的可追踪性</w:t>
      </w:r>
    </w:p>
    <w:p>
      <w:pPr>
        <w:pStyle w:val="Heading1"/>
        <w:spacing w:lineRule="auto" w:line="240" w:before="156" w:after="156"/>
        <w:rPr>
          <w:sz w:val="24"/>
        </w:rPr>
      </w:pPr>
      <w:bookmarkStart w:id="10" w:name="__RefHeading___Toc11277"/>
      <w:bookmarkEnd w:id="10"/>
      <w:r>
        <w:rPr>
          <w:rFonts w:ascii="黑体" w:hAnsi="黑体" w:eastAsia="黑体"/>
          <w:sz w:val="24"/>
          <w:szCs w:val="24"/>
        </w:rPr>
        <w:t>注释</w:t>
      </w:r>
    </w:p>
    <w:p>
      <w:pPr>
        <w:pStyle w:val="Normal"/>
        <w:spacing w:lineRule="auto" w:line="360"/>
        <w:ind w:firstLine="360"/>
        <w:rPr>
          <w:sz w:val="24"/>
        </w:rPr>
      </w:pPr>
      <w:r>
        <w:rPr>
          <w:sz w:val="24"/>
        </w:rPr>
        <w:t>本章应包括有助于了解文档的所有信息</w:t>
      </w:r>
      <w:r>
        <w:rPr>
          <w:sz w:val="24"/>
        </w:rPr>
        <w:t>(</w:t>
      </w:r>
      <w:r>
        <w:rPr>
          <w:sz w:val="24"/>
        </w:rPr>
        <w:t>例如：背景、术语、缩略语或公式</w:t>
      </w:r>
      <w:r>
        <w:rPr>
          <w:sz w:val="24"/>
        </w:rPr>
        <w:t>)</w:t>
      </w:r>
      <w:r>
        <w:rPr>
          <w:sz w:val="24"/>
        </w:rPr>
        <w:t>。</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宋体">
    <w:charset w:val="86"/>
    <w:family w:val="auto"/>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8">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szCs w:val="24"/>
        <w:rFonts w:ascii="黑体" w:hAnsi="黑体" w:eastAsia="黑体"/>
      </w:rPr>
    </w:lvl>
    <w:lvl w:ilvl="1">
      <w:start w:val="1"/>
      <w:pStyle w:val="Heading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Heading3"/>
      <w:numFmt w:val="decimal"/>
      <w:suff w:val="space"/>
      <w:lvlText w:val="%1.%2.%3 "/>
      <w:lvlJc w:val="left"/>
      <w:pPr>
        <w:tabs>
          <w:tab w:val="num" w:pos="0"/>
        </w:tabs>
        <w:ind w:left="525" w:hanging="525"/>
      </w:pPr>
      <w:rPr>
        <w:sz w:val="24"/>
        <w:i w:val="false"/>
        <w:b w:val="false"/>
        <w:rFonts w:ascii="黑体" w:hAnsi="黑体" w:eastAsia="黑体"/>
      </w:rPr>
    </w:lvl>
    <w:lvl w:ilvl="3">
      <w:start w:val="1"/>
      <w:pStyle w:val="Heading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Heading5"/>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suff w:val="space"/>
      <w:lvlText w:val="%1)"/>
      <w:lvlJc w:val="left"/>
      <w:pPr>
        <w:tabs>
          <w:tab w:val="num" w:pos="0"/>
        </w:tabs>
        <w:ind w:left="0" w:hanging="0"/>
      </w:pPr>
    </w:lvl>
  </w:abstractNum>
  <w:abstractNum w:abstractNumId="3">
    <w:lvl w:ilvl="0">
      <w:start w:val="1"/>
      <w:numFmt w:val="lowerLetter"/>
      <w:suff w:val="space"/>
      <w:lvlText w:val="%1)"/>
      <w:lvlJc w:val="left"/>
      <w:pPr>
        <w:tabs>
          <w:tab w:val="num" w:pos="0"/>
        </w:tabs>
        <w:ind w:left="0" w:hanging="0"/>
      </w:pPr>
    </w:lvl>
  </w:abstractNum>
  <w:abstractNum w:abstractNumId="4">
    <w:lvl w:ilvl="0">
      <w:start w:val="1"/>
      <w:numFmt w:val="lowerLetter"/>
      <w:suff w:val="nothing"/>
      <w:lvlText w:val="%1．"/>
      <w:lvlJc w:val="left"/>
      <w:pPr>
        <w:tabs>
          <w:tab w:val="num" w:pos="0"/>
        </w:tabs>
        <w:ind w:left="0" w:hanging="0"/>
      </w:pPr>
    </w:lvl>
  </w:abstractNum>
  <w:abstractNum w:abstractNumId="5">
    <w:lvl w:ilvl="0">
      <w:start w:val="1"/>
      <w:numFmt w:val="decimal"/>
      <w:suff w:val="space"/>
      <w:lvlText w:val="%1)"/>
      <w:lvlJc w:val="left"/>
      <w:pPr>
        <w:tabs>
          <w:tab w:val="num" w:pos="0"/>
        </w:tabs>
        <w:ind w:left="0" w:hanging="0"/>
      </w:pPr>
    </w:lvl>
  </w:abstractNum>
  <w:abstractNum w:abstractNumId="6">
    <w:lvl w:ilvl="0">
      <w:start w:val="1"/>
      <w:numFmt w:val="lowerLetter"/>
      <w:suff w:val="space"/>
      <w:lvlText w:val="%1)"/>
      <w:lvlJc w:val="left"/>
      <w:pPr>
        <w:tabs>
          <w:tab w:val="num" w:pos="0"/>
        </w:tabs>
        <w:ind w:left="0" w:hanging="0"/>
      </w:pPr>
    </w:lvl>
  </w:abstractNum>
  <w:abstractNum w:abstractNumId="7">
    <w:lvl w:ilvl="0">
      <w:start w:val="1"/>
      <w:numFmt w:val="lowerLetter"/>
      <w:suff w:val="nothing"/>
      <w:lvlText w:val="%1．"/>
      <w:lvlJc w:val="left"/>
      <w:pPr>
        <w:tabs>
          <w:tab w:val="num" w:pos="0"/>
        </w:tabs>
        <w:ind w:left="694" w:hanging="0"/>
      </w:pPr>
    </w:lvl>
  </w:abstractNum>
  <w:abstractNum w:abstractNumId="8">
    <w:lvl w:ilvl="0">
      <w:start w:val="1"/>
      <w:numFmt w:val="lowerLetter"/>
      <w:suff w:val="nothing"/>
      <w:lvlText w:val="%1．"/>
      <w:lvlJc w:val="left"/>
      <w:pPr>
        <w:tabs>
          <w:tab w:val="num" w:pos="0"/>
        </w:tabs>
        <w:ind w:left="0" w:hanging="0"/>
      </w:pPr>
    </w:lvl>
  </w:abstractNum>
  <w:abstractNum w:abstractNumId="9">
    <w:lvl w:ilvl="0">
      <w:start w:val="4"/>
      <w:numFmt w:val="decimal"/>
      <w:lvlText w:val="%1."/>
      <w:lvlJc w:val="left"/>
      <w:pPr>
        <w:tabs>
          <w:tab w:val="num" w:pos="0"/>
        </w:tabs>
        <w:ind w:left="0" w:hanging="0"/>
      </w:pPr>
    </w:lvl>
  </w:abstractNum>
  <w:abstractNum w:abstractNumId="10">
    <w:lvl w:ilvl="0">
      <w:start w:val="1"/>
      <w:numFmt w:val="decimal"/>
      <w:suff w:val="space"/>
      <w:lvlText w:val="%1)"/>
      <w:lvlJc w:val="left"/>
      <w:pPr>
        <w:tabs>
          <w:tab w:val="num" w:pos="0"/>
        </w:tabs>
        <w:ind w:left="0" w:hanging="0"/>
      </w:pPr>
    </w:lvl>
  </w:abstractNum>
  <w:abstractNum w:abstractNumId="11">
    <w:lvl w:ilvl="0">
      <w:start w:val="1"/>
      <w:numFmt w:val="lowerLetter"/>
      <w:lvlText w:val="%1)"/>
      <w:lvlJc w:val="left"/>
      <w:pPr>
        <w:tabs>
          <w:tab w:val="num" w:pos="420"/>
        </w:tabs>
        <w:ind w:left="345" w:hanging="345"/>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Arial" w:hAnsi="Arial" w:eastAsia="黑体" w:cs="Arial"/>
      <w:b/>
      <w:bCs/>
      <w:sz w:val="28"/>
      <w:szCs w:val="28"/>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rPr>
  </w:style>
  <w:style w:type="character" w:styleId="WW8Num7z0">
    <w:name w:val="WW8Num7z0"/>
    <w:qFormat/>
    <w:rPr>
      <w:rFonts w:ascii="黑体" w:hAnsi="黑体" w:eastAsia="黑体"/>
      <w:b/>
      <w:i w:val="false"/>
      <w:sz w:val="24"/>
      <w:szCs w:val="24"/>
    </w:rPr>
  </w:style>
  <w:style w:type="character" w:styleId="WW8Num7z1">
    <w:name w:val="WW8Num7z1"/>
    <w:qFormat/>
    <w:rPr>
      <w:rFonts w:ascii="黑体" w:hAnsi="黑体" w:eastAsia="黑体"/>
      <w:b/>
      <w:i w:val="false"/>
      <w:strike w:val="false"/>
      <w:dstrike w:val="false"/>
      <w:sz w:val="24"/>
      <w:u w:val="none"/>
    </w:rPr>
  </w:style>
  <w:style w:type="character" w:styleId="WW8Num7z2">
    <w:name w:val="WW8Num7z2"/>
    <w:qFormat/>
    <w:rPr>
      <w:rFonts w:ascii="黑体" w:hAnsi="黑体" w:eastAsia="黑体"/>
      <w:b w:val="false"/>
      <w:i w:val="false"/>
      <w:sz w:val="24"/>
    </w:rPr>
  </w:style>
  <w:style w:type="character" w:styleId="WW8Num7z3">
    <w:name w:val="WW8Num7z3"/>
    <w:qFormat/>
    <w:rPr>
      <w:rFonts w:ascii="黑体" w:hAnsi="黑体" w:eastAsia="黑体"/>
      <w:b/>
      <w:i w:val="false"/>
      <w:spacing w:val="0"/>
      <w:kern w:val="2"/>
      <w:sz w:val="24"/>
    </w:rPr>
  </w:style>
  <w:style w:type="character" w:styleId="WW8Num7z4">
    <w:name w:val="WW8Num7z4"/>
    <w:qFormat/>
    <w:rPr>
      <w:rFonts w:ascii="黑体" w:hAnsi="黑体" w:eastAsia="黑体"/>
      <w:b/>
      <w:i w:val="false"/>
      <w:sz w:val="24"/>
    </w:rPr>
  </w:style>
  <w:style w:type="character" w:styleId="WW8Num7z5">
    <w:name w:val="WW8Num7z5"/>
    <w:qFormat/>
    <w:rPr/>
  </w:style>
  <w:style w:type="character" w:styleId="WW8Num11z0">
    <w:name w:val="WW8Num11z0"/>
    <w:qFormat/>
    <w:rPr/>
  </w:style>
  <w:style w:type="character" w:styleId="Style9">
    <w:name w:val="默认段落字体"/>
    <w:qFormat/>
    <w:rPr/>
  </w:style>
  <w:style w:type="character" w:styleId="PageNumber">
    <w:name w:val="Page Number"/>
    <w:basedOn w:val="Style9"/>
    <w:rPr/>
  </w:style>
  <w:style w:type="character" w:styleId="Char1">
    <w:name w:val="正文格式 Char1"/>
    <w:basedOn w:val="Style9"/>
    <w:qFormat/>
    <w:rPr>
      <w:rFonts w:ascii="Times;Times New Roman" w:hAnsi="Times;Times New Roman" w:eastAsia="宋体" w:cs="Times;Times New Roman"/>
      <w:kern w:val="2"/>
      <w:sz w:val="24"/>
      <w:lang w:val="en-US" w:eastAsia="zh-CN" w:bidi="ar-SA"/>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0">
    <w:name w:val="正文缩进"/>
    <w:basedOn w:val="Normal"/>
    <w:qFormat/>
    <w:pPr>
      <w:spacing w:lineRule="auto" w:line="300"/>
      <w:ind w:firstLine="482"/>
    </w:pPr>
    <w:rPr>
      <w:rFonts w:ascii="宋体" w:hAnsi="宋体"/>
      <w:kern w:val="0"/>
      <w:sz w:val="24"/>
      <w:szCs w:val="20"/>
    </w:rPr>
  </w:style>
  <w:style w:type="paragraph" w:styleId="Style11">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12">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3">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4">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5">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6">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8640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2010-06-30T17:55:00Z</dcterms:created>
  <dc:creator>番茄花园</dc:creator>
  <dc:description/>
  <dc:language>en-US</dc:language>
  <cp:lastModifiedBy>技术研发部-张新亮-17710693680</cp:lastModifiedBy>
  <dcterms:modified xsi:type="dcterms:W3CDTF">2024-03-22T10:29:00Z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5FB7963BECF34DD9B2B9E2BA3C51B2C3_12</vt:lpwstr>
  </property>
  <property fmtid="{D5CDD505-2E9C-101B-9397-08002B2CF9AE}" pid="3" name="KSOProductBuildVer">
    <vt:lpwstr>2052-12.1.0.16412</vt:lpwstr>
  </property>
  <property fmtid="{D5CDD505-2E9C-101B-9397-08002B2CF9AE}" pid="4" name="commondata">
    <vt:lpwstr>commondata</vt:lpwstr>
  </property>
</Properties>
</file>