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1"/>
        <w:spacing w:before="312" w:after="0"/>
        <w:jc w:val="center"/>
        <w:rPr>
          <w:rFonts w:ascii="黑体" w:hAnsi="黑体" w:eastAsia="黑体"/>
          <w:sz w:val="44"/>
          <w:szCs w:val="44"/>
        </w:rPr>
      </w:pPr>
      <w:r>
        <w:rPr>
          <w:rFonts w:eastAsia="黑体" w:ascii="黑体" w:hAnsi="黑体"/>
          <w:sz w:val="44"/>
          <w:szCs w:val="44"/>
        </w:rPr>
      </w:r>
    </w:p>
    <w:tbl>
      <w:tblPr>
        <w:tblW w:w="9019" w:type="dxa"/>
        <w:jc w:val="left"/>
        <w:tblInd w:w="-24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9"/>
      </w:tblGrid>
      <w:tr>
        <w:trPr>
          <w:trHeight w:val="1707" w:hRule="atLeast"/>
        </w:trPr>
        <w:tc>
          <w:tcPr>
            <w:tcW w:w="901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1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right"/>
              <w:textAlignment w:val="auto"/>
              <w:rPr>
                <w:rFonts w:ascii="宋体" w:hAnsi="宋体" w:eastAsia="宋体" w:cs="宋体"/>
                <w:b w:val="false"/>
                <w:b w:val="false"/>
                <w:bCs w:val="false"/>
                <w:sz w:val="32"/>
                <w:szCs w:val="32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密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级：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内部</w:t>
            </w:r>
          </w:p>
          <w:p>
            <w:pPr>
              <w:pStyle w:val="1"/>
              <w:keepNext w:val="false"/>
              <w:keepLines w:val="false"/>
              <w:widowControl w:val="false"/>
              <w:kinsoku w:val="true"/>
              <w:overflowPunct w:val="true"/>
              <w:autoSpaceDE w:val="true"/>
              <w:bidi w:val="0"/>
              <w:snapToGrid w:val="false"/>
              <w:spacing w:lineRule="auto" w:line="360"/>
              <w:jc w:val="right"/>
              <w:textAlignment w:val="auto"/>
              <w:rPr>
                <w:rFonts w:ascii="宋体" w:hAnsi="宋体" w:eastAsia="宋体" w:cs="宋体"/>
                <w:b w:val="false"/>
                <w:b w:val="false"/>
                <w:bCs w:val="false"/>
                <w:sz w:val="32"/>
                <w:szCs w:val="32"/>
                <w:lang w:val="en-US" w:eastAsia="zh-CN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>阶  段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</w:rPr>
              <w:t>：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     </w:t>
            </w:r>
          </w:p>
          <w:p>
            <w:pPr>
              <w:pStyle w:val="1"/>
              <w:spacing w:before="312" w:after="0"/>
              <w:jc w:val="right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版  次： </w:t>
            </w:r>
            <w:r>
              <w:rPr>
                <w:rFonts w:eastAsia="宋体" w:cs="宋体" w:ascii="宋体" w:hAnsi="宋体"/>
                <w:b w:val="false"/>
                <w:bCs w:val="false"/>
                <w:sz w:val="32"/>
                <w:szCs w:val="32"/>
                <w:lang w:val="en-US" w:eastAsia="zh-CN"/>
              </w:rPr>
              <w:t xml:space="preserve">A </w:t>
            </w:r>
            <w:r>
              <w:rPr>
                <w:rFonts w:ascii="宋体" w:hAnsi="宋体" w:cs="宋体"/>
                <w:b w:val="false"/>
                <w:bCs w:val="false"/>
                <w:sz w:val="32"/>
                <w:szCs w:val="32"/>
                <w:lang w:val="en-US" w:eastAsia="zh-CN"/>
              </w:rPr>
              <w:t>版</w:t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eastAsia="黑体" w:ascii="黑体" w:hAnsi="黑体"/>
                <w:sz w:val="44"/>
                <w:szCs w:val="44"/>
              </w:rPr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eastAsia="黑体" w:ascii="黑体" w:hAnsi="黑体"/>
                <w:sz w:val="44"/>
                <w:szCs w:val="44"/>
              </w:rPr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外部型号</w:t>
            </w:r>
            <w:r>
              <w:rPr>
                <w:rFonts w:eastAsia="黑体" w:ascii="黑体" w:hAnsi="黑体"/>
                <w:sz w:val="44"/>
                <w:szCs w:val="44"/>
              </w:rPr>
              <w:t>+</w:t>
            </w:r>
            <w:r>
              <w:rPr>
                <w:rFonts w:ascii="黑体" w:hAnsi="黑体" w:eastAsia="黑体"/>
                <w:sz w:val="44"/>
                <w:szCs w:val="44"/>
              </w:rPr>
              <w:t>产品名称</w:t>
            </w:r>
          </w:p>
          <w:p>
            <w:pPr>
              <w:pStyle w:val="1"/>
              <w:spacing w:before="312" w:after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软件测试计划</w:t>
            </w:r>
          </w:p>
        </w:tc>
      </w:tr>
      <w:tr>
        <w:trPr>
          <w:trHeight w:val="6854" w:hRule="atLeast"/>
        </w:trPr>
        <w:tc>
          <w:tcPr>
            <w:tcW w:w="901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1"/>
              <w:spacing w:lineRule="auto" w:line="480"/>
              <w:ind w:left="0" w:hanging="0"/>
              <w:jc w:val="center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sz w:val="32"/>
                <w:szCs w:val="32"/>
                <w:lang w:val="en-US" w:eastAsia="zh-CN"/>
              </w:rPr>
              <w:t>产品型号</w:t>
            </w:r>
            <w:r>
              <w:rPr>
                <w:sz w:val="32"/>
                <w:szCs w:val="32"/>
                <w:lang w:val="en-US" w:eastAsia="zh-CN"/>
              </w:rPr>
              <w:t>-XXXX</w:t>
            </w:r>
          </w:p>
          <w:p>
            <w:pPr>
              <w:pStyle w:val="1"/>
              <w:spacing w:lineRule="auto" w:line="480"/>
              <w:ind w:left="0" w:hanging="0"/>
              <w:jc w:val="center"/>
              <w:rPr>
                <w:rFonts w:eastAsia="宋体"/>
                <w:sz w:val="32"/>
                <w:szCs w:val="32"/>
                <w:lang w:val="en-US" w:eastAsia="zh-CN"/>
              </w:rPr>
            </w:pPr>
            <w:r>
              <w:rPr>
                <w:rFonts w:eastAsia="宋体"/>
                <w:sz w:val="32"/>
                <w:szCs w:val="32"/>
                <w:lang w:val="en-US" w:eastAsia="zh-CN"/>
              </w:rPr>
            </w:r>
          </w:p>
          <w:p>
            <w:pPr>
              <w:pStyle w:val="1"/>
              <w:spacing w:lineRule="auto" w:line="480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  <w:lang w:val="en-US" w:eastAsia="zh-CN"/>
              </w:rPr>
              <w:t>共</w:t>
            </w:r>
            <w:r>
              <w:rPr>
                <w:sz w:val="32"/>
                <w:szCs w:val="32"/>
                <w:lang w:val="en-US" w:eastAsia="zh-CN"/>
              </w:rPr>
              <w:t>XX</w:t>
            </w:r>
            <w:r>
              <w:rPr>
                <w:sz w:val="32"/>
                <w:szCs w:val="32"/>
                <w:lang w:val="en-US" w:eastAsia="zh-CN"/>
              </w:rPr>
              <w:t>页</w:t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1"/>
              <w:spacing w:lineRule="auto" w:line="480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</w:r>
          </w:p>
          <w:p>
            <w:pPr>
              <w:pStyle w:val="Style14"/>
              <w:ind w:left="0" w:hanging="0"/>
              <w:jc w:val="center"/>
              <w:rPr>
                <w:szCs w:val="32"/>
              </w:rPr>
            </w:pPr>
            <w:r>
              <w:rPr>
                <w:szCs w:val="32"/>
              </w:rPr>
              <w:t>XXXXXXXXXX</w:t>
            </w:r>
          </w:p>
          <w:p>
            <w:pPr>
              <w:pStyle w:val="Style14"/>
              <w:ind w:left="0" w:hanging="0"/>
              <w:jc w:val="center"/>
              <w:rPr>
                <w:szCs w:val="32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textInput/>
                </w:ffData>
              </w:fldChar>
            </w:r>
            <w:r>
              <w:rPr>
                <w:szCs w:val="32"/>
              </w:rPr>
              <w:instrText xml:space="preserve"> FORMTEXT </w:instrText>
            </w:r>
            <w:r>
              <w:rPr>
                <w:szCs w:val="32"/>
              </w:rPr>
            </w:r>
            <w:r>
              <w:rPr>
                <w:szCs w:val="32"/>
              </w:rPr>
              <w:fldChar w:fldCharType="separate"/>
            </w:r>
            <w:r>
              <w:rPr>
                <w:szCs w:val="32"/>
              </w:rPr>
              <w:t>XXXX</w:t>
            </w:r>
            <w:r>
              <w:rPr>
                <w:szCs w:val="32"/>
              </w:rPr>
              <w:t>年</w:t>
            </w:r>
            <w:r>
              <w:rPr>
                <w:szCs w:val="32"/>
              </w:rPr>
              <w:t>XX</w:t>
            </w:r>
            <w:r>
              <w:rPr>
                <w:szCs w:val="32"/>
              </w:rPr>
              <w:t>月</w:t>
            </w:r>
            <w:r>
              <w:rPr>
                <w:szCs w:val="32"/>
              </w:rPr>
              <w:t>XX</w:t>
            </w:r>
            <w:r>
              <w:rPr>
                <w:szCs w:val="32"/>
              </w:rPr>
              <w:t>日</w:t>
            </w:r>
            <w:r>
              <w:rPr>
                <w:szCs w:val="32"/>
              </w:rPr>
            </w:r>
            <w:r>
              <w:rPr>
                <w:szCs w:val="32"/>
              </w:rPr>
              <w:fldChar w:fldCharType="end"/>
            </w:r>
          </w:p>
          <w:p>
            <w:pPr>
              <w:pStyle w:val="Style14"/>
              <w:ind w:left="0" w:hanging="0"/>
              <w:jc w:val="center"/>
              <w:rPr>
                <w:szCs w:val="32"/>
              </w:rPr>
            </w:pPr>
            <w:r>
              <w:rPr>
                <w:szCs w:val="32"/>
              </w:rPr>
            </w:r>
          </w:p>
        </w:tc>
      </w:tr>
      <w:tr>
        <w:trPr>
          <w:trHeight w:val="1454" w:hRule="atLeast"/>
        </w:trPr>
        <w:tc>
          <w:tcPr>
            <w:tcW w:w="901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ind w:hanging="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</w:tr>
      <w:tr>
        <w:trPr>
          <w:trHeight w:val="1502" w:hRule="atLeast"/>
        </w:trPr>
        <w:tc>
          <w:tcPr>
            <w:tcW w:w="9019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1"/>
              <w:spacing w:before="312" w:after="0"/>
              <w:ind w:left="210" w:right="210" w:hanging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外部型号</w:t>
            </w:r>
            <w:r>
              <w:rPr>
                <w:rFonts w:eastAsia="黑体" w:ascii="黑体" w:hAnsi="黑体"/>
                <w:sz w:val="44"/>
                <w:szCs w:val="44"/>
              </w:rPr>
              <w:t>+</w:t>
            </w:r>
            <w:r>
              <w:rPr>
                <w:rFonts w:ascii="黑体" w:hAnsi="黑体" w:eastAsia="黑体"/>
                <w:sz w:val="44"/>
                <w:szCs w:val="44"/>
              </w:rPr>
              <w:t>产品名称</w:t>
            </w:r>
          </w:p>
          <w:p>
            <w:pPr>
              <w:pStyle w:val="1"/>
              <w:spacing w:before="312" w:after="0"/>
              <w:ind w:left="210" w:right="210" w:hanging="0"/>
              <w:jc w:val="center"/>
              <w:rPr>
                <w:rFonts w:ascii="黑体" w:hAnsi="黑体" w:eastAsia="黑体"/>
                <w:sz w:val="44"/>
                <w:szCs w:val="44"/>
              </w:rPr>
            </w:pPr>
            <w:r>
              <w:rPr>
                <w:rFonts w:ascii="黑体" w:hAnsi="黑体" w:eastAsia="黑体"/>
                <w:sz w:val="44"/>
                <w:szCs w:val="44"/>
              </w:rPr>
              <w:t>软件测试计划</w:t>
            </w:r>
          </w:p>
        </w:tc>
      </w:tr>
      <w:tr>
        <w:trPr>
          <w:trHeight w:val="6240" w:hRule="atLeast"/>
        </w:trPr>
        <w:tc>
          <w:tcPr>
            <w:tcW w:w="90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4"/>
              <w:ind w:left="2438" w:hanging="2438"/>
              <w:jc w:val="center"/>
              <w:rPr>
                <w:rFonts w:ascii="Times New Roman" w:hAnsi="Times New Roman"/>
              </w:rPr>
            </w:pPr>
            <w:r>
              <w:rPr>
                <w:sz w:val="32"/>
                <w:szCs w:val="32"/>
                <w:lang w:val="en-US" w:eastAsia="zh-CN"/>
              </w:rPr>
              <w:t>产品型号</w:t>
            </w:r>
            <w:r>
              <w:rPr>
                <w:sz w:val="32"/>
                <w:szCs w:val="32"/>
                <w:lang w:val="en-US" w:eastAsia="zh-CN"/>
              </w:rPr>
              <w:t>-XXXX</w:t>
            </w:r>
          </w:p>
          <w:p>
            <w:pPr>
              <w:pStyle w:val="Style1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  <w:p>
            <w:pPr>
              <w:pStyle w:val="Style14"/>
              <w:ind w:left="2438" w:hanging="1378"/>
              <w:rPr>
                <w:u w:val="single"/>
              </w:rPr>
            </w:pPr>
            <w:r>
              <w:rPr/>
              <w:t>编制：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4"/>
              <w:ind w:left="2438" w:hanging="1378"/>
              <w:rPr/>
            </w:pPr>
            <w:r>
              <w:rPr/>
              <w:t>校对：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4"/>
              <w:ind w:left="2438" w:hanging="1378"/>
              <w:rPr/>
            </w:pPr>
            <w:r>
              <w:rPr/>
              <w:t>审核：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4"/>
              <w:ind w:left="2438" w:hanging="1378"/>
              <w:rPr/>
            </w:pPr>
            <w:r>
              <w:rPr/>
              <w:t>标审：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4"/>
              <w:ind w:left="2438" w:hanging="1378"/>
              <w:rPr/>
            </w:pPr>
            <w:r>
              <w:rPr/>
              <w:t>审定：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  <w:p>
            <w:pPr>
              <w:pStyle w:val="Style14"/>
              <w:ind w:left="2438" w:hanging="1398"/>
              <w:rPr>
                <w:rFonts w:ascii="Times New Roman" w:hAnsi="Times New Roman"/>
              </w:rPr>
            </w:pPr>
            <w:r>
              <w:rPr/>
              <w:t>批准：</w:t>
            </w:r>
            <w:r>
              <w:rPr>
                <w:u w:val="single"/>
                <w:lang w:val="en-US" w:eastAsia="zh-CN"/>
              </w:rPr>
              <w:t xml:space="preserve">          </w:t>
            </w:r>
            <w:r>
              <w:rPr>
                <w:u w:val="single"/>
              </w:rPr>
              <w:tab/>
              <w:tab/>
            </w:r>
            <w:r>
              <w:rPr/>
              <w:t>日期：</w:t>
            </w:r>
            <w:r>
              <w:rPr>
                <w:u w:val="single"/>
                <w:lang w:val="en-US" w:eastAsia="zh-CN"/>
              </w:rPr>
              <w:t xml:space="preserve">             </w:t>
            </w:r>
            <w:r>
              <w:rPr>
                <w:u w:val="single"/>
              </w:rPr>
              <w:tab/>
            </w:r>
          </w:p>
        </w:tc>
      </w:tr>
    </w:tbl>
    <w:p>
      <w:pPr>
        <w:pStyle w:val="1"/>
        <w:ind w:left="210" w:right="210" w:hanging="0"/>
        <w:rPr/>
      </w:pPr>
      <w:r>
        <w:rPr/>
      </w:r>
    </w:p>
    <w:p>
      <w:pPr>
        <w:pStyle w:val="1"/>
        <w:ind w:left="210" w:right="210" w:hanging="0"/>
        <w:rPr/>
      </w:pPr>
      <w:r>
        <w:rPr/>
      </w:r>
    </w:p>
    <w:p>
      <w:pPr>
        <w:pStyle w:val="1"/>
        <w:ind w:left="210" w:right="210" w:hanging="0"/>
        <w:rPr/>
      </w:pPr>
      <w:r>
        <w:rPr/>
      </w:r>
    </w:p>
    <w:p>
      <w:pPr>
        <w:pStyle w:val="1"/>
        <w:ind w:left="210" w:right="210" w:hanging="0"/>
        <w:rPr/>
      </w:pPr>
      <w:r>
        <w:rPr/>
      </w:r>
    </w:p>
    <w:p>
      <w:pPr>
        <w:pStyle w:val="Normal"/>
        <w:jc w:val="center"/>
        <w:rPr>
          <w:rFonts w:ascii="黑体" w:hAnsi="黑体" w:eastAsia="黑体" w:cs="黑体"/>
          <w:sz w:val="32"/>
          <w:szCs w:val="32"/>
        </w:rPr>
      </w:pPr>
      <w:r>
        <w:rPr>
          <w:rFonts w:ascii="黑体" w:hAnsi="黑体" w:cs="黑体" w:eastAsia="黑体"/>
          <w:sz w:val="32"/>
          <w:szCs w:val="32"/>
        </w:rPr>
        <w:t>文件更改记录表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1"/>
        <w:gridCol w:w="990"/>
        <w:gridCol w:w="851"/>
        <w:gridCol w:w="851"/>
        <w:gridCol w:w="851"/>
        <w:gridCol w:w="1985"/>
        <w:gridCol w:w="1134"/>
        <w:gridCol w:w="1134"/>
      </w:tblGrid>
      <w:tr>
        <w:trPr>
          <w:trHeight w:val="567" w:hRule="exact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序号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版本号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页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次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标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记</w:t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处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数</w:t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更改文件号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更改者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  <w:t>日</w:t>
            </w:r>
            <w:r>
              <w:rPr>
                <w:rFonts w:cs="Times New Roman" w:eastAsia="Times New Roman"/>
                <w:szCs w:val="21"/>
              </w:rPr>
              <w:t xml:space="preserve"> </w:t>
            </w:r>
            <w:r>
              <w:rPr>
                <w:rFonts w:cs="宋体"/>
                <w:szCs w:val="21"/>
              </w:rPr>
              <w:t>期</w:t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  <w:tr>
        <w:trPr>
          <w:trHeight w:val="567" w:hRule="exact"/>
        </w:trPr>
        <w:tc>
          <w:tcPr>
            <w:tcW w:w="71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990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851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9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  <w:tc>
          <w:tcPr>
            <w:tcW w:w="1134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cs="宋体"/>
                <w:szCs w:val="21"/>
              </w:rPr>
            </w:pPr>
            <w:r>
              <w:rPr>
                <w:rFonts w:cs="宋体"/>
                <w:szCs w:val="21"/>
              </w:rPr>
            </w:r>
          </w:p>
        </w:tc>
      </w:tr>
    </w:tbl>
    <w:p>
      <w:pPr>
        <w:pStyle w:val="1"/>
        <w:rPr/>
      </w:pPr>
      <w:r>
        <w:rPr/>
      </w:r>
    </w:p>
    <w:p>
      <w:pPr>
        <w:pStyle w:val="1"/>
        <w:ind w:left="210" w:right="210" w:hanging="0"/>
        <w:rPr/>
      </w:pPr>
      <w:r>
        <w:rPr/>
      </w:r>
    </w:p>
    <w:p>
      <w:pPr>
        <w:sectPr>
          <w:type w:val="nextPage"/>
          <w:pgSz w:w="11906" w:h="16838"/>
          <w:pgMar w:left="1800" w:right="1800" w:gutter="0" w:header="0" w:top="1440" w:footer="0" w:bottom="1440"/>
          <w:pgNumType w:fmt="decimal"/>
          <w:formProt w:val="false"/>
          <w:textDirection w:val="lrTb"/>
          <w:docGrid w:type="lines" w:linePitch="312" w:charSpace="0"/>
        </w:sectPr>
        <w:pStyle w:val="1"/>
        <w:ind w:left="210" w:right="210" w:hanging="0"/>
        <w:rPr/>
      </w:pPr>
      <w:r>
        <w:rPr/>
      </w:r>
    </w:p>
    <w:p>
      <w:pPr>
        <w:pStyle w:val="Style17"/>
        <w:rPr/>
      </w:pPr>
      <w:r>
        <w:rPr/>
        <w:t>目录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Contents1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r>
            <w:fldChar w:fldCharType="begin"/>
          </w:r>
          <w:r>
            <w:rPr>
              <w:rStyle w:val="IndexLink"/>
              <w:lang w:val="en-US" w:eastAsia="en-US"/>
            </w:rPr>
            <w:instrText xml:space="preserve"> TOC \o "1-3" \h \z \u </w:instrText>
          </w:r>
          <w:r>
            <w:rPr>
              <w:rStyle w:val="IndexLink"/>
              <w:lang w:val="en-US" w:eastAsia="en-US"/>
            </w:rPr>
            <w:fldChar w:fldCharType="separate"/>
          </w:r>
          <w:hyperlink w:anchor="__RefHeading___Toc58519426">
            <w:r>
              <w:rPr>
                <w:rStyle w:val="IndexLink"/>
                <w:lang w:val="en-US" w:eastAsia="en-US"/>
              </w:rPr>
              <w:t xml:space="preserve">1 </w:t>
            </w:r>
            <w:r>
              <w:rPr>
                <w:rStyle w:val="IndexLink"/>
                <w:lang w:val="en-US" w:eastAsia="en-US"/>
              </w:rPr>
              <w:t>范围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27">
            <w:r>
              <w:rPr>
                <w:rStyle w:val="IndexLink"/>
                <w:rFonts w:ascii="黑体" w:hAnsi="黑体"/>
                <w:lang w:val="en-US" w:eastAsia="en-US"/>
              </w:rPr>
              <w:t>1.1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标识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28">
            <w:r>
              <w:rPr>
                <w:rStyle w:val="IndexLink"/>
                <w:rFonts w:ascii="黑体" w:hAnsi="黑体"/>
                <w:lang w:val="en-US" w:eastAsia="en-US"/>
              </w:rPr>
              <w:t>1.2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系统概述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29">
            <w:r>
              <w:rPr>
                <w:rStyle w:val="IndexLink"/>
                <w:rFonts w:ascii="黑体" w:hAnsi="黑体"/>
                <w:lang w:val="en-US" w:eastAsia="en-US"/>
              </w:rPr>
              <w:t>1.3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文档概述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30">
            <w:r>
              <w:rPr>
                <w:rStyle w:val="IndexLink"/>
                <w:rFonts w:ascii="黑体" w:hAnsi="黑体"/>
                <w:lang w:val="en-US" w:eastAsia="en-US"/>
              </w:rPr>
              <w:t>1.4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与其他计划的关系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1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31">
            <w:r>
              <w:rPr>
                <w:rStyle w:val="IndexLink"/>
                <w:lang w:val="en-US" w:eastAsia="en-US"/>
              </w:rPr>
              <w:t xml:space="preserve">2 </w:t>
            </w:r>
            <w:r>
              <w:rPr>
                <w:rStyle w:val="IndexLink"/>
                <w:lang w:val="en-US" w:eastAsia="en-US"/>
              </w:rPr>
              <w:t>引用文档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1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32">
            <w:r>
              <w:rPr>
                <w:rStyle w:val="IndexLink"/>
                <w:lang w:val="en-US" w:eastAsia="en-US"/>
              </w:rPr>
              <w:t xml:space="preserve">3 </w:t>
            </w:r>
            <w:r>
              <w:rPr>
                <w:rStyle w:val="IndexLink"/>
                <w:lang w:val="en-US" w:eastAsia="en-US"/>
              </w:rPr>
              <w:t>测试依据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1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33">
            <w:r>
              <w:rPr>
                <w:rStyle w:val="IndexLink"/>
                <w:lang w:val="en-US" w:eastAsia="en-US"/>
              </w:rPr>
              <w:t xml:space="preserve">4 </w:t>
            </w:r>
            <w:r>
              <w:rPr>
                <w:rStyle w:val="IndexLink"/>
                <w:lang w:val="en-US" w:eastAsia="en-US"/>
              </w:rPr>
              <w:t>软件测试环境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34">
            <w:r>
              <w:rPr>
                <w:rStyle w:val="IndexLink"/>
                <w:lang w:val="en-US" w:eastAsia="en-US"/>
              </w:rPr>
              <w:t>4.X(</w:t>
            </w:r>
            <w:r>
              <w:rPr>
                <w:rStyle w:val="IndexLink"/>
                <w:lang w:val="en-US" w:eastAsia="en-US"/>
              </w:rPr>
              <w:t>测试现场名称</w:t>
            </w:r>
            <w:r>
              <w:rPr>
                <w:rStyle w:val="IndexLink"/>
                <w:lang w:val="en-US" w:eastAsia="en-US"/>
              </w:rPr>
              <w:t>)</w:t>
              <w:tab/>
              <w:t>3</w:t>
            </w:r>
          </w:hyperlink>
        </w:p>
        <w:p>
          <w:pPr>
            <w:pStyle w:val="Contents3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35">
            <w:r>
              <w:rPr>
                <w:rStyle w:val="IndexLink"/>
                <w:rFonts w:eastAsia="黑体" w:ascii="黑体" w:hAnsi="黑体"/>
                <w:lang w:val="en-US" w:eastAsia="en-US"/>
              </w:rPr>
              <w:t>4.X.1</w:t>
            </w:r>
            <w:r>
              <w:rPr>
                <w:rStyle w:val="IndexLink"/>
                <w:lang w:val="en-US" w:eastAsia="en-US"/>
              </w:rPr>
              <w:t>软件项</w:t>
            </w:r>
            <w:r>
              <w:rPr>
                <w:rStyle w:val="IndexLink"/>
                <w:lang w:val="en-US" w:eastAsia="en-US"/>
              </w:rPr>
              <w:tab/>
              <w:t>3</w:t>
            </w:r>
          </w:hyperlink>
        </w:p>
        <w:p>
          <w:pPr>
            <w:pStyle w:val="Contents3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36">
            <w:r>
              <w:rPr>
                <w:rStyle w:val="IndexLink"/>
                <w:rFonts w:eastAsia="黑体" w:ascii="黑体" w:hAnsi="黑体"/>
                <w:lang w:val="en-US" w:eastAsia="en-US"/>
              </w:rPr>
              <w:t>4.X.2</w:t>
            </w:r>
            <w:r>
              <w:rPr>
                <w:rStyle w:val="IndexLink"/>
                <w:lang w:val="en-US" w:eastAsia="en-US"/>
              </w:rPr>
              <w:t>硬件和固件项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Contents3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37">
            <w:r>
              <w:rPr>
                <w:rStyle w:val="IndexLink"/>
                <w:rFonts w:eastAsia="黑体" w:ascii="黑体" w:hAnsi="黑体"/>
                <w:lang w:val="en-US" w:eastAsia="en-US"/>
              </w:rPr>
              <w:t xml:space="preserve">4.X.3 </w:t>
            </w:r>
            <w:r>
              <w:rPr>
                <w:rStyle w:val="IndexLink"/>
                <w:rFonts w:ascii="黑体" w:hAnsi="黑体" w:eastAsia="黑体"/>
                <w:lang w:val="en-US" w:eastAsia="en-US"/>
              </w:rPr>
              <w:t>软硬件环境部署关系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Contents3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38">
            <w:r>
              <w:rPr>
                <w:rStyle w:val="IndexLink"/>
                <w:rFonts w:eastAsia="黑体" w:ascii="黑体" w:hAnsi="黑体"/>
                <w:lang w:val="en-US" w:eastAsia="en-US"/>
              </w:rPr>
              <w:t>4.X.4</w:t>
            </w:r>
            <w:r>
              <w:rPr>
                <w:rStyle w:val="IndexLink"/>
                <w:lang w:val="en-US" w:eastAsia="en-US"/>
              </w:rPr>
              <w:t>其他材料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Contents3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39">
            <w:r>
              <w:rPr>
                <w:rStyle w:val="IndexLink"/>
                <w:rFonts w:eastAsia="黑体" w:ascii="黑体" w:hAnsi="黑体"/>
                <w:lang w:val="en-US" w:eastAsia="en-US"/>
              </w:rPr>
              <w:t>4.X.5</w:t>
            </w:r>
            <w:r>
              <w:rPr>
                <w:rStyle w:val="IndexLink"/>
                <w:lang w:val="en-US" w:eastAsia="en-US"/>
              </w:rPr>
              <w:t>所有者的特性、需方权利和许可证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Contents3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40">
            <w:r>
              <w:rPr>
                <w:rStyle w:val="IndexLink"/>
                <w:rFonts w:eastAsia="黑体" w:ascii="黑体" w:hAnsi="黑体"/>
                <w:lang w:val="en-US" w:eastAsia="en-US"/>
              </w:rPr>
              <w:t>4.X.6</w:t>
            </w:r>
            <w:r>
              <w:rPr>
                <w:rStyle w:val="IndexLink"/>
                <w:lang w:val="en-US" w:eastAsia="en-US"/>
              </w:rPr>
              <w:t>安装、测试和控制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Contents3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41">
            <w:r>
              <w:rPr>
                <w:rStyle w:val="IndexLink"/>
                <w:rFonts w:eastAsia="黑体" w:ascii="黑体" w:hAnsi="黑体"/>
                <w:lang w:val="en-US" w:eastAsia="en-US"/>
              </w:rPr>
              <w:t>4.X.7</w:t>
            </w:r>
            <w:r>
              <w:rPr>
                <w:rStyle w:val="IndexLink"/>
                <w:lang w:val="en-US" w:eastAsia="en-US"/>
              </w:rPr>
              <w:t>测试环境的差异性分析和有效性说明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Contents3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42">
            <w:r>
              <w:rPr>
                <w:rStyle w:val="IndexLink"/>
                <w:rFonts w:eastAsia="黑体" w:ascii="黑体" w:hAnsi="黑体"/>
                <w:lang w:val="en-US" w:eastAsia="en-US"/>
              </w:rPr>
              <w:t>4.X.8</w:t>
            </w:r>
            <w:r>
              <w:rPr>
                <w:rStyle w:val="IndexLink"/>
                <w:lang w:val="en-US" w:eastAsia="en-US"/>
              </w:rPr>
              <w:t>参与组织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Contents3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43">
            <w:r>
              <w:rPr>
                <w:rStyle w:val="IndexLink"/>
                <w:rFonts w:eastAsia="黑体" w:ascii="黑体" w:hAnsi="黑体"/>
                <w:lang w:val="en-US" w:eastAsia="en-US"/>
              </w:rPr>
              <w:t>4.X.9</w:t>
            </w:r>
            <w:r>
              <w:rPr>
                <w:rStyle w:val="IndexLink"/>
                <w:rFonts w:ascii="黑体" w:hAnsi="黑体" w:eastAsia="黑体"/>
                <w:lang w:val="en-US" w:eastAsia="en-US"/>
              </w:rPr>
              <w:t>人员及分工</w:t>
            </w:r>
            <w:r>
              <w:rPr>
                <w:rStyle w:val="IndexLink"/>
                <w:lang w:val="en-US" w:eastAsia="en-US"/>
              </w:rPr>
              <w:tab/>
              <w:t>4</w:t>
            </w:r>
          </w:hyperlink>
        </w:p>
        <w:p>
          <w:pPr>
            <w:pStyle w:val="Contents3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44">
            <w:r>
              <w:rPr>
                <w:rStyle w:val="IndexLink"/>
                <w:rFonts w:eastAsia="黑体" w:ascii="黑体" w:hAnsi="黑体"/>
                <w:lang w:val="en-US" w:eastAsia="en-US"/>
              </w:rPr>
              <w:t>4.X.10</w:t>
            </w:r>
            <w:r>
              <w:rPr>
                <w:rStyle w:val="IndexLink"/>
                <w:rFonts w:ascii="黑体" w:hAnsi="黑体" w:eastAsia="黑体"/>
                <w:lang w:val="en-US" w:eastAsia="en-US"/>
              </w:rPr>
              <w:t>人员培训</w:t>
            </w:r>
            <w:r>
              <w:rPr>
                <w:rStyle w:val="IndexLink"/>
                <w:lang w:val="en-US" w:eastAsia="en-US"/>
              </w:rPr>
              <w:tab/>
              <w:t>5</w:t>
            </w:r>
          </w:hyperlink>
        </w:p>
        <w:p>
          <w:pPr>
            <w:pStyle w:val="Contents3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45">
            <w:r>
              <w:rPr>
                <w:rStyle w:val="IndexLink"/>
                <w:rFonts w:eastAsia="黑体" w:ascii="黑体" w:hAnsi="黑体"/>
                <w:lang w:val="en-US" w:eastAsia="en-US"/>
              </w:rPr>
              <w:t>4.X.11</w:t>
            </w:r>
            <w:r>
              <w:rPr>
                <w:rStyle w:val="IndexLink"/>
                <w:lang w:val="en-US" w:eastAsia="en-US"/>
              </w:rPr>
              <w:t>要执行的测试</w:t>
            </w:r>
            <w:r>
              <w:rPr>
                <w:rStyle w:val="IndexLink"/>
                <w:lang w:val="en-US" w:eastAsia="en-US"/>
              </w:rPr>
              <w:tab/>
              <w:t>5</w:t>
            </w:r>
          </w:hyperlink>
        </w:p>
        <w:p>
          <w:pPr>
            <w:pStyle w:val="Contents1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46">
            <w:r>
              <w:rPr>
                <w:rStyle w:val="IndexLink"/>
                <w:lang w:val="en-US" w:eastAsia="en-US"/>
              </w:rPr>
              <w:t xml:space="preserve">5 </w:t>
            </w:r>
            <w:r>
              <w:rPr>
                <w:rStyle w:val="IndexLink"/>
                <w:lang w:val="en-US" w:eastAsia="en-US"/>
              </w:rPr>
              <w:t>测试标识</w:t>
            </w:r>
            <w:r>
              <w:rPr>
                <w:rStyle w:val="IndexLink"/>
                <w:lang w:val="en-US" w:eastAsia="en-US"/>
              </w:rPr>
              <w:tab/>
              <w:t>5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47">
            <w:r>
              <w:rPr>
                <w:rStyle w:val="IndexLink"/>
                <w:rFonts w:ascii="黑体" w:hAnsi="黑体"/>
                <w:lang w:val="en-US" w:eastAsia="en-US"/>
              </w:rPr>
              <w:t>5.1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一般信息</w:t>
            </w:r>
            <w:r>
              <w:rPr>
                <w:rStyle w:val="IndexLink"/>
                <w:lang w:val="en-US" w:eastAsia="en-US"/>
              </w:rPr>
              <w:tab/>
              <w:t>5</w:t>
            </w:r>
          </w:hyperlink>
        </w:p>
        <w:p>
          <w:pPr>
            <w:pStyle w:val="Contents3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48">
            <w:r>
              <w:rPr>
                <w:rStyle w:val="IndexLink"/>
                <w:rFonts w:eastAsia="黑体" w:ascii="黑体" w:hAnsi="黑体"/>
                <w:kern w:val="0"/>
                <w:lang w:val="en-US" w:eastAsia="en-US"/>
              </w:rPr>
              <w:t>5.1.1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测试级</w:t>
            </w:r>
            <w:r>
              <w:rPr>
                <w:rStyle w:val="IndexLink"/>
                <w:lang w:val="en-US" w:eastAsia="en-US"/>
              </w:rPr>
              <w:tab/>
              <w:t>5</w:t>
            </w:r>
          </w:hyperlink>
        </w:p>
        <w:p>
          <w:pPr>
            <w:pStyle w:val="Contents3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49">
            <w:r>
              <w:rPr>
                <w:rStyle w:val="IndexLink"/>
                <w:rFonts w:eastAsia="黑体" w:ascii="黑体" w:hAnsi="黑体"/>
                <w:kern w:val="0"/>
                <w:lang w:val="en-US" w:eastAsia="en-US"/>
              </w:rPr>
              <w:t>5.1.2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测试类别</w:t>
            </w:r>
            <w:r>
              <w:rPr>
                <w:rStyle w:val="IndexLink"/>
                <w:lang w:val="en-US" w:eastAsia="en-US"/>
              </w:rPr>
              <w:tab/>
              <w:t>5</w:t>
            </w:r>
          </w:hyperlink>
        </w:p>
        <w:p>
          <w:pPr>
            <w:pStyle w:val="Contents3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50">
            <w:r>
              <w:rPr>
                <w:rStyle w:val="IndexLink"/>
                <w:rFonts w:eastAsia="黑体" w:ascii="黑体" w:hAnsi="黑体"/>
                <w:kern w:val="0"/>
                <w:lang w:val="en-US" w:eastAsia="en-US"/>
              </w:rPr>
              <w:t>5.1.3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一般测试条件</w:t>
            </w:r>
            <w:r>
              <w:rPr>
                <w:rStyle w:val="IndexLink"/>
                <w:lang w:val="en-US" w:eastAsia="en-US"/>
              </w:rPr>
              <w:tab/>
              <w:t>5</w:t>
            </w:r>
          </w:hyperlink>
        </w:p>
        <w:p>
          <w:pPr>
            <w:pStyle w:val="Contents3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51">
            <w:r>
              <w:rPr>
                <w:rStyle w:val="IndexLink"/>
                <w:rFonts w:eastAsia="黑体" w:ascii="黑体" w:hAnsi="黑体"/>
                <w:kern w:val="0"/>
                <w:lang w:val="en-US" w:eastAsia="en-US"/>
              </w:rPr>
              <w:t>5.1.4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测试进展</w:t>
            </w:r>
            <w:r>
              <w:rPr>
                <w:rStyle w:val="IndexLink"/>
                <w:lang w:val="en-US" w:eastAsia="en-US"/>
              </w:rPr>
              <w:tab/>
              <w:t>5</w:t>
            </w:r>
          </w:hyperlink>
        </w:p>
        <w:p>
          <w:pPr>
            <w:pStyle w:val="Contents3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52">
            <w:r>
              <w:rPr>
                <w:rStyle w:val="IndexLink"/>
                <w:rFonts w:eastAsia="黑体" w:ascii="黑体" w:hAnsi="黑体"/>
                <w:kern w:val="0"/>
                <w:lang w:val="en-US" w:eastAsia="en-US"/>
              </w:rPr>
              <w:t>5.1.5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数据记录、整理和分析</w:t>
            </w:r>
            <w:r>
              <w:rPr>
                <w:rStyle w:val="IndexLink"/>
                <w:lang w:val="en-US" w:eastAsia="en-US"/>
              </w:rPr>
              <w:tab/>
              <w:t>5</w:t>
            </w:r>
          </w:hyperlink>
        </w:p>
        <w:p>
          <w:pPr>
            <w:pStyle w:val="Contents2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53">
            <w:r>
              <w:rPr>
                <w:rStyle w:val="IndexLink"/>
                <w:rFonts w:ascii="黑体" w:hAnsi="黑体"/>
                <w:lang w:val="en-US" w:eastAsia="en-US"/>
              </w:rPr>
              <w:t>5.2</w:t>
            </w:r>
            <w:r>
              <w:rPr>
                <w:rStyle w:val="IndexLink"/>
                <w:lang w:val="en-US" w:eastAsia="en-US"/>
              </w:rPr>
              <w:t xml:space="preserve"> </w:t>
            </w:r>
            <w:r>
              <w:rPr>
                <w:rStyle w:val="IndexLink"/>
                <w:lang w:val="en-US" w:eastAsia="en-US"/>
              </w:rPr>
              <w:t>计划执行的测试</w:t>
            </w:r>
            <w:r>
              <w:rPr>
                <w:rStyle w:val="IndexLink"/>
                <w:lang w:val="en-US" w:eastAsia="en-US"/>
              </w:rPr>
              <w:tab/>
              <w:t>5</w:t>
            </w:r>
          </w:hyperlink>
        </w:p>
        <w:p>
          <w:pPr>
            <w:pStyle w:val="Contents3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54">
            <w:r>
              <w:rPr>
                <w:rStyle w:val="IndexLink"/>
                <w:rFonts w:eastAsia="黑体" w:ascii="黑体" w:hAnsi="黑体"/>
                <w:lang w:val="en-US" w:eastAsia="en-US"/>
              </w:rPr>
              <w:t>5.2.X</w:t>
            </w:r>
            <w:r>
              <w:rPr>
                <w:rStyle w:val="IndexLink"/>
                <w:lang w:val="en-US" w:eastAsia="en-US"/>
              </w:rPr>
              <w:t>(</w:t>
            </w:r>
            <w:r>
              <w:rPr>
                <w:rStyle w:val="IndexLink"/>
                <w:lang w:val="en-US" w:eastAsia="en-US"/>
              </w:rPr>
              <w:t>测试项</w:t>
            </w:r>
            <w:r>
              <w:rPr>
                <w:rStyle w:val="IndexLink"/>
                <w:lang w:val="en-US" w:eastAsia="en-US"/>
              </w:rPr>
              <w:t>)</w:t>
              <w:tab/>
              <w:t>5</w:t>
            </w:r>
          </w:hyperlink>
        </w:p>
        <w:p>
          <w:pPr>
            <w:pStyle w:val="Contents1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55">
            <w:r>
              <w:rPr>
                <w:rStyle w:val="IndexLink"/>
                <w:lang w:val="en-US" w:eastAsia="en-US"/>
              </w:rPr>
              <w:t xml:space="preserve">6 </w:t>
            </w:r>
            <w:r>
              <w:rPr>
                <w:rStyle w:val="IndexLink"/>
                <w:lang w:val="en-US" w:eastAsia="en-US"/>
              </w:rPr>
              <w:t>测试进度</w:t>
            </w:r>
            <w:r>
              <w:rPr>
                <w:rStyle w:val="IndexLink"/>
                <w:lang w:val="en-US" w:eastAsia="en-US"/>
              </w:rPr>
              <w:tab/>
              <w:t>6</w:t>
            </w:r>
          </w:hyperlink>
        </w:p>
        <w:p>
          <w:pPr>
            <w:pStyle w:val="Contents1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56">
            <w:r>
              <w:rPr>
                <w:rStyle w:val="IndexLink"/>
                <w:lang w:val="en-US" w:eastAsia="en-US"/>
              </w:rPr>
              <w:t xml:space="preserve">7 </w:t>
            </w:r>
            <w:r>
              <w:rPr>
                <w:rStyle w:val="IndexLink"/>
                <w:lang w:val="en-US" w:eastAsia="en-US"/>
              </w:rPr>
              <w:t>测试终止条件</w:t>
            </w:r>
            <w:r>
              <w:rPr>
                <w:rStyle w:val="IndexLink"/>
                <w:lang w:val="en-US" w:eastAsia="en-US"/>
              </w:rPr>
              <w:tab/>
              <w:t>6</w:t>
            </w:r>
          </w:hyperlink>
        </w:p>
        <w:p>
          <w:pPr>
            <w:pStyle w:val="Contents1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57">
            <w:r>
              <w:rPr>
                <w:rStyle w:val="IndexLink"/>
                <w:lang w:val="en-US" w:eastAsia="en-US"/>
              </w:rPr>
              <w:t xml:space="preserve">8 </w:t>
            </w:r>
            <w:r>
              <w:rPr>
                <w:rStyle w:val="IndexLink"/>
                <w:lang w:val="en-US" w:eastAsia="en-US"/>
              </w:rPr>
              <w:t>需求的可追踪性</w:t>
            </w:r>
            <w:r>
              <w:rPr>
                <w:rStyle w:val="IndexLink"/>
                <w:lang w:val="en-US" w:eastAsia="en-US"/>
              </w:rPr>
              <w:tab/>
              <w:t>6</w:t>
            </w:r>
          </w:hyperlink>
        </w:p>
        <w:p>
          <w:pPr>
            <w:pStyle w:val="Contents1"/>
            <w:tabs>
              <w:tab w:val="clear" w:pos="420"/>
              <w:tab w:val="right" w:pos="8296" w:leader="dot"/>
            </w:tabs>
            <w:rPr>
              <w:lang w:val="en-US" w:eastAsia="en-US"/>
            </w:rPr>
          </w:pPr>
          <w:hyperlink w:anchor="__RefHeading___Toc58519458">
            <w:r>
              <w:rPr>
                <w:rStyle w:val="IndexLink"/>
                <w:lang w:val="en-US" w:eastAsia="en-US"/>
              </w:rPr>
              <w:t xml:space="preserve">9 </w:t>
            </w:r>
            <w:r>
              <w:rPr>
                <w:rStyle w:val="IndexLink"/>
                <w:lang w:val="en-US" w:eastAsia="en-US"/>
              </w:rPr>
              <w:t>注释</w:t>
            </w:r>
            <w:r>
              <w:rPr>
                <w:rStyle w:val="IndexLink"/>
                <w:lang w:val="en-US" w:eastAsia="en-US"/>
              </w:rPr>
              <w:tab/>
              <w:t>7</w:t>
            </w:r>
          </w:hyperlink>
          <w:r>
            <w:rPr>
              <w:rStyle w:val="IndexLink"/>
              <w:lang w:val="en-US" w:eastAsia="en-US"/>
            </w:rPr>
            <w:fldChar w:fldCharType="end"/>
          </w:r>
        </w:p>
      </w:sdtContent>
    </w:sdt>
    <w:p>
      <w:pPr>
        <w:pStyle w:val="Normal"/>
        <w:rPr>
          <w:b/>
          <w:b/>
          <w:bCs/>
          <w:lang w:val="zh-CN" w:eastAsia="en-US"/>
        </w:rPr>
      </w:pPr>
      <w:r>
        <w:rPr>
          <w:b/>
          <w:bCs/>
          <w:lang w:val="zh-CN" w:eastAsia="en-US"/>
        </w:rPr>
      </w:r>
    </w:p>
    <w:p>
      <w:pPr>
        <w:pStyle w:val="1"/>
        <w:ind w:left="210" w:right="210" w:hanging="0"/>
        <w:rPr/>
      </w:pPr>
      <w:r>
        <w:rPr/>
      </w:r>
    </w:p>
    <w:p>
      <w:pPr>
        <w:pStyle w:val="1"/>
        <w:ind w:left="210" w:right="210" w:hanging="0"/>
        <w:rPr/>
      </w:pPr>
      <w:r>
        <w:rPr/>
      </w:r>
    </w:p>
    <w:p>
      <w:pPr>
        <w:pStyle w:val="1"/>
        <w:ind w:left="210" w:right="210" w:hanging="0"/>
        <w:rPr/>
      </w:pPr>
      <w:r>
        <w:rPr/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800" w:right="1800" w:gutter="0" w:header="851" w:top="1440" w:footer="992" w:bottom="1440"/>
          <w:pgNumType w:start="1" w:fmt="upperRoman"/>
          <w:formProt w:val="false"/>
          <w:textDirection w:val="lrTb"/>
          <w:docGrid w:type="lines" w:linePitch="312" w:charSpace="0"/>
        </w:sectPr>
        <w:pStyle w:val="1"/>
        <w:ind w:left="210" w:right="210" w:hanging="0"/>
        <w:rPr/>
      </w:pPr>
      <w:r>
        <w:rPr/>
      </w:r>
    </w:p>
    <w:p>
      <w:pPr>
        <w:pStyle w:val="100"/>
        <w:numPr>
          <w:ilvl w:val="0"/>
          <w:numId w:val="3"/>
        </w:numPr>
        <w:rPr/>
      </w:pPr>
      <w:bookmarkStart w:id="0" w:name="__RefHeading___Toc58519426"/>
      <w:bookmarkEnd w:id="0"/>
      <w:r>
        <w:rPr/>
        <w:t>范围</w:t>
      </w:r>
    </w:p>
    <w:p>
      <w:pPr>
        <w:pStyle w:val="200"/>
        <w:numPr>
          <w:ilvl w:val="1"/>
          <w:numId w:val="3"/>
        </w:numPr>
        <w:rPr/>
      </w:pPr>
      <w:bookmarkStart w:id="1" w:name="__RefHeading___Toc58519427"/>
      <w:bookmarkEnd w:id="1"/>
      <w:r>
        <w:rPr/>
        <w:t>标识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本条应描述本文档所适用的系统和软件的完整标识，适用时，包括其标识号、名称、缩略名、版本号和发布号。</w:t>
      </w:r>
    </w:p>
    <w:p>
      <w:pPr>
        <w:pStyle w:val="Style11"/>
        <w:numPr>
          <w:ilvl w:val="0"/>
          <w:numId w:val="2"/>
        </w:numPr>
        <w:tabs>
          <w:tab w:val="clear" w:pos="420"/>
          <w:tab w:val="left" w:pos="842" w:leader="none"/>
        </w:tabs>
        <w:spacing w:lineRule="auto" w:line="360"/>
        <w:rPr>
          <w:rFonts w:ascii="Times New Roman" w:hAnsi="Times New Roman"/>
          <w:szCs w:val="24"/>
        </w:rPr>
      </w:pPr>
      <w:bookmarkStart w:id="2" w:name="OLE_LINK4"/>
      <w:bookmarkEnd w:id="2"/>
      <w:r>
        <w:rPr>
          <w:rFonts w:cs="宋体"/>
          <w:szCs w:val="24"/>
        </w:rPr>
        <w:t>文档</w:t>
      </w:r>
      <w:r>
        <w:rPr>
          <w:rFonts w:ascii="Times New Roman" w:hAnsi="Times New Roman"/>
          <w:szCs w:val="24"/>
        </w:rPr>
        <w:t>标识号</w:t>
      </w:r>
      <w:r>
        <w:rPr>
          <w:rFonts w:ascii="Times New Roman" w:hAnsi="Times New Roman"/>
          <w:szCs w:val="24"/>
        </w:rPr>
        <w:t>：</w:t>
      </w:r>
      <w:r>
        <w:rPr>
          <w:szCs w:val="24"/>
        </w:rPr>
        <w:t>TN/x-DO-DS-V{N.xx}</w:t>
      </w:r>
      <w:r>
        <w:rPr>
          <w:rFonts w:ascii="Times New Roman" w:hAnsi="Times New Roman"/>
          <w:szCs w:val="24"/>
        </w:rPr>
        <w:t>；</w:t>
      </w:r>
    </w:p>
    <w:p>
      <w:pPr>
        <w:pStyle w:val="Style11"/>
        <w:numPr>
          <w:ilvl w:val="0"/>
          <w:numId w:val="2"/>
        </w:numPr>
        <w:tabs>
          <w:tab w:val="clear" w:pos="420"/>
          <w:tab w:val="left" w:pos="842" w:leader="none"/>
        </w:tabs>
        <w:spacing w:lineRule="auto" w:line="36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标题：；</w:t>
      </w:r>
    </w:p>
    <w:p>
      <w:pPr>
        <w:pStyle w:val="Style11"/>
        <w:numPr>
          <w:ilvl w:val="0"/>
          <w:numId w:val="2"/>
        </w:numPr>
        <w:tabs>
          <w:tab w:val="clear" w:pos="420"/>
          <w:tab w:val="left" w:pos="842" w:leader="none"/>
        </w:tabs>
        <w:spacing w:lineRule="auto" w:line="36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软件名称；</w:t>
      </w:r>
    </w:p>
    <w:p>
      <w:pPr>
        <w:pStyle w:val="Style11"/>
        <w:numPr>
          <w:ilvl w:val="0"/>
          <w:numId w:val="2"/>
        </w:numPr>
        <w:tabs>
          <w:tab w:val="clear" w:pos="420"/>
          <w:tab w:val="left" w:pos="842" w:leader="none"/>
        </w:tabs>
        <w:spacing w:lineRule="auto" w:line="36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软件</w:t>
      </w:r>
      <w:r>
        <w:rPr>
          <w:rFonts w:ascii="Times New Roman" w:hAnsi="Times New Roman"/>
          <w:szCs w:val="24"/>
        </w:rPr>
        <w:t>缩写</w:t>
      </w:r>
      <w:r>
        <w:rPr>
          <w:rFonts w:ascii="Times New Roman" w:hAnsi="Times New Roman"/>
          <w:szCs w:val="24"/>
        </w:rPr>
        <w:t>：</w:t>
      </w:r>
    </w:p>
    <w:p>
      <w:pPr>
        <w:pStyle w:val="Style11"/>
        <w:numPr>
          <w:ilvl w:val="0"/>
          <w:numId w:val="2"/>
        </w:numPr>
        <w:tabs>
          <w:tab w:val="clear" w:pos="420"/>
          <w:tab w:val="left" w:pos="842" w:leader="none"/>
        </w:tabs>
        <w:spacing w:lineRule="auto" w:line="360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软件版本号</w:t>
      </w:r>
      <w:r>
        <w:rPr>
          <w:rFonts w:ascii="Times New Roman" w:hAnsi="Times New Roman"/>
          <w:szCs w:val="24"/>
        </w:rPr>
        <w:t>。</w:t>
      </w:r>
    </w:p>
    <w:p>
      <w:pPr>
        <w:pStyle w:val="200"/>
        <w:numPr>
          <w:ilvl w:val="1"/>
          <w:numId w:val="3"/>
        </w:numPr>
        <w:rPr/>
      </w:pPr>
      <w:bookmarkStart w:id="3" w:name="OLE_LINK4"/>
      <w:bookmarkStart w:id="4" w:name="__RefHeading___Toc58519428"/>
      <w:bookmarkEnd w:id="3"/>
      <w:bookmarkEnd w:id="4"/>
      <w:r>
        <w:rPr/>
        <w:t>系统概述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本条应概述本文档所适用的系统和车灯守的用途。它还应描述系统与软件的一般特性</w:t>
      </w:r>
      <w:r>
        <w:rPr>
          <w:sz w:val="24"/>
        </w:rPr>
        <w:t>:</w:t>
      </w:r>
      <w:r>
        <w:rPr>
          <w:sz w:val="24"/>
        </w:rPr>
        <w:t>概述系统开发、运行和维护的历史</w:t>
      </w:r>
      <w:r>
        <w:rPr>
          <w:sz w:val="24"/>
        </w:rPr>
        <w:t>:</w:t>
      </w:r>
      <w:r>
        <w:rPr>
          <w:sz w:val="24"/>
        </w:rPr>
        <w:t>标识项目的需方、用户、开发方和保障机构等</w:t>
      </w:r>
      <w:r>
        <w:rPr>
          <w:sz w:val="24"/>
        </w:rPr>
        <w:t>;</w:t>
      </w:r>
      <w:r>
        <w:rPr>
          <w:sz w:val="24"/>
        </w:rPr>
        <w:t>标识当前和计划的运行现场</w:t>
      </w:r>
      <w:r>
        <w:rPr>
          <w:sz w:val="24"/>
        </w:rPr>
        <w:t>:</w:t>
      </w:r>
      <w:r>
        <w:rPr>
          <w:sz w:val="24"/>
        </w:rPr>
        <w:t>列出其他有关文档。</w:t>
      </w:r>
    </w:p>
    <w:p>
      <w:pPr>
        <w:pStyle w:val="200"/>
        <w:numPr>
          <w:ilvl w:val="1"/>
          <w:numId w:val="3"/>
        </w:numPr>
        <w:rPr/>
      </w:pPr>
      <w:bookmarkStart w:id="5" w:name="__RefHeading___Toc58519429"/>
      <w:bookmarkEnd w:id="5"/>
      <w:r>
        <w:rPr/>
        <w:t>文档概述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本条应概述本文档的用途和内容，并描述与它的使用有关的保密性方面的要求。</w:t>
      </w:r>
    </w:p>
    <w:p>
      <w:pPr>
        <w:pStyle w:val="200"/>
        <w:numPr>
          <w:ilvl w:val="1"/>
          <w:numId w:val="3"/>
        </w:numPr>
        <w:rPr/>
      </w:pPr>
      <w:bookmarkStart w:id="6" w:name="__RefHeading___Toc58519430"/>
      <w:bookmarkEnd w:id="6"/>
      <w:r>
        <w:rPr/>
        <w:t>与其他计划的关系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本条应描述本计划</w:t>
      </w:r>
      <w:r>
        <w:rPr>
          <w:sz w:val="24"/>
        </w:rPr>
        <w:t>(STP)</w:t>
      </w:r>
      <w:r>
        <w:rPr>
          <w:sz w:val="24"/>
        </w:rPr>
        <w:t>与其他项目管理计划之间的关系</w:t>
      </w:r>
      <w:r>
        <w:rPr>
          <w:sz w:val="24"/>
        </w:rPr>
        <w:t>(</w:t>
      </w:r>
      <w:r>
        <w:rPr>
          <w:sz w:val="24"/>
        </w:rPr>
        <w:t>若有</w:t>
      </w:r>
      <w:r>
        <w:rPr>
          <w:sz w:val="24"/>
        </w:rPr>
        <w:t>)</w:t>
      </w:r>
      <w:r>
        <w:rPr>
          <w:sz w:val="24"/>
        </w:rPr>
        <w:t>。</w:t>
      </w:r>
    </w:p>
    <w:p>
      <w:pPr>
        <w:pStyle w:val="100"/>
        <w:numPr>
          <w:ilvl w:val="0"/>
          <w:numId w:val="3"/>
        </w:numPr>
        <w:rPr/>
      </w:pPr>
      <w:bookmarkStart w:id="7" w:name="__RefHeading___Toc58519431"/>
      <w:bookmarkEnd w:id="7"/>
      <w:r>
        <w:rPr/>
        <w:t>引用文档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本章应列出引用文档的编号、标题、编写单位、修订版及日期，还应标识不能通过正常采购活动得到的文档的来源。</w:t>
      </w:r>
    </w:p>
    <w:p>
      <w:pPr>
        <w:pStyle w:val="100"/>
        <w:numPr>
          <w:ilvl w:val="0"/>
          <w:numId w:val="3"/>
        </w:numPr>
        <w:rPr/>
      </w:pPr>
      <w:bookmarkStart w:id="8" w:name="__RefHeading___Toc58519432"/>
      <w:bookmarkEnd w:id="8"/>
      <w:r>
        <w:rPr/>
        <w:t>测试依据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本章应列出软件测试应遵循的依据。</w:t>
      </w:r>
    </w:p>
    <w:p>
      <w:pPr>
        <w:pStyle w:val="100"/>
        <w:numPr>
          <w:ilvl w:val="0"/>
          <w:numId w:val="3"/>
        </w:numPr>
        <w:rPr/>
      </w:pPr>
      <w:bookmarkStart w:id="9" w:name="__RefHeading___Toc58519433"/>
      <w:bookmarkEnd w:id="9"/>
      <w:r>
        <w:rPr/>
        <w:t>软件测试环境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本章应分为如下小条描述每个预期测试现场的软件测试环境，也可引用软件开发计划中有关资源方面的描述。</w:t>
      </w:r>
    </w:p>
    <w:p>
      <w:pPr>
        <w:pStyle w:val="200"/>
        <w:numPr>
          <w:ilvl w:val="0"/>
          <w:numId w:val="0"/>
        </w:numPr>
        <w:ind w:left="0" w:hanging="0"/>
        <w:rPr/>
      </w:pPr>
      <w:bookmarkStart w:id="10" w:name="__RefHeading___Toc58519434"/>
      <w:bookmarkEnd w:id="10"/>
      <w:r>
        <w:rPr/>
        <w:t>4.X(</w:t>
      </w:r>
      <w:r>
        <w:rPr/>
        <w:t>测试现场名称</w:t>
      </w:r>
      <w:r>
        <w:rPr/>
        <w:t>)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rFonts w:ascii="宋体" w:hAnsi="宋体" w:cs="宋体"/>
          <w:sz w:val="24"/>
        </w:rPr>
        <w:t>注：若只有一个测试现场，该章节可整体缩减一级，即直接是</w:t>
      </w:r>
      <w:r>
        <w:rPr>
          <w:rFonts w:cs="宋体" w:ascii="宋体" w:hAnsi="宋体"/>
          <w:sz w:val="24"/>
        </w:rPr>
        <w:t>4.1</w:t>
      </w:r>
      <w:r>
        <w:rPr>
          <w:rFonts w:ascii="宋体" w:hAnsi="宋体" w:cs="宋体"/>
          <w:sz w:val="24"/>
        </w:rPr>
        <w:t>软件项。</w:t>
      </w:r>
    </w:p>
    <w:p>
      <w:pPr>
        <w:pStyle w:val="300"/>
        <w:numPr>
          <w:ilvl w:val="0"/>
          <w:numId w:val="0"/>
        </w:numPr>
        <w:spacing w:lineRule="auto" w:line="360"/>
        <w:ind w:left="0" w:hanging="0"/>
        <w:rPr>
          <w:sz w:val="24"/>
          <w:szCs w:val="24"/>
        </w:rPr>
      </w:pPr>
      <w:bookmarkStart w:id="11" w:name="__RefHeading___Toc58519435"/>
      <w:bookmarkEnd w:id="11"/>
      <w:r>
        <w:rPr>
          <w:rFonts w:eastAsia="黑体" w:ascii="黑体" w:hAnsi="黑体"/>
          <w:sz w:val="24"/>
          <w:szCs w:val="24"/>
        </w:rPr>
        <w:t>4.X.1</w:t>
      </w:r>
      <w:r>
        <w:rPr>
          <w:b w:val="false"/>
          <w:sz w:val="24"/>
          <w:szCs w:val="24"/>
        </w:rPr>
        <w:t>软件项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本条应按名称、编号和版本，描述在测试现场的测试活动所需的软件项</w:t>
      </w:r>
      <w:r>
        <w:rPr>
          <w:sz w:val="24"/>
        </w:rPr>
        <w:t>(</w:t>
      </w:r>
      <w:r>
        <w:rPr>
          <w:sz w:val="24"/>
        </w:rPr>
        <w:t>如操作系统、编译程序、通信软件、有关的应用软件、数据库、输入文件、代码检查程序、动态路径分析程序、测试驱动程序、预处理程序、测试数据产生程序、测试控制软件、其他专用测试软件、后处理器程序</w:t>
      </w:r>
      <w:r>
        <w:rPr>
          <w:sz w:val="24"/>
        </w:rPr>
        <w:t>)</w:t>
      </w:r>
      <w:r>
        <w:rPr>
          <w:sz w:val="24"/>
        </w:rPr>
        <w:t>。本条还应描述每个软件项的用途，说明它的介质</w:t>
      </w:r>
      <w:r>
        <w:rPr>
          <w:sz w:val="24"/>
        </w:rPr>
        <w:t>(</w:t>
      </w:r>
      <w:r>
        <w:rPr>
          <w:sz w:val="24"/>
        </w:rPr>
        <w:t>磁带、磁盘等</w:t>
      </w:r>
      <w:r>
        <w:rPr>
          <w:sz w:val="24"/>
        </w:rPr>
        <w:t>)</w:t>
      </w:r>
      <w:r>
        <w:rPr>
          <w:sz w:val="24"/>
        </w:rPr>
        <w:t>，标识那些期望现场提供的软件项，标识与软件项有关的保密处理或其他保密性问题。</w:t>
      </w:r>
    </w:p>
    <w:p>
      <w:pPr>
        <w:pStyle w:val="300"/>
        <w:numPr>
          <w:ilvl w:val="0"/>
          <w:numId w:val="0"/>
        </w:numPr>
        <w:spacing w:lineRule="auto" w:line="360"/>
        <w:ind w:left="0" w:hanging="0"/>
        <w:rPr>
          <w:sz w:val="24"/>
          <w:szCs w:val="24"/>
        </w:rPr>
      </w:pPr>
      <w:bookmarkStart w:id="12" w:name="__RefHeading___Toc58519436"/>
      <w:bookmarkEnd w:id="12"/>
      <w:r>
        <w:rPr>
          <w:rFonts w:eastAsia="黑体" w:cs="Times New Roman" w:ascii="黑体" w:hAnsi="黑体"/>
          <w:sz w:val="24"/>
          <w:szCs w:val="24"/>
        </w:rPr>
        <w:t>4.X.2</w:t>
      </w:r>
      <w:r>
        <w:rPr>
          <w:b w:val="false"/>
          <w:sz w:val="24"/>
          <w:szCs w:val="24"/>
        </w:rPr>
        <w:t>硬件和固件项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本条应按名称、编号和版本，描述在测试现场的软件测试环境中使用的计算机硬件、接口设各、通信设各、测试数据整理设各、另外的外围设各</w:t>
      </w:r>
      <w:r>
        <w:rPr>
          <w:sz w:val="24"/>
        </w:rPr>
        <w:t>(</w:t>
      </w:r>
      <w:r>
        <w:rPr>
          <w:sz w:val="24"/>
        </w:rPr>
        <w:t>磁带机、打印机、绘图仪</w:t>
      </w:r>
      <w:r>
        <w:rPr>
          <w:sz w:val="24"/>
        </w:rPr>
        <w:t>)</w:t>
      </w:r>
      <w:r>
        <w:rPr>
          <w:sz w:val="24"/>
        </w:rPr>
        <w:t>、测试消息生成器、测试计时设各、测试事件记录仪等装置和固件项。本条应描述每项的用途，陈述所需每项的使用时间与数量，标识那些期望现场提供的工页，标识与这些硬件及国件项有关的保密处理或其他保密性问题。</w:t>
      </w:r>
    </w:p>
    <w:p>
      <w:pPr>
        <w:pStyle w:val="300"/>
        <w:numPr>
          <w:ilvl w:val="0"/>
          <w:numId w:val="0"/>
        </w:numPr>
        <w:spacing w:lineRule="auto" w:line="360"/>
        <w:ind w:left="0" w:hanging="0"/>
        <w:rPr>
          <w:sz w:val="24"/>
          <w:szCs w:val="24"/>
        </w:rPr>
      </w:pPr>
      <w:bookmarkStart w:id="13" w:name="__RefHeading___Toc58519437"/>
      <w:bookmarkEnd w:id="13"/>
      <w:r>
        <w:rPr>
          <w:rFonts w:eastAsia="黑体" w:ascii="黑体" w:hAnsi="黑体"/>
          <w:sz w:val="24"/>
          <w:szCs w:val="24"/>
        </w:rPr>
        <w:t xml:space="preserve">4.X.3 </w:t>
      </w:r>
      <w:r>
        <w:rPr>
          <w:rFonts w:ascii="黑体" w:hAnsi="黑体" w:eastAsia="黑体"/>
          <w:sz w:val="24"/>
          <w:szCs w:val="24"/>
        </w:rPr>
        <w:t>软硬件环境部署关系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本条应描述网络拓扑图，或</w:t>
      </w:r>
      <w:r>
        <w:rPr>
          <w:sz w:val="24"/>
        </w:rPr>
        <w:t>4.X.l</w:t>
      </w:r>
      <w:r>
        <w:rPr>
          <w:sz w:val="24"/>
        </w:rPr>
        <w:t>和</w:t>
      </w:r>
      <w:r>
        <w:rPr>
          <w:sz w:val="24"/>
        </w:rPr>
        <w:t>4.X.2</w:t>
      </w:r>
      <w:r>
        <w:rPr>
          <w:sz w:val="24"/>
        </w:rPr>
        <w:t>中未包含的其他项。</w:t>
      </w:r>
    </w:p>
    <w:p>
      <w:pPr>
        <w:pStyle w:val="300"/>
        <w:numPr>
          <w:ilvl w:val="0"/>
          <w:numId w:val="0"/>
        </w:numPr>
        <w:spacing w:lineRule="auto" w:line="360"/>
        <w:ind w:left="0" w:hanging="0"/>
        <w:rPr>
          <w:sz w:val="24"/>
          <w:szCs w:val="24"/>
        </w:rPr>
      </w:pPr>
      <w:bookmarkStart w:id="14" w:name="__RefHeading___Toc58519438"/>
      <w:bookmarkEnd w:id="14"/>
      <w:r>
        <w:rPr>
          <w:rFonts w:eastAsia="黑体" w:ascii="黑体" w:hAnsi="黑体"/>
          <w:sz w:val="24"/>
          <w:szCs w:val="24"/>
        </w:rPr>
        <w:t>4.X.4</w:t>
      </w:r>
      <w:r>
        <w:rPr>
          <w:b w:val="false"/>
          <w:sz w:val="24"/>
          <w:szCs w:val="24"/>
        </w:rPr>
        <w:t>其他材料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描述在测试现场执行测试所需的任何其他材料。这些材料可包括手册、软件清单、被测试软件的介质、测试用数据的介质、输出的样本清单和其他表格或说明。本条应标识需交付给现场的项和期望现场提供的项。</w:t>
      </w:r>
      <w:r>
        <w:rPr>
          <w:sz w:val="24"/>
        </w:rPr>
        <w:t>(</w:t>
      </w:r>
      <w:r>
        <w:rPr>
          <w:sz w:val="24"/>
        </w:rPr>
        <w:t>若适用</w:t>
      </w:r>
      <w:r>
        <w:rPr>
          <w:sz w:val="24"/>
        </w:rPr>
        <w:t>)</w:t>
      </w:r>
      <w:r>
        <w:rPr>
          <w:sz w:val="24"/>
        </w:rPr>
        <w:t>本描述应包括材料的类型、布局和数量。本条还应标识与这些材料有关的保密处理或其他保密性问题。</w:t>
      </w:r>
    </w:p>
    <w:p>
      <w:pPr>
        <w:pStyle w:val="300"/>
        <w:numPr>
          <w:ilvl w:val="0"/>
          <w:numId w:val="0"/>
        </w:numPr>
        <w:spacing w:lineRule="auto" w:line="360"/>
        <w:ind w:left="0" w:hanging="0"/>
        <w:rPr>
          <w:sz w:val="24"/>
          <w:szCs w:val="24"/>
        </w:rPr>
      </w:pPr>
      <w:bookmarkStart w:id="15" w:name="__RefHeading___Toc58519439"/>
      <w:bookmarkEnd w:id="15"/>
      <w:r>
        <w:rPr>
          <w:rFonts w:eastAsia="黑体" w:ascii="黑体" w:hAnsi="黑体"/>
          <w:sz w:val="24"/>
          <w:szCs w:val="24"/>
        </w:rPr>
        <w:t>4.X.5</w:t>
      </w:r>
      <w:r>
        <w:rPr>
          <w:b w:val="false"/>
          <w:sz w:val="24"/>
          <w:szCs w:val="24"/>
        </w:rPr>
        <w:t>所有者的特性、需方权利和许可证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本条应描述与软件测试环境中每个元素有关的所有者的特性、需方权利与许可证等问题。</w:t>
      </w:r>
    </w:p>
    <w:p>
      <w:pPr>
        <w:pStyle w:val="300"/>
        <w:numPr>
          <w:ilvl w:val="0"/>
          <w:numId w:val="0"/>
        </w:numPr>
        <w:spacing w:lineRule="auto" w:line="360"/>
        <w:ind w:left="0" w:hanging="0"/>
        <w:rPr>
          <w:sz w:val="24"/>
          <w:szCs w:val="24"/>
        </w:rPr>
      </w:pPr>
      <w:bookmarkStart w:id="16" w:name="__RefHeading___Toc58519440"/>
      <w:bookmarkEnd w:id="16"/>
      <w:r>
        <w:rPr>
          <w:rFonts w:eastAsia="黑体" w:ascii="黑体" w:hAnsi="黑体"/>
          <w:sz w:val="24"/>
          <w:szCs w:val="24"/>
        </w:rPr>
        <w:t>4.X.6</w:t>
      </w:r>
      <w:r>
        <w:rPr>
          <w:b w:val="false"/>
          <w:sz w:val="24"/>
          <w:szCs w:val="24"/>
        </w:rPr>
        <w:t>安装、测试和控制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本条应描述开发方为执行以下各项工作的计划，可能需要测试现场人员共同合作</w:t>
      </w:r>
      <w:r>
        <w:rPr>
          <w:sz w:val="24"/>
        </w:rPr>
        <w:t>:a)</w:t>
      </w:r>
      <w:r>
        <w:rPr>
          <w:sz w:val="24"/>
        </w:rPr>
        <w:t>获取和开发软件测试手境中的每个元素</w:t>
      </w:r>
      <w:r>
        <w:rPr>
          <w:sz w:val="24"/>
        </w:rPr>
        <w:t>:b)</w:t>
      </w:r>
      <w:r>
        <w:rPr>
          <w:sz w:val="24"/>
        </w:rPr>
        <w:t>使用前，安装与测试软件测试环境中的每个项</w:t>
      </w:r>
      <w:r>
        <w:rPr>
          <w:sz w:val="24"/>
        </w:rPr>
        <w:t>;c)</w:t>
      </w:r>
      <w:r>
        <w:rPr>
          <w:sz w:val="24"/>
        </w:rPr>
        <w:t>控制与维护软件测试环境中的每个项。</w:t>
      </w:r>
    </w:p>
    <w:p>
      <w:pPr>
        <w:pStyle w:val="300"/>
        <w:numPr>
          <w:ilvl w:val="0"/>
          <w:numId w:val="0"/>
        </w:numPr>
        <w:spacing w:lineRule="auto" w:line="360"/>
        <w:ind w:left="0" w:hanging="0"/>
        <w:rPr>
          <w:sz w:val="24"/>
          <w:szCs w:val="24"/>
        </w:rPr>
      </w:pPr>
      <w:bookmarkStart w:id="17" w:name="__RefHeading___Toc58519441"/>
      <w:bookmarkEnd w:id="17"/>
      <w:r>
        <w:rPr>
          <w:rFonts w:eastAsia="黑体" w:ascii="黑体" w:hAnsi="黑体"/>
          <w:sz w:val="24"/>
          <w:szCs w:val="24"/>
        </w:rPr>
        <w:t>4.X.7</w:t>
      </w:r>
      <w:r>
        <w:rPr>
          <w:b w:val="false"/>
          <w:sz w:val="24"/>
          <w:szCs w:val="24"/>
        </w:rPr>
        <w:t>测试环境的差异性分析和有效性说明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本条应描述拟建立的测试环境与需求环境之间的差异。如果存在环境差异，应说明在该测试环境下测试结果的有效性。</w:t>
      </w:r>
    </w:p>
    <w:p>
      <w:pPr>
        <w:pStyle w:val="300"/>
        <w:numPr>
          <w:ilvl w:val="0"/>
          <w:numId w:val="0"/>
        </w:numPr>
        <w:spacing w:lineRule="auto" w:line="360"/>
        <w:ind w:left="0" w:hanging="0"/>
        <w:rPr>
          <w:sz w:val="24"/>
          <w:szCs w:val="24"/>
        </w:rPr>
      </w:pPr>
      <w:bookmarkStart w:id="18" w:name="__RefHeading___Toc58519442"/>
      <w:bookmarkEnd w:id="18"/>
      <w:r>
        <w:rPr>
          <w:rFonts w:eastAsia="黑体" w:ascii="黑体" w:hAnsi="黑体"/>
          <w:sz w:val="24"/>
          <w:szCs w:val="24"/>
        </w:rPr>
        <w:t>4.X.8</w:t>
      </w:r>
      <w:r>
        <w:rPr>
          <w:b w:val="false"/>
          <w:sz w:val="24"/>
          <w:szCs w:val="24"/>
        </w:rPr>
        <w:t>参与组织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本条应描述参与现场测试的组织以及他们的角色与职责。</w:t>
      </w:r>
    </w:p>
    <w:p>
      <w:pPr>
        <w:pStyle w:val="300"/>
        <w:numPr>
          <w:ilvl w:val="0"/>
          <w:numId w:val="0"/>
        </w:numPr>
        <w:spacing w:lineRule="auto" w:line="360"/>
        <w:ind w:left="0" w:hanging="0"/>
        <w:rPr>
          <w:rFonts w:ascii="黑体" w:hAnsi="黑体" w:eastAsia="黑体"/>
          <w:sz w:val="24"/>
          <w:szCs w:val="24"/>
        </w:rPr>
      </w:pPr>
      <w:bookmarkStart w:id="19" w:name="__RefHeading___Toc58519443"/>
      <w:bookmarkEnd w:id="19"/>
      <w:r>
        <w:rPr>
          <w:rFonts w:eastAsia="黑体" w:ascii="黑体" w:hAnsi="黑体"/>
          <w:sz w:val="24"/>
          <w:szCs w:val="24"/>
        </w:rPr>
        <w:t>4.X.9</w:t>
      </w:r>
      <w:r>
        <w:rPr>
          <w:rFonts w:ascii="黑体" w:hAnsi="黑体" w:eastAsia="黑体"/>
          <w:b w:val="false"/>
          <w:sz w:val="24"/>
          <w:szCs w:val="24"/>
        </w:rPr>
        <w:t>人员及分工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本条应描述在测试期间测试现场所需人员的姓名、技术水平和职责分工，需要他们的日期与时间以及特殊需要，例如，为保证大规模测试工作的连续性与一致性，需要轮班操作以及关键技能的保持能力。</w:t>
      </w:r>
    </w:p>
    <w:p>
      <w:pPr>
        <w:pStyle w:val="300"/>
        <w:numPr>
          <w:ilvl w:val="0"/>
          <w:numId w:val="0"/>
        </w:numPr>
        <w:spacing w:lineRule="auto" w:line="360"/>
        <w:ind w:left="0" w:hanging="0"/>
        <w:rPr>
          <w:rFonts w:ascii="黑体" w:hAnsi="黑体" w:eastAsia="黑体"/>
          <w:sz w:val="24"/>
          <w:szCs w:val="24"/>
        </w:rPr>
      </w:pPr>
      <w:bookmarkStart w:id="20" w:name="__RefHeading___Toc58519444"/>
      <w:bookmarkEnd w:id="20"/>
      <w:r>
        <w:rPr>
          <w:rFonts w:eastAsia="黑体" w:ascii="黑体" w:hAnsi="黑体"/>
          <w:sz w:val="24"/>
          <w:szCs w:val="24"/>
        </w:rPr>
        <w:t>4.X.10</w:t>
      </w:r>
      <w:r>
        <w:rPr>
          <w:rFonts w:ascii="黑体" w:hAnsi="黑体" w:eastAsia="黑体"/>
          <w:b w:val="false"/>
          <w:sz w:val="24"/>
          <w:szCs w:val="24"/>
        </w:rPr>
        <w:t>人员培训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本条应描述测试前和测试期间要进行的人员培训。此信息应与</w:t>
      </w:r>
      <w:r>
        <w:rPr>
          <w:sz w:val="24"/>
        </w:rPr>
        <w:t>4.X.9</w:t>
      </w:r>
      <w:r>
        <w:rPr>
          <w:sz w:val="24"/>
        </w:rPr>
        <w:t>所给出的人员需求有关。培训可包括用户使用说明、操作员使用说明、维护和控制组使用说明和对全体人员定向培训的简述。如果培训量大，可单独制定一个计划，而在此引用。</w:t>
      </w:r>
    </w:p>
    <w:p>
      <w:pPr>
        <w:pStyle w:val="300"/>
        <w:numPr>
          <w:ilvl w:val="0"/>
          <w:numId w:val="0"/>
        </w:numPr>
        <w:spacing w:lineRule="auto" w:line="360"/>
        <w:ind w:left="0" w:hanging="0"/>
        <w:rPr>
          <w:sz w:val="24"/>
          <w:szCs w:val="24"/>
        </w:rPr>
      </w:pPr>
      <w:bookmarkStart w:id="21" w:name="__RefHeading___Toc58519445"/>
      <w:bookmarkEnd w:id="21"/>
      <w:r>
        <w:rPr>
          <w:rFonts w:eastAsia="黑体" w:ascii="黑体" w:hAnsi="黑体"/>
          <w:sz w:val="24"/>
          <w:szCs w:val="24"/>
        </w:rPr>
        <w:t>4.X.11</w:t>
      </w:r>
      <w:r>
        <w:rPr>
          <w:b w:val="false"/>
          <w:sz w:val="24"/>
          <w:szCs w:val="24"/>
        </w:rPr>
        <w:t>要执行的测试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本条应通过引用第</w:t>
      </w:r>
      <w:r>
        <w:rPr>
          <w:sz w:val="24"/>
        </w:rPr>
        <w:t>5</w:t>
      </w:r>
      <w:r>
        <w:rPr>
          <w:sz w:val="24"/>
        </w:rPr>
        <w:t>章来标识测试现场要执行的测试。</w:t>
      </w:r>
    </w:p>
    <w:p>
      <w:pPr>
        <w:pStyle w:val="100"/>
        <w:numPr>
          <w:ilvl w:val="0"/>
          <w:numId w:val="3"/>
        </w:numPr>
        <w:rPr/>
      </w:pPr>
      <w:bookmarkStart w:id="22" w:name="__RefHeading___Toc58519446"/>
      <w:bookmarkEnd w:id="22"/>
      <w:r>
        <w:rPr/>
        <w:t>测试标识</w:t>
      </w:r>
    </w:p>
    <w:p>
      <w:pPr>
        <w:pStyle w:val="200"/>
        <w:numPr>
          <w:ilvl w:val="1"/>
          <w:numId w:val="3"/>
        </w:numPr>
        <w:rPr/>
      </w:pPr>
      <w:bookmarkStart w:id="23" w:name="__RefHeading___Toc58519447"/>
      <w:bookmarkEnd w:id="23"/>
      <w:r>
        <w:rPr/>
        <w:t>一般信息</w:t>
      </w:r>
    </w:p>
    <w:p>
      <w:pPr>
        <w:pStyle w:val="300"/>
        <w:numPr>
          <w:ilvl w:val="2"/>
          <w:numId w:val="3"/>
        </w:numPr>
        <w:spacing w:lineRule="auto" w:line="360"/>
        <w:rPr>
          <w:b w:val="false"/>
          <w:b w:val="false"/>
          <w:sz w:val="24"/>
          <w:szCs w:val="24"/>
        </w:rPr>
      </w:pPr>
      <w:bookmarkStart w:id="24" w:name="__RefHeading___Toc58519448"/>
      <w:bookmarkEnd w:id="24"/>
      <w:r>
        <w:rPr>
          <w:b w:val="false"/>
          <w:sz w:val="24"/>
          <w:szCs w:val="24"/>
        </w:rPr>
        <w:t>测试级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本条应描述要执行的测试的级别，例如</w:t>
      </w:r>
      <w:r>
        <w:rPr>
          <w:sz w:val="24"/>
        </w:rPr>
        <w:t>:CSCI</w:t>
      </w:r>
      <w:r>
        <w:rPr>
          <w:sz w:val="24"/>
        </w:rPr>
        <w:t>级或系统级。</w:t>
      </w:r>
    </w:p>
    <w:p>
      <w:pPr>
        <w:pStyle w:val="300"/>
        <w:numPr>
          <w:ilvl w:val="2"/>
          <w:numId w:val="3"/>
        </w:numPr>
        <w:spacing w:lineRule="auto" w:line="360"/>
        <w:rPr>
          <w:b w:val="false"/>
          <w:b w:val="false"/>
          <w:sz w:val="24"/>
          <w:szCs w:val="24"/>
        </w:rPr>
      </w:pPr>
      <w:bookmarkStart w:id="25" w:name="__RefHeading___Toc58519449"/>
      <w:bookmarkEnd w:id="25"/>
      <w:r>
        <w:rPr>
          <w:b w:val="false"/>
          <w:sz w:val="24"/>
          <w:szCs w:val="24"/>
        </w:rPr>
        <w:t>测试类别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本条应描述要执行的测试的类型或类别</w:t>
      </w:r>
      <w:r>
        <w:rPr>
          <w:sz w:val="24"/>
        </w:rPr>
        <w:t>(</w:t>
      </w:r>
      <w:r>
        <w:rPr>
          <w:sz w:val="24"/>
        </w:rPr>
        <w:t>例如，功能测试、性能测试、容量测试</w:t>
      </w:r>
      <w:r>
        <w:rPr>
          <w:sz w:val="24"/>
        </w:rPr>
        <w:t>)</w:t>
      </w:r>
      <w:r>
        <w:rPr>
          <w:sz w:val="24"/>
        </w:rPr>
        <w:t>。</w:t>
      </w:r>
    </w:p>
    <w:p>
      <w:pPr>
        <w:pStyle w:val="300"/>
        <w:numPr>
          <w:ilvl w:val="2"/>
          <w:numId w:val="3"/>
        </w:numPr>
        <w:spacing w:lineRule="auto" w:line="360"/>
        <w:rPr>
          <w:b w:val="false"/>
          <w:b w:val="false"/>
          <w:sz w:val="24"/>
          <w:szCs w:val="24"/>
        </w:rPr>
      </w:pPr>
      <w:bookmarkStart w:id="26" w:name="__RefHeading___Toc58519450"/>
      <w:bookmarkEnd w:id="26"/>
      <w:r>
        <w:rPr>
          <w:b w:val="false"/>
          <w:sz w:val="24"/>
          <w:szCs w:val="24"/>
        </w:rPr>
        <w:t>一般测试条件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本条应描述适用于所有测试或一组测试的条件，例如</w:t>
      </w:r>
      <w:r>
        <w:rPr>
          <w:sz w:val="24"/>
        </w:rPr>
        <w:t>:"</w:t>
      </w:r>
      <w:r>
        <w:rPr>
          <w:sz w:val="24"/>
        </w:rPr>
        <w:t>每个测试应包括额定值、最大值和最小值</w:t>
      </w:r>
      <w:r>
        <w:rPr>
          <w:sz w:val="24"/>
        </w:rPr>
        <w:t>;""</w:t>
      </w:r>
      <w:r>
        <w:rPr>
          <w:sz w:val="24"/>
        </w:rPr>
        <w:t>每个类型的测试应使用真实数据</w:t>
      </w:r>
      <w:r>
        <w:rPr>
          <w:sz w:val="24"/>
        </w:rPr>
        <w:t>""</w:t>
      </w:r>
      <w:r>
        <w:rPr>
          <w:sz w:val="24"/>
        </w:rPr>
        <w:t>应测量每个</w:t>
      </w:r>
      <w:r>
        <w:rPr>
          <w:sz w:val="24"/>
        </w:rPr>
        <w:t>CSCI</w:t>
      </w:r>
      <w:r>
        <w:rPr>
          <w:sz w:val="24"/>
        </w:rPr>
        <w:t>执行的规模与时间。气并陈述要执行的测试程度和所选测试程度的原理。测试程度应表示为占某个己妥善定义总量的百分比或其他抽样方法</w:t>
      </w:r>
      <w:r>
        <w:rPr>
          <w:sz w:val="24"/>
        </w:rPr>
        <w:t>(</w:t>
      </w:r>
      <w:r>
        <w:rPr>
          <w:sz w:val="24"/>
        </w:rPr>
        <w:t>如离散操作条件或取值，或者样本的数量</w:t>
      </w:r>
      <w:r>
        <w:rPr>
          <w:sz w:val="24"/>
        </w:rPr>
        <w:t>)</w:t>
      </w:r>
      <w:r>
        <w:rPr>
          <w:sz w:val="24"/>
        </w:rPr>
        <w:t>，还应包括再测试</w:t>
      </w:r>
      <w:r>
        <w:rPr>
          <w:sz w:val="24"/>
        </w:rPr>
        <w:t>/</w:t>
      </w:r>
      <w:r>
        <w:rPr>
          <w:sz w:val="24"/>
        </w:rPr>
        <w:t>回归测试所遵循的途径。</w:t>
      </w:r>
    </w:p>
    <w:p>
      <w:pPr>
        <w:pStyle w:val="300"/>
        <w:numPr>
          <w:ilvl w:val="2"/>
          <w:numId w:val="3"/>
        </w:numPr>
        <w:spacing w:lineRule="auto" w:line="360"/>
        <w:rPr>
          <w:b w:val="false"/>
          <w:b w:val="false"/>
          <w:sz w:val="24"/>
          <w:szCs w:val="24"/>
        </w:rPr>
      </w:pPr>
      <w:bookmarkStart w:id="27" w:name="__RefHeading___Toc58519451"/>
      <w:bookmarkEnd w:id="27"/>
      <w:r>
        <w:rPr>
          <w:b w:val="false"/>
          <w:sz w:val="24"/>
          <w:szCs w:val="24"/>
        </w:rPr>
        <w:t>测试进展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本条应阐明在渐进测试或累积测试情况下，计划的测试顺序或进展。</w:t>
      </w:r>
    </w:p>
    <w:p>
      <w:pPr>
        <w:pStyle w:val="300"/>
        <w:numPr>
          <w:ilvl w:val="2"/>
          <w:numId w:val="3"/>
        </w:numPr>
        <w:spacing w:lineRule="auto" w:line="360"/>
        <w:rPr>
          <w:b w:val="false"/>
          <w:b w:val="false"/>
          <w:sz w:val="24"/>
          <w:szCs w:val="24"/>
        </w:rPr>
      </w:pPr>
      <w:bookmarkStart w:id="28" w:name="__RefHeading___Toc58519452"/>
      <w:bookmarkEnd w:id="28"/>
      <w:r>
        <w:rPr>
          <w:b w:val="false"/>
          <w:sz w:val="24"/>
          <w:szCs w:val="24"/>
        </w:rPr>
        <w:t>数据记录、整理和分析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本条应标识并描述在本</w:t>
      </w:r>
      <w:r>
        <w:rPr>
          <w:sz w:val="24"/>
        </w:rPr>
        <w:t>STP</w:t>
      </w:r>
      <w:r>
        <w:rPr>
          <w:sz w:val="24"/>
        </w:rPr>
        <w:t>中标识的测试期间和测试之后要使用的数据的记录、整理和分析规程。</w:t>
      </w:r>
      <w:r>
        <w:rPr>
          <w:sz w:val="24"/>
        </w:rPr>
        <w:t>(</w:t>
      </w:r>
      <w:r>
        <w:rPr>
          <w:sz w:val="24"/>
        </w:rPr>
        <w:t>若适用</w:t>
      </w:r>
      <w:r>
        <w:rPr>
          <w:sz w:val="24"/>
        </w:rPr>
        <w:t>)</w:t>
      </w:r>
      <w:r>
        <w:rPr>
          <w:sz w:val="24"/>
        </w:rPr>
        <w:t>这些规程包括记录测试结果、将原始结果处理为适合评价的形式、以及保留数据整理与分析结果等可能用到的手工、自动和半自动技术。</w:t>
      </w:r>
    </w:p>
    <w:p>
      <w:pPr>
        <w:pStyle w:val="200"/>
        <w:numPr>
          <w:ilvl w:val="1"/>
          <w:numId w:val="3"/>
        </w:numPr>
        <w:rPr/>
      </w:pPr>
      <w:bookmarkStart w:id="29" w:name="__RefHeading___Toc58519453"/>
      <w:bookmarkEnd w:id="29"/>
      <w:r>
        <w:rPr/>
        <w:t>计划执行的测试</w:t>
      </w:r>
    </w:p>
    <w:p>
      <w:pPr>
        <w:pStyle w:val="300"/>
        <w:numPr>
          <w:ilvl w:val="0"/>
          <w:numId w:val="0"/>
        </w:numPr>
        <w:spacing w:lineRule="auto" w:line="360"/>
        <w:ind w:left="0" w:hanging="0"/>
        <w:rPr>
          <w:sz w:val="24"/>
          <w:szCs w:val="24"/>
        </w:rPr>
      </w:pPr>
      <w:bookmarkStart w:id="30" w:name="__RefHeading___Toc58519454"/>
      <w:bookmarkEnd w:id="30"/>
      <w:r>
        <w:rPr>
          <w:rFonts w:eastAsia="黑体" w:ascii="黑体" w:hAnsi="黑体"/>
          <w:sz w:val="24"/>
          <w:szCs w:val="24"/>
        </w:rPr>
        <w:t>5.2.X</w:t>
      </w:r>
      <w:r>
        <w:rPr>
          <w:b w:val="false"/>
          <w:sz w:val="24"/>
          <w:szCs w:val="24"/>
        </w:rPr>
        <w:t>(</w:t>
      </w:r>
      <w:r>
        <w:rPr>
          <w:b w:val="false"/>
          <w:sz w:val="24"/>
          <w:szCs w:val="24"/>
        </w:rPr>
        <w:t>测试项</w:t>
      </w:r>
      <w:r>
        <w:rPr>
          <w:b w:val="false"/>
          <w:sz w:val="24"/>
          <w:szCs w:val="24"/>
        </w:rPr>
        <w:t>)</w:t>
      </w:r>
    </w:p>
    <w:p>
      <w:pPr>
        <w:pStyle w:val="Heading4"/>
        <w:numPr>
          <w:ilvl w:val="0"/>
          <w:numId w:val="0"/>
        </w:numPr>
        <w:snapToGrid w:val="false"/>
        <w:spacing w:lineRule="auto" w:line="360" w:before="0" w:after="0"/>
        <w:ind w:left="0" w:hanging="0"/>
        <w:rPr>
          <w:sz w:val="24"/>
          <w:szCs w:val="24"/>
        </w:rPr>
      </w:pPr>
      <w:r>
        <w:rPr>
          <w:rFonts w:ascii="黑体" w:hAnsi="黑体"/>
          <w:sz w:val="24"/>
          <w:szCs w:val="24"/>
        </w:rPr>
        <w:t>5.2.X.Y</w:t>
      </w:r>
      <w:r>
        <w:rPr>
          <w:rFonts w:eastAsia="宋体" w:cs="宋体" w:ascii="宋体" w:hAnsi="宋体"/>
          <w:b w:val="false"/>
          <w:sz w:val="24"/>
          <w:szCs w:val="24"/>
        </w:rPr>
        <w:t>(</w:t>
      </w:r>
      <w:r>
        <w:rPr>
          <w:rFonts w:ascii="宋体" w:hAnsi="宋体" w:cs="宋体" w:eastAsia="宋体"/>
          <w:b w:val="false"/>
          <w:sz w:val="24"/>
          <w:szCs w:val="24"/>
        </w:rPr>
        <w:t>测试项的项目唯一的标识符</w:t>
      </w:r>
      <w:r>
        <w:rPr>
          <w:rFonts w:eastAsia="宋体" w:cs="宋体" w:ascii="宋体" w:hAnsi="宋体"/>
          <w:b w:val="false"/>
          <w:sz w:val="24"/>
          <w:szCs w:val="24"/>
        </w:rPr>
        <w:t>)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本条应使用项目唯一的标识符标识一个测试项，并为该测试提供下述测试信息。根据需要可引用</w:t>
      </w:r>
      <w:r>
        <w:rPr>
          <w:sz w:val="24"/>
        </w:rPr>
        <w:t>4.1</w:t>
      </w:r>
      <w:r>
        <w:rPr>
          <w:sz w:val="24"/>
        </w:rPr>
        <w:t>中的一般信息。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a)</w:t>
      </w:r>
      <w:r>
        <w:rPr>
          <w:sz w:val="24"/>
        </w:rPr>
        <w:t>测试对象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b)</w:t>
      </w:r>
      <w:r>
        <w:rPr>
          <w:sz w:val="24"/>
        </w:rPr>
        <w:t>测试级</w:t>
      </w:r>
      <w:r>
        <w:rPr>
          <w:sz w:val="24"/>
        </w:rPr>
        <w:t>;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c)</w:t>
      </w:r>
      <w:r>
        <w:rPr>
          <w:sz w:val="24"/>
        </w:rPr>
        <w:t>测试类型或类别；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d)</w:t>
      </w:r>
      <w:r>
        <w:rPr>
          <w:sz w:val="24"/>
        </w:rPr>
        <w:t>需求规格说明中所规定的合格性方法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e)</w:t>
      </w:r>
      <w:r>
        <w:rPr>
          <w:sz w:val="24"/>
        </w:rPr>
        <w:t>本测试涉及的</w:t>
      </w:r>
      <w:r>
        <w:rPr>
          <w:sz w:val="24"/>
        </w:rPr>
        <w:t>CSCI</w:t>
      </w:r>
      <w:r>
        <w:rPr>
          <w:sz w:val="24"/>
        </w:rPr>
        <w:t>需求的标识符和</w:t>
      </w:r>
      <w:r>
        <w:rPr>
          <w:sz w:val="24"/>
        </w:rPr>
        <w:t>(</w:t>
      </w:r>
      <w:r>
        <w:rPr>
          <w:sz w:val="24"/>
        </w:rPr>
        <w:t>若适用</w:t>
      </w:r>
      <w:r>
        <w:rPr>
          <w:sz w:val="24"/>
        </w:rPr>
        <w:t>)</w:t>
      </w:r>
      <w:r>
        <w:rPr>
          <w:sz w:val="24"/>
        </w:rPr>
        <w:t>软件系统需求标识符</w:t>
      </w:r>
      <w:r>
        <w:rPr>
          <w:sz w:val="24"/>
        </w:rPr>
        <w:t>(</w:t>
      </w:r>
      <w:r>
        <w:rPr>
          <w:sz w:val="24"/>
        </w:rPr>
        <w:t>此信息亦可在第</w:t>
      </w:r>
      <w:r>
        <w:rPr>
          <w:sz w:val="24"/>
        </w:rPr>
        <w:t>6</w:t>
      </w:r>
      <w:r>
        <w:rPr>
          <w:sz w:val="24"/>
        </w:rPr>
        <w:t>章中提供</w:t>
      </w:r>
      <w:r>
        <w:rPr>
          <w:sz w:val="24"/>
        </w:rPr>
        <w:t>);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f)</w:t>
      </w:r>
      <w:r>
        <w:rPr>
          <w:sz w:val="24"/>
        </w:rPr>
        <w:t>特殊需求</w:t>
      </w:r>
      <w:r>
        <w:rPr>
          <w:sz w:val="24"/>
        </w:rPr>
        <w:t>(</w:t>
      </w:r>
      <w:r>
        <w:rPr>
          <w:sz w:val="24"/>
        </w:rPr>
        <w:t>例如，设备连续工作</w:t>
      </w:r>
      <w:r>
        <w:rPr>
          <w:sz w:val="24"/>
        </w:rPr>
        <w:t>48</w:t>
      </w:r>
      <w:r>
        <w:rPr>
          <w:sz w:val="24"/>
        </w:rPr>
        <w:t>小时、武器模拟、测试程度、特殊输入或数据库的使用</w:t>
      </w:r>
      <w:r>
        <w:rPr>
          <w:sz w:val="24"/>
        </w:rPr>
        <w:t>);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g)</w:t>
      </w:r>
      <w:r>
        <w:rPr>
          <w:sz w:val="24"/>
        </w:rPr>
        <w:t>要记录的数据的类型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h)</w:t>
      </w:r>
      <w:r>
        <w:rPr>
          <w:sz w:val="24"/>
        </w:rPr>
        <w:t>要采用的数据记录</w:t>
      </w:r>
      <w:r>
        <w:rPr>
          <w:sz w:val="24"/>
        </w:rPr>
        <w:t>/</w:t>
      </w:r>
      <w:r>
        <w:rPr>
          <w:sz w:val="24"/>
        </w:rPr>
        <w:t>整理</w:t>
      </w:r>
      <w:r>
        <w:rPr>
          <w:sz w:val="24"/>
        </w:rPr>
        <w:t>/</w:t>
      </w:r>
      <w:r>
        <w:rPr>
          <w:sz w:val="24"/>
        </w:rPr>
        <w:t>分析的类型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i)</w:t>
      </w:r>
      <w:r>
        <w:rPr>
          <w:sz w:val="24"/>
        </w:rPr>
        <w:t>假设与约束，例如由于系统或测试条件诸如时间、接口、设备、人员、数据库等原因而对测试产生的预期限制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j)</w:t>
      </w:r>
      <w:r>
        <w:rPr>
          <w:sz w:val="24"/>
        </w:rPr>
        <w:t>与测试有关的安全性和保密性考虑。</w:t>
      </w:r>
    </w:p>
    <w:p>
      <w:pPr>
        <w:pStyle w:val="100"/>
        <w:numPr>
          <w:ilvl w:val="0"/>
          <w:numId w:val="3"/>
        </w:numPr>
        <w:rPr/>
      </w:pPr>
      <w:bookmarkStart w:id="31" w:name="__RefHeading___Toc58519455"/>
      <w:bookmarkEnd w:id="31"/>
      <w:r>
        <w:rPr/>
        <w:t>测试进度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本章应包含或引用实施本计划中所标识测试的进度表。包括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a)</w:t>
      </w:r>
      <w:r>
        <w:rPr>
          <w:sz w:val="24"/>
        </w:rPr>
        <w:t>描述己安排测试的现场和将执行测试的时间框架的图表。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b)</w:t>
      </w:r>
      <w:r>
        <w:rPr>
          <w:sz w:val="24"/>
        </w:rPr>
        <w:t>每个测试现场的进度表，</w:t>
      </w:r>
      <w:r>
        <w:rPr>
          <w:sz w:val="24"/>
        </w:rPr>
        <w:t>(</w:t>
      </w:r>
      <w:r>
        <w:rPr>
          <w:sz w:val="24"/>
        </w:rPr>
        <w:t>若适用</w:t>
      </w:r>
      <w:r>
        <w:rPr>
          <w:sz w:val="24"/>
        </w:rPr>
        <w:t>)</w:t>
      </w:r>
      <w:r>
        <w:rPr>
          <w:sz w:val="24"/>
        </w:rPr>
        <w:t>它可按时间顺序描述以下所列活动与事件，根据需要可增加支持性说明。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1)</w:t>
      </w:r>
      <w:r>
        <w:rPr>
          <w:sz w:val="24"/>
        </w:rPr>
        <w:t>现场测试的时间和分配给测试主要部分的时间</w:t>
      </w:r>
      <w:r>
        <w:rPr>
          <w:sz w:val="24"/>
        </w:rPr>
        <w:t>;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2)</w:t>
      </w:r>
      <w:r>
        <w:rPr>
          <w:sz w:val="24"/>
        </w:rPr>
        <w:t>现场测试前，用于建立软件测试环境和其他设各、进行系统调试、定向培训和熟悉工作所需的时间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3)</w:t>
      </w:r>
      <w:r>
        <w:rPr>
          <w:sz w:val="24"/>
        </w:rPr>
        <w:t>测试所需的数据库</w:t>
      </w:r>
      <w:r>
        <w:rPr>
          <w:sz w:val="24"/>
        </w:rPr>
        <w:t>/</w:t>
      </w:r>
      <w:r>
        <w:rPr>
          <w:sz w:val="24"/>
        </w:rPr>
        <w:t>数据文件值、输入值和其他运行数据等的收集</w:t>
      </w:r>
      <w:r>
        <w:rPr>
          <w:sz w:val="24"/>
        </w:rPr>
        <w:t>;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4)</w:t>
      </w:r>
      <w:r>
        <w:rPr>
          <w:sz w:val="24"/>
        </w:rPr>
        <w:t>实施测试，包括计划中的再测试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5)</w:t>
      </w:r>
      <w:r>
        <w:rPr>
          <w:sz w:val="24"/>
        </w:rPr>
        <w:t>软件测试报告</w:t>
      </w:r>
      <w:r>
        <w:rPr>
          <w:sz w:val="24"/>
        </w:rPr>
        <w:t>(STR)</w:t>
      </w:r>
      <w:r>
        <w:rPr>
          <w:sz w:val="24"/>
        </w:rPr>
        <w:t>的准备、评审和批准。</w:t>
      </w:r>
    </w:p>
    <w:p>
      <w:pPr>
        <w:pStyle w:val="100"/>
        <w:numPr>
          <w:ilvl w:val="0"/>
          <w:numId w:val="3"/>
        </w:numPr>
        <w:rPr/>
      </w:pPr>
      <w:bookmarkStart w:id="32" w:name="__RefHeading___Toc58519456"/>
      <w:bookmarkEnd w:id="32"/>
      <w:r>
        <w:rPr/>
        <w:t>测试终止条件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本章应描述被测软件的评价准则和方法，以及可以结束测试的条件。</w:t>
      </w:r>
    </w:p>
    <w:p>
      <w:pPr>
        <w:pStyle w:val="100"/>
        <w:numPr>
          <w:ilvl w:val="0"/>
          <w:numId w:val="3"/>
        </w:numPr>
        <w:rPr/>
      </w:pPr>
      <w:bookmarkStart w:id="33" w:name="__RefHeading___Toc58519457"/>
      <w:bookmarkEnd w:id="33"/>
      <w:r>
        <w:rPr/>
        <w:t>需求的可追踪性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本章应描述</w:t>
      </w:r>
      <w:r>
        <w:rPr>
          <w:sz w:val="24"/>
        </w:rPr>
        <w:t>: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a)</w:t>
      </w:r>
      <w:r>
        <w:rPr>
          <w:sz w:val="24"/>
        </w:rPr>
        <w:t>从本计划所标识的每个测试到它所涉及的</w:t>
      </w:r>
      <w:r>
        <w:rPr>
          <w:sz w:val="24"/>
        </w:rPr>
        <w:t>CSCI</w:t>
      </w:r>
      <w:r>
        <w:rPr>
          <w:sz w:val="24"/>
        </w:rPr>
        <w:t>需求和</w:t>
      </w:r>
      <w:r>
        <w:rPr>
          <w:sz w:val="24"/>
        </w:rPr>
        <w:t>(</w:t>
      </w:r>
      <w:r>
        <w:rPr>
          <w:sz w:val="24"/>
        </w:rPr>
        <w:t>若适用</w:t>
      </w:r>
      <w:r>
        <w:rPr>
          <w:sz w:val="24"/>
        </w:rPr>
        <w:t>)</w:t>
      </w:r>
      <w:r>
        <w:rPr>
          <w:sz w:val="24"/>
        </w:rPr>
        <w:t>软件系统需求的可追踪性</w:t>
      </w:r>
      <w:r>
        <w:rPr>
          <w:sz w:val="24"/>
        </w:rPr>
        <w:t>(</w:t>
      </w:r>
      <w:r>
        <w:rPr>
          <w:sz w:val="24"/>
        </w:rPr>
        <w:t>此可追踪性亦可在</w:t>
      </w:r>
      <w:r>
        <w:rPr>
          <w:sz w:val="24"/>
        </w:rPr>
        <w:t>5.2.X.Y</w:t>
      </w:r>
      <w:r>
        <w:rPr>
          <w:sz w:val="24"/>
        </w:rPr>
        <w:t>中提供，而在此引用</w:t>
      </w:r>
      <w:r>
        <w:rPr>
          <w:sz w:val="24"/>
        </w:rPr>
        <w:t>)</w:t>
      </w:r>
      <w:r>
        <w:rPr>
          <w:sz w:val="24"/>
        </w:rPr>
        <w:t>。</w:t>
      </w:r>
    </w:p>
    <w:p>
      <w:pPr>
        <w:pStyle w:val="Normal"/>
        <w:snapToGrid w:val="false"/>
        <w:spacing w:lineRule="auto" w:line="300"/>
        <w:ind w:firstLine="480"/>
        <w:rPr>
          <w:sz w:val="24"/>
        </w:rPr>
      </w:pPr>
      <w:r>
        <w:rPr>
          <w:sz w:val="24"/>
        </w:rPr>
        <w:t>b)</w:t>
      </w:r>
      <w:r>
        <w:rPr>
          <w:sz w:val="24"/>
        </w:rPr>
        <w:t>从本测试计划所覆盖的每个</w:t>
      </w:r>
      <w:r>
        <w:rPr>
          <w:sz w:val="24"/>
        </w:rPr>
        <w:t>CSCI</w:t>
      </w:r>
      <w:r>
        <w:rPr>
          <w:sz w:val="24"/>
        </w:rPr>
        <w:t>需求和</w:t>
      </w:r>
      <w:r>
        <w:rPr>
          <w:sz w:val="24"/>
        </w:rPr>
        <w:t>(</w:t>
      </w:r>
      <w:r>
        <w:rPr>
          <w:sz w:val="24"/>
        </w:rPr>
        <w:t>若适用</w:t>
      </w:r>
      <w:r>
        <w:rPr>
          <w:sz w:val="24"/>
        </w:rPr>
        <w:t>)</w:t>
      </w:r>
      <w:r>
        <w:rPr>
          <w:sz w:val="24"/>
        </w:rPr>
        <w:t>软件系统需求到涉及它的测试的可追踪性。这种可追踪性应覆盖所有适用的软件需求规格说明</w:t>
      </w:r>
      <w:r>
        <w:rPr>
          <w:sz w:val="24"/>
        </w:rPr>
        <w:t>(SRS)</w:t>
      </w:r>
      <w:r>
        <w:rPr>
          <w:sz w:val="24"/>
        </w:rPr>
        <w:t>和相关接口需求规格说明</w:t>
      </w:r>
      <w:r>
        <w:rPr>
          <w:sz w:val="24"/>
        </w:rPr>
        <w:t>(IRS)</w:t>
      </w:r>
      <w:r>
        <w:rPr>
          <w:sz w:val="24"/>
        </w:rPr>
        <w:t>中的</w:t>
      </w:r>
      <w:r>
        <w:rPr>
          <w:sz w:val="24"/>
        </w:rPr>
        <w:t>CSCI</w:t>
      </w:r>
      <w:r>
        <w:rPr>
          <w:sz w:val="24"/>
        </w:rPr>
        <w:t>需求</w:t>
      </w:r>
      <w:r>
        <w:rPr>
          <w:sz w:val="24"/>
        </w:rPr>
        <w:t>:</w:t>
      </w:r>
      <w:r>
        <w:rPr>
          <w:sz w:val="24"/>
        </w:rPr>
        <w:t>对于软件系统，还应覆盖所有适用的系统</w:t>
      </w:r>
      <w:r>
        <w:rPr>
          <w:sz w:val="24"/>
        </w:rPr>
        <w:t>/</w:t>
      </w:r>
      <w:r>
        <w:rPr>
          <w:sz w:val="24"/>
        </w:rPr>
        <w:t>子系统规格说明</w:t>
      </w:r>
      <w:r>
        <w:rPr>
          <w:sz w:val="24"/>
        </w:rPr>
        <w:t>(SSS)</w:t>
      </w:r>
      <w:r>
        <w:rPr>
          <w:sz w:val="24"/>
        </w:rPr>
        <w:t>及相关系统级</w:t>
      </w:r>
      <w:r>
        <w:rPr>
          <w:sz w:val="24"/>
        </w:rPr>
        <w:t>IRS</w:t>
      </w:r>
      <w:r>
        <w:rPr>
          <w:sz w:val="24"/>
        </w:rPr>
        <w:t>中的系统需求。</w:t>
      </w:r>
    </w:p>
    <w:p>
      <w:pPr>
        <w:pStyle w:val="100"/>
        <w:numPr>
          <w:ilvl w:val="0"/>
          <w:numId w:val="3"/>
        </w:numPr>
        <w:rPr/>
      </w:pPr>
      <w:bookmarkStart w:id="34" w:name="__RefHeading___Toc58519458"/>
      <w:bookmarkEnd w:id="34"/>
      <w:r>
        <w:rPr/>
        <w:t>注释</w:t>
      </w:r>
    </w:p>
    <w:p>
      <w:pPr>
        <w:pStyle w:val="Normal"/>
        <w:snapToGrid w:val="false"/>
        <w:spacing w:lineRule="auto" w:line="360"/>
        <w:ind w:firstLine="480"/>
        <w:rPr>
          <w:sz w:val="24"/>
        </w:rPr>
      </w:pPr>
      <w:r>
        <w:rPr>
          <w:sz w:val="24"/>
        </w:rPr>
        <w:t>本章应包括有助于了解文档的所有信息</w:t>
      </w:r>
      <w:r>
        <w:rPr>
          <w:sz w:val="24"/>
        </w:rPr>
        <w:t>(</w:t>
      </w:r>
      <w:r>
        <w:rPr>
          <w:sz w:val="24"/>
        </w:rPr>
        <w:t>例如</w:t>
      </w:r>
      <w:r>
        <w:rPr>
          <w:sz w:val="24"/>
        </w:rPr>
        <w:t>:</w:t>
      </w:r>
      <w:r>
        <w:rPr>
          <w:sz w:val="24"/>
        </w:rPr>
        <w:t>背景、术语、缩略语或公式</w:t>
      </w:r>
      <w:r>
        <w:rPr>
          <w:sz w:val="24"/>
        </w:rPr>
        <w:t>)</w:t>
      </w:r>
      <w:r>
        <w:rPr>
          <w:sz w:val="24"/>
        </w:rPr>
        <w:t>。</w:t>
      </w:r>
    </w:p>
    <w:p>
      <w:pPr>
        <w:pStyle w:val="Normal"/>
        <w:rPr>
          <w:sz w:val="24"/>
        </w:rPr>
      </w:pPr>
      <w:r>
        <w:rPr>
          <w:sz w:val="24"/>
        </w:rPr>
      </w:r>
    </w:p>
    <w:sectPr>
      <w:headerReference w:type="default" r:id="rId4"/>
      <w:footerReference w:type="default" r:id="rId5"/>
      <w:type w:val="nextPage"/>
      <w:pgSz w:w="11906" w:h="16838"/>
      <w:pgMar w:left="1800" w:right="1800" w:gutter="0" w:header="851" w:top="1440" w:footer="992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Arial">
    <w:charset w:val="00"/>
    <w:family w:val="swiss"/>
    <w:pitch w:val="default"/>
  </w:font>
  <w:font w:name="黑体">
    <w:charset w:val="86"/>
    <w:family w:val="auto"/>
    <w:pitch w:val="default"/>
  </w:font>
  <w:font w:name="Times">
    <w:altName w:val="Times New Roman"/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宋体">
    <w:charset w:val="86"/>
    <w:family w:val="auto"/>
    <w:pitch w:val="default"/>
  </w:font>
  <w:font w:name="Verdana">
    <w:charset w:val="00"/>
    <w:family w:val="swiss"/>
    <w:pitch w:val="default"/>
  </w:font>
  <w:font w:name="等线 Light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kern w:val="0"/>
        <w:szCs w:val="21"/>
      </w:rPr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I</w:t>
    </w:r>
    <w:r>
      <w:rPr>
        <w:kern w:val="0"/>
        <w:szCs w:val="21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kern w:val="0"/>
        <w:szCs w:val="21"/>
      </w:rPr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6</w:t>
    </w:r>
    <w:r>
      <w:rPr>
        <w:kern w:val="0"/>
        <w:szCs w:val="21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behindDoc="0" distT="114935" distB="114935" distL="114935" distR="114935" simplePos="0" locked="0" layoutInCell="0" allowOverlap="1" relativeHeight="2">
              <wp:simplePos x="0" y="0"/>
              <wp:positionH relativeFrom="column">
                <wp:align>center</wp:align>
              </wp:positionH>
              <wp:positionV relativeFrom="page">
                <wp:posOffset>915035</wp:posOffset>
              </wp:positionV>
              <wp:extent cx="5941060" cy="147955"/>
              <wp:effectExtent l="0" t="0" r="0" b="0"/>
              <wp:wrapSquare wrapText="largest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106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67.8pt;height:11.65pt;mso-wrap-distance-left:9.05pt;mso-wrap-distance-right:9.05pt;mso-wrap-distance-top:9.05pt;mso-wrap-distance-bottom:9.05pt;margin-top:72.05pt;mso-position-vertical-relative:page;margin-left:-26.2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Header"/>
                      <w:rPr/>
                    </w:pPr>
                    <w:r>
                      <w:rPr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  <w:r>
      <mc:AlternateContent>
        <mc:Choice Requires="wps">
          <w:drawing>
            <wp:anchor behindDoc="0" distT="114935" distB="114935" distL="114935" distR="114935" simplePos="0" locked="0" layoutInCell="0" allowOverlap="1" relativeHeight="7">
              <wp:simplePos x="0" y="0"/>
              <wp:positionH relativeFrom="column">
                <wp:align>center</wp:align>
              </wp:positionH>
              <wp:positionV relativeFrom="page">
                <wp:posOffset>915035</wp:posOffset>
              </wp:positionV>
              <wp:extent cx="5941060" cy="147955"/>
              <wp:effectExtent l="0" t="0" r="0" b="0"/>
              <wp:wrapSquare wrapText="largest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41060" cy="14795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67.8pt;height:11.65pt;mso-wrap-distance-left:9.05pt;mso-wrap-distance-right:9.05pt;mso-wrap-distance-top:9.05pt;mso-wrap-distance-bottom:9.05pt;margin-top:72.05pt;mso-position-vertical-relative:page;margin-left:-26.25pt;mso-position-horizontal:center;mso-position-horizontal-relative:text">
              <v:fill opacity="0f"/>
              <v:textbox inset="0in,0in,0in,0in">
                <w:txbxContent>
                  <w:p>
                    <w:pPr>
                      <w:pStyle w:val="Header"/>
                      <w:rPr/>
                    </w:pPr>
                    <w:r>
                      <w:rPr/>
                    </w:r>
                  </w:p>
                </w:txbxContent>
              </v:textbox>
              <w10:wrap type="square" side="largest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lowerLetter"/>
      <w:lvlText w:val="%1）"/>
      <w:lvlJc w:val="left"/>
      <w:pPr>
        <w:tabs>
          <w:tab w:val="num" w:pos="0"/>
        </w:tabs>
        <w:ind w:left="842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1322" w:hanging="42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742" w:hanging="42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162" w:hanging="420"/>
      </w:pPr>
    </w:lvl>
    <w:lvl w:ilvl="4">
      <w:start w:val="1"/>
      <w:numFmt w:val="lowerLetter"/>
      <w:lvlText w:val="%5)"/>
      <w:lvlJc w:val="left"/>
      <w:pPr>
        <w:tabs>
          <w:tab w:val="num" w:pos="0"/>
        </w:tabs>
        <w:ind w:left="2582" w:hanging="42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002" w:hanging="42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422" w:hanging="420"/>
      </w:pPr>
    </w:lvl>
    <w:lvl w:ilvl="7">
      <w:start w:val="1"/>
      <w:numFmt w:val="lowerLetter"/>
      <w:lvlText w:val="%8)"/>
      <w:lvlJc w:val="left"/>
      <w:pPr>
        <w:tabs>
          <w:tab w:val="num" w:pos="0"/>
        </w:tabs>
        <w:ind w:left="3842" w:hanging="42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4262" w:hanging="420"/>
      </w:pPr>
    </w:lvl>
  </w:abstractNum>
  <w:abstractNum w:abstractNumId="3">
    <w:lvl w:ilvl="0">
      <w:start w:val="1"/>
      <w:numFmt w:val="decimal"/>
      <w:suff w:val="space"/>
      <w:lvlText w:val="%1 "/>
      <w:lvlJc w:val="left"/>
      <w:pPr>
        <w:tabs>
          <w:tab w:val="num" w:pos="0"/>
        </w:tabs>
        <w:ind w:left="0" w:hanging="0"/>
      </w:pPr>
      <w:rPr>
        <w:sz w:val="24"/>
        <w:i w:val="false"/>
        <w:b/>
        <w:szCs w:val="24"/>
        <w:rFonts w:ascii="黑体" w:hAnsi="黑体" w:eastAsia="黑体"/>
      </w:rPr>
    </w:lvl>
    <w:lvl w:ilvl="1">
      <w:start w:val="1"/>
      <w:numFmt w:val="decimal"/>
      <w:suff w:val="space"/>
      <w:lvlText w:val="%1.%2 "/>
      <w:lvlJc w:val="left"/>
      <w:pPr>
        <w:tabs>
          <w:tab w:val="num" w:pos="0"/>
        </w:tabs>
        <w:ind w:left="0" w:hanging="0"/>
      </w:pPr>
      <w:rPr>
        <w:sz w:val="24"/>
        <w:i w:val="false"/>
        <w:b/>
        <w:rFonts w:ascii="黑体" w:hAnsi="黑体" w:eastAsia="黑体"/>
      </w:rPr>
    </w:lvl>
    <w:lvl w:ilvl="2">
      <w:start w:val="1"/>
      <w:numFmt w:val="decimal"/>
      <w:suff w:val="space"/>
      <w:lvlText w:val="%1.%2.%3 "/>
      <w:lvlJc w:val="left"/>
      <w:pPr>
        <w:tabs>
          <w:tab w:val="num" w:pos="0"/>
        </w:tabs>
        <w:ind w:left="0" w:hanging="0"/>
      </w:pPr>
      <w:rPr>
        <w:sz w:val="24"/>
        <w:i w:val="false"/>
        <w:b/>
        <w:kern w:val="0"/>
        <w:rFonts w:ascii="黑体" w:hAnsi="黑体" w:eastAsia="黑体"/>
      </w:rPr>
    </w:lvl>
    <w:lvl w:ilvl="3">
      <w:start w:val="1"/>
      <w:numFmt w:val="decimal"/>
      <w:suff w:val="space"/>
      <w:lvlText w:val="%1.%2.%3.%4 "/>
      <w:lvlJc w:val="left"/>
      <w:pPr>
        <w:tabs>
          <w:tab w:val="num" w:pos="0"/>
        </w:tabs>
        <w:ind w:left="0" w:hanging="0"/>
      </w:pPr>
      <w:rPr>
        <w:sz w:val="24"/>
        <w:i w:val="false"/>
        <w:b/>
        <w:rFonts w:ascii="黑体" w:hAnsi="黑体" w:eastAsia="黑体"/>
      </w:rPr>
    </w:lvl>
    <w:lvl w:ilvl="4">
      <w:start w:val="1"/>
      <w:numFmt w:val="decimal"/>
      <w:suff w:val="space"/>
      <w:lvlText w:val="%1.%2.%3.%4.%5"/>
      <w:lvlJc w:val="left"/>
      <w:pPr>
        <w:tabs>
          <w:tab w:val="num" w:pos="0"/>
        </w:tabs>
        <w:ind w:left="0" w:hanging="0"/>
      </w:pPr>
      <w:rPr>
        <w:sz w:val="24"/>
        <w:i w:val="false"/>
        <w:b/>
        <w:rFonts w:ascii="黑体" w:hAnsi="黑体" w:eastAsia="黑体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80"/>
  <w:displayBackgroundShape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Micro Hei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3"/>
      </w:numPr>
      <w:spacing w:lineRule="auto" w:line="576" w:before="340" w:after="330"/>
      <w:outlineLvl w:val="0"/>
    </w:pPr>
    <w:rPr>
      <w:b/>
      <w:bCs/>
      <w:kern w:val="2"/>
      <w:sz w:val="44"/>
      <w:szCs w:val="44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3"/>
      </w:numPr>
      <w:spacing w:lineRule="auto" w:line="415" w:before="260" w:after="260"/>
      <w:outlineLvl w:val="1"/>
    </w:pPr>
    <w:rPr>
      <w:rFonts w:ascii="Arial" w:hAnsi="Arial" w:eastAsia="黑体" w:cs="Arial"/>
      <w:b/>
      <w:bCs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3"/>
      </w:numPr>
      <w:spacing w:lineRule="auto" w:line="415" w:before="260" w:after="260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3"/>
      </w:numPr>
      <w:spacing w:lineRule="auto" w:line="374" w:before="280" w:after="290"/>
      <w:outlineLvl w:val="3"/>
    </w:pPr>
    <w:rPr>
      <w:rFonts w:ascii="Arial" w:hAnsi="Arial" w:eastAsia="黑体" w:cs="Arial"/>
      <w:b/>
      <w:bCs/>
      <w:sz w:val="28"/>
      <w:szCs w:val="28"/>
    </w:rPr>
  </w:style>
  <w:style w:type="character" w:styleId="WW8Num1z0">
    <w:name w:val="WW8Num1z0"/>
    <w:qFormat/>
    <w:rPr/>
  </w:style>
  <w:style w:type="character" w:styleId="WW8Num2z0">
    <w:name w:val="WW8Num2z0"/>
    <w:qFormat/>
    <w:rPr>
      <w:rFonts w:ascii="黑体" w:hAnsi="黑体" w:eastAsia="黑体"/>
      <w:b/>
      <w:i w:val="false"/>
      <w:sz w:val="24"/>
      <w:szCs w:val="24"/>
    </w:rPr>
  </w:style>
  <w:style w:type="character" w:styleId="WW8Num2z1">
    <w:name w:val="WW8Num2z1"/>
    <w:qFormat/>
    <w:rPr>
      <w:rFonts w:ascii="黑体" w:hAnsi="黑体" w:eastAsia="黑体"/>
      <w:b/>
      <w:i w:val="false"/>
      <w:sz w:val="24"/>
    </w:rPr>
  </w:style>
  <w:style w:type="character" w:styleId="WW8Num2z2">
    <w:name w:val="WW8Num2z2"/>
    <w:qFormat/>
    <w:rPr>
      <w:rFonts w:ascii="黑体" w:hAnsi="黑体" w:eastAsia="黑体"/>
      <w:b/>
      <w:i w:val="false"/>
      <w:kern w:val="0"/>
      <w:sz w:val="24"/>
    </w:rPr>
  </w:style>
  <w:style w:type="character" w:styleId="WW8Num2z5">
    <w:name w:val="WW8Num2z5"/>
    <w:qFormat/>
    <w:rPr/>
  </w:style>
  <w:style w:type="character" w:styleId="Style10">
    <w:name w:val="默认段落字体"/>
    <w:qFormat/>
    <w:rPr/>
  </w:style>
  <w:style w:type="character" w:styleId="PageNumber">
    <w:name w:val="Page Number"/>
    <w:basedOn w:val="Style10"/>
    <w:rPr/>
  </w:style>
  <w:style w:type="character" w:styleId="InternetLink">
    <w:name w:val="Hyperlink"/>
    <w:rPr>
      <w:color w:val="0563C1"/>
      <w:u w:val="single"/>
    </w:rPr>
  </w:style>
  <w:style w:type="character" w:styleId="Char1">
    <w:name w:val="正文格式 Char1"/>
    <w:qFormat/>
    <w:rPr>
      <w:rFonts w:ascii="Times;Times New Roman" w:hAnsi="Times;Times New Roman" w:eastAsia="宋体" w:cs="Times;Times New Roman"/>
      <w:kern w:val="2"/>
      <w:sz w:val="24"/>
      <w:lang w:val="en-US" w:eastAsia="zh-CN" w:bidi="ar-SA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Micro Hei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1">
    <w:name w:val="正文缩进"/>
    <w:basedOn w:val="Normal"/>
    <w:qFormat/>
    <w:pPr>
      <w:spacing w:lineRule="auto" w:line="300"/>
      <w:ind w:firstLine="482"/>
    </w:pPr>
    <w:rPr>
      <w:rFonts w:ascii="宋体" w:hAnsi="宋体"/>
      <w:kern w:val="0"/>
      <w:sz w:val="24"/>
      <w:szCs w:val="20"/>
    </w:rPr>
  </w:style>
  <w:style w:type="paragraph" w:styleId="Style12">
    <w:name w:val="文档结构图"/>
    <w:basedOn w:val="Normal"/>
    <w:qFormat/>
    <w:pPr>
      <w:shd w:fill="000080" w:val="clear"/>
    </w:pPr>
    <w:rPr/>
  </w:style>
  <w:style w:type="paragraph" w:styleId="Contents3">
    <w:name w:val="TOC 3"/>
    <w:basedOn w:val="Normal"/>
    <w:next w:val="Normal"/>
    <w:pPr>
      <w:ind w:left="840" w:hanging="0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  <w:lang w:val="en-US" w:eastAsia="en-US"/>
    </w:rPr>
  </w:style>
  <w:style w:type="paragraph" w:styleId="Header">
    <w:name w:val="Head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center"/>
      <w:textAlignment w:val="center"/>
    </w:pPr>
    <w:rPr>
      <w:szCs w:val="20"/>
      <w:lang w:val="en-US" w:eastAsia="en-US"/>
    </w:rPr>
  </w:style>
  <w:style w:type="paragraph" w:styleId="Contents1">
    <w:name w:val="TOC 1"/>
    <w:basedOn w:val="Normal"/>
    <w:next w:val="Normal"/>
    <w:pPr/>
    <w:rPr/>
  </w:style>
  <w:style w:type="paragraph" w:styleId="Contents2">
    <w:name w:val="TOC 2"/>
    <w:basedOn w:val="Normal"/>
    <w:next w:val="Normal"/>
    <w:pPr>
      <w:ind w:left="420" w:hanging="0"/>
    </w:pPr>
    <w:rPr/>
  </w:style>
  <w:style w:type="paragraph" w:styleId="Char">
    <w:name w:val="Char"/>
    <w:basedOn w:val="Normal"/>
    <w:qFormat/>
    <w:pPr>
      <w:widowControl/>
      <w:spacing w:lineRule="exact" w:line="240" w:before="0" w:after="160"/>
      <w:ind w:left="420" w:hanging="0"/>
      <w:jc w:val="left"/>
    </w:pPr>
    <w:rPr>
      <w:rFonts w:ascii="Verdana" w:hAnsi="Verdana" w:cs="Verdana"/>
      <w:kern w:val="0"/>
      <w:sz w:val="24"/>
      <w:szCs w:val="20"/>
      <w:lang w:val="en-US" w:eastAsia="en-US"/>
    </w:rPr>
  </w:style>
  <w:style w:type="paragraph" w:styleId="100">
    <w:name w:val="样式 标题 1 + 段前: 0 磅 段后: 0 磅 行距: 单倍行距"/>
    <w:basedOn w:val="Heading1"/>
    <w:qFormat/>
    <w:pPr>
      <w:numPr>
        <w:ilvl w:val="0"/>
        <w:numId w:val="3"/>
      </w:numPr>
      <w:spacing w:lineRule="auto" w:line="240" w:before="156" w:after="156"/>
    </w:pPr>
    <w:rPr>
      <w:rFonts w:ascii="黑体" w:hAnsi="黑体" w:eastAsia="黑体" w:cs="宋体"/>
      <w:sz w:val="24"/>
      <w:szCs w:val="24"/>
    </w:rPr>
  </w:style>
  <w:style w:type="paragraph" w:styleId="200">
    <w:name w:val="样式 标题 2 + 段前: 0 磅 段后: 0 磅 行距: 单倍行距"/>
    <w:basedOn w:val="Heading2"/>
    <w:qFormat/>
    <w:pPr>
      <w:numPr>
        <w:ilvl w:val="0"/>
        <w:numId w:val="3"/>
      </w:numPr>
      <w:spacing w:lineRule="auto" w:line="240" w:before="93" w:after="93"/>
    </w:pPr>
    <w:rPr>
      <w:rFonts w:cs="宋体"/>
      <w:sz w:val="24"/>
      <w:szCs w:val="24"/>
    </w:rPr>
  </w:style>
  <w:style w:type="paragraph" w:styleId="300">
    <w:name w:val="样式 标题 3 + 段前: 0 磅 段后: 0 磅 行距: 单倍行距"/>
    <w:basedOn w:val="Heading3"/>
    <w:qFormat/>
    <w:pPr>
      <w:numPr>
        <w:ilvl w:val="0"/>
        <w:numId w:val="3"/>
      </w:numPr>
      <w:spacing w:lineRule="auto" w:line="240" w:before="0" w:after="0"/>
    </w:pPr>
    <w:rPr>
      <w:rFonts w:cs="宋体"/>
      <w:sz w:val="28"/>
      <w:szCs w:val="20"/>
    </w:rPr>
  </w:style>
  <w:style w:type="paragraph" w:styleId="Style13">
    <w:name w:val="文头字"/>
    <w:basedOn w:val="Normal"/>
    <w:qFormat/>
    <w:pPr>
      <w:widowControl/>
      <w:snapToGrid w:val="false"/>
      <w:spacing w:lineRule="auto" w:line="360" w:before="200" w:after="0"/>
      <w:jc w:val="center"/>
      <w:textAlignment w:val="baseline"/>
    </w:pPr>
    <w:rPr>
      <w:rFonts w:ascii="宋体" w:hAnsi="宋体" w:cs="Times;Times New Roman"/>
      <w:b/>
      <w:spacing w:val="100"/>
      <w:kern w:val="0"/>
      <w:sz w:val="48"/>
      <w:szCs w:val="20"/>
      <w:lang w:val="en-US" w:eastAsia="en-US"/>
    </w:rPr>
  </w:style>
  <w:style w:type="paragraph" w:styleId="Style14">
    <w:name w:val="签署页"/>
    <w:basedOn w:val="Normal"/>
    <w:qFormat/>
    <w:pPr>
      <w:widowControl/>
      <w:snapToGrid w:val="false"/>
      <w:spacing w:lineRule="auto" w:line="480"/>
      <w:ind w:left="2438" w:hanging="1701"/>
      <w:textAlignment w:val="baseline"/>
    </w:pPr>
    <w:rPr>
      <w:rFonts w:ascii="宋体" w:hAnsi="宋体" w:cs="Times;Times New Roman"/>
      <w:spacing w:val="6"/>
      <w:kern w:val="0"/>
      <w:sz w:val="32"/>
      <w:szCs w:val="20"/>
      <w:lang w:val="en-US" w:eastAsia="en-US"/>
    </w:rPr>
  </w:style>
  <w:style w:type="paragraph" w:styleId="1">
    <w:name w:val="1正文"/>
    <w:basedOn w:val="Normal"/>
    <w:qFormat/>
    <w:pPr>
      <w:spacing w:lineRule="exact" w:line="360"/>
    </w:pPr>
    <w:rPr>
      <w:szCs w:val="21"/>
      <w:lang w:val="en-US" w:eastAsia="en-US"/>
    </w:rPr>
  </w:style>
  <w:style w:type="paragraph" w:styleId="006">
    <w:name w:val="编号密级+两端对齐 左侧-0.06"/>
    <w:basedOn w:val="Normal"/>
    <w:qFormat/>
    <w:pPr>
      <w:widowControl/>
      <w:snapToGrid w:val="false"/>
      <w:spacing w:lineRule="auto" w:line="480" w:before="200" w:after="240"/>
      <w:textAlignment w:val="baseline"/>
    </w:pPr>
    <w:rPr>
      <w:rFonts w:ascii="黑体" w:hAnsi="黑体" w:eastAsia="黑体"/>
      <w:spacing w:val="6"/>
      <w:kern w:val="0"/>
      <w:sz w:val="28"/>
      <w:szCs w:val="20"/>
    </w:rPr>
  </w:style>
  <w:style w:type="paragraph" w:styleId="Style15">
    <w:name w:val="编号密级+右"/>
    <w:basedOn w:val="Normal"/>
    <w:qFormat/>
    <w:pPr>
      <w:widowControl/>
      <w:snapToGrid w:val="false"/>
      <w:spacing w:lineRule="auto" w:line="480" w:before="200" w:after="240"/>
      <w:jc w:val="right"/>
      <w:textAlignment w:val="baseline"/>
    </w:pPr>
    <w:rPr>
      <w:rFonts w:ascii="黑体" w:hAnsi="黑体" w:eastAsia="黑体"/>
      <w:spacing w:val="6"/>
      <w:kern w:val="0"/>
      <w:sz w:val="28"/>
      <w:szCs w:val="20"/>
    </w:rPr>
  </w:style>
  <w:style w:type="paragraph" w:styleId="Style16">
    <w:name w:val="正文格式"/>
    <w:basedOn w:val="Normal"/>
    <w:qFormat/>
    <w:pPr>
      <w:snapToGrid w:val="false"/>
      <w:spacing w:lineRule="atLeast" w:line="360"/>
      <w:ind w:firstLine="482"/>
      <w:textAlignment w:val="baseline"/>
    </w:pPr>
    <w:rPr>
      <w:rFonts w:ascii="Times;Times New Roman" w:hAnsi="Times;Times New Roman" w:cs="Times;Times New Roman"/>
      <w:kern w:val="2"/>
      <w:sz w:val="24"/>
      <w:szCs w:val="20"/>
      <w:lang w:val="en-US" w:eastAsia="en-US"/>
    </w:rPr>
  </w:style>
  <w:style w:type="paragraph" w:styleId="Style17">
    <w:name w:val="目次"/>
    <w:basedOn w:val="Normal"/>
    <w:qFormat/>
    <w:pPr>
      <w:widowControl/>
      <w:snapToGrid w:val="false"/>
      <w:spacing w:before="600" w:after="800"/>
      <w:jc w:val="center"/>
    </w:pPr>
    <w:rPr>
      <w:rFonts w:ascii="黑体" w:hAnsi="黑体" w:eastAsia="黑体"/>
      <w:spacing w:val="100"/>
      <w:kern w:val="0"/>
      <w:sz w:val="30"/>
      <w:szCs w:val="20"/>
    </w:rPr>
  </w:style>
  <w:style w:type="paragraph" w:styleId="Normal1">
    <w:name w:val="LO-Normal"/>
    <w:qFormat/>
    <w:pPr>
      <w:widowControl w:val="false"/>
      <w:bidi w:val="0"/>
      <w:spacing w:lineRule="atLeast" w:line="0"/>
      <w:textAlignment w:val="baseline"/>
    </w:pPr>
    <w:rPr>
      <w:rFonts w:ascii="宋体" w:hAnsi="宋体" w:eastAsia="宋体" w:cs="Times New Roman"/>
      <w:color w:val="auto"/>
      <w:sz w:val="34"/>
      <w:szCs w:val="20"/>
      <w:lang w:val="en-US" w:eastAsia="zh-CN" w:bidi="ar-SA"/>
    </w:rPr>
  </w:style>
  <w:style w:type="paragraph" w:styleId="TOC">
    <w:name w:val="TOC 标题"/>
    <w:basedOn w:val="Heading1"/>
    <w:next w:val="Normal"/>
    <w:qFormat/>
    <w:pPr>
      <w:widowControl/>
      <w:numPr>
        <w:ilvl w:val="0"/>
        <w:numId w:val="0"/>
      </w:numPr>
      <w:spacing w:lineRule="auto" w:line="256" w:before="240" w:after="0"/>
      <w:ind w:hanging="0"/>
      <w:jc w:val="left"/>
      <w:outlineLvl w:val="9"/>
    </w:pPr>
    <w:rPr>
      <w:rFonts w:ascii="等线 Light" w:hAnsi="等线 Light" w:eastAsia="等线 Light" w:cs="Times New Roman"/>
      <w:b w:val="false"/>
      <w:bCs w:val="false"/>
      <w:color w:val="2F5496"/>
      <w:kern w:val="0"/>
      <w:sz w:val="32"/>
      <w:szCs w:val="3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2009-12-07T12:34:00Z</dcterms:created>
  <dc:creator>番茄花园</dc:creator>
  <dc:description/>
  <dc:language>en-US</dc:language>
  <cp:lastModifiedBy>技术研发部-张新亮-17710693680</cp:lastModifiedBy>
  <cp:lastPrinted>2010-07-19T13:58:00Z</cp:lastPrinted>
  <dcterms:modified xsi:type="dcterms:W3CDTF">2024-03-15T15:22:10Z</dcterms:modified>
  <cp:revision>70</cp:revision>
  <dc:subject/>
  <dc:title>1范围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CADA5B099CD74563B2AB0CE4428CEBEA_12</vt:lpwstr>
  </property>
  <property fmtid="{D5CDD505-2E9C-101B-9397-08002B2CF9AE}" pid="3" name="KSOProductBuildVer">
    <vt:lpwstr>2052-12.1.0.16412</vt:lpwstr>
  </property>
  <property fmtid="{D5CDD505-2E9C-101B-9397-08002B2CF9AE}" pid="4" name="commondata">
    <vt:lpwstr>commondata</vt:lpwstr>
  </property>
</Properties>
</file>