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312" w:after="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tbl>
      <w:tblPr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rPr>
          <w:trHeight w:val="1707" w:hRule="atLeast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</w:rPr>
            </w:pP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</w:rPr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"/>
              <w:spacing w:before="312" w:after="0"/>
              <w:jc w:val="right"/>
              <w:rPr>
                <w:sz w:val="44"/>
                <w:szCs w:val="44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软件配置管理报告</w:t>
            </w:r>
          </w:p>
        </w:tc>
      </w:tr>
      <w:tr>
        <w:trPr>
          <w:trHeight w:val="6854" w:hRule="atLeast"/>
        </w:trPr>
        <w:tc>
          <w:tcPr>
            <w:tcW w:w="85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lineRule="auto" w:line="480"/>
              <w:ind w:left="-1" w:hanging="198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   </w:t>
            </w: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 w:before="240"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1"/>
              <w:spacing w:lineRule="auto" w:line="480" w:before="240" w:after="0"/>
              <w:rPr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</w:t>
            </w:r>
          </w:p>
          <w:p>
            <w:pPr>
              <w:pStyle w:val="1"/>
              <w:spacing w:lineRule="auto" w:line="480" w:before="240"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 w:before="240"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14"/>
              <w:spacing w:before="240" w:after="0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4"/>
              <w:spacing w:before="240" w:after="0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tbl>
      <w:tblPr>
        <w:tblW w:w="8175" w:type="dxa"/>
        <w:jc w:val="left"/>
        <w:tblInd w:w="2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5"/>
      </w:tblGrid>
      <w:tr>
        <w:trPr>
          <w:trHeight w:val="1454" w:hRule="atLeast"/>
        </w:trPr>
        <w:tc>
          <w:tcPr>
            <w:tcW w:w="81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Style12"/>
              <w:snapToGrid w:val="false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17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软件配置管理报告</w:t>
            </w:r>
          </w:p>
        </w:tc>
      </w:tr>
      <w:tr>
        <w:trPr>
          <w:trHeight w:val="6240" w:hRule="atLeast"/>
        </w:trPr>
        <w:tc>
          <w:tcPr>
            <w:tcW w:w="8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98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>
          <w:rFonts w:eastAsia="Times New Roman"/>
        </w:rPr>
        <w:t xml:space="preserve"> </w:t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宋体" w:hAnsi="宋体" w:eastAsia="宋体" w:cs="宋体"/>
          <w:sz w:val="21"/>
        </w:rPr>
      </w:pPr>
      <w:r>
        <w:rPr>
          <w:rFonts w:ascii="宋体" w:hAnsi="宋体" w:cs="宋体"/>
          <w:sz w:val="21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r>
            <w:fldChar w:fldCharType="begin"/>
          </w:r>
          <w:r>
            <w:rPr>
              <w:rStyle w:val="IndexLink"/>
              <w:i w:val="false"/>
              <w:szCs w:val="24"/>
              <w:rFonts w:eastAsia="黑体" w:ascii="黑体" w:hAnsi="黑体"/>
            </w:rPr>
            <w:instrText xml:space="preserve">TOC \o "1-1" \h \u </w:instrText>
          </w:r>
          <w:r>
            <w:rPr>
              <w:rStyle w:val="IndexLink"/>
              <w:i w:val="false"/>
              <w:szCs w:val="24"/>
              <w:rFonts w:eastAsia="黑体" w:ascii="黑体" w:hAnsi="黑体"/>
            </w:rPr>
            <w:fldChar w:fldCharType="separate"/>
          </w:r>
          <w:hyperlink w:anchor="__RefHeading___Toc9568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1 </w:t>
            </w:r>
            <w:r>
              <w:rPr>
                <w:rStyle w:val="IndexLink"/>
                <w:rFonts w:ascii="黑体" w:hAnsi="黑体" w:eastAsia="黑体"/>
                <w:szCs w:val="24"/>
              </w:rPr>
              <w:t>范围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21465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2 </w:t>
            </w:r>
            <w:r>
              <w:rPr>
                <w:rStyle w:val="IndexLink"/>
              </w:rPr>
              <w:t>引用</w:t>
            </w:r>
            <w:r>
              <w:rPr>
                <w:rStyle w:val="IndexLink"/>
                <w:rFonts w:ascii="黑体" w:hAnsi="黑体" w:eastAsia="黑体"/>
                <w:szCs w:val="24"/>
              </w:rPr>
              <w:t>文档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13503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3 </w:t>
            </w:r>
            <w:r>
              <w:rPr>
                <w:rStyle w:val="IndexLink"/>
              </w:rPr>
              <w:t>软件配置管理情况综述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657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4 </w:t>
            </w:r>
            <w:r>
              <w:rPr>
                <w:rStyle w:val="IndexLink"/>
              </w:rPr>
              <w:t>软件</w:t>
            </w:r>
            <w:r>
              <w:rPr>
                <w:rStyle w:val="IndexLink"/>
                <w:rFonts w:ascii="黑体" w:hAnsi="黑体" w:eastAsia="黑体"/>
                <w:szCs w:val="24"/>
              </w:rPr>
              <w:t>配置管理</w:t>
            </w:r>
            <w:r>
              <w:rPr>
                <w:rStyle w:val="IndexLink"/>
              </w:rPr>
              <w:t>基本信息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26431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5 </w:t>
            </w:r>
            <w:r>
              <w:rPr>
                <w:rStyle w:val="IndexLink"/>
              </w:rPr>
              <w:t>专业组划分及权限分配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12218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6 </w:t>
            </w:r>
            <w:r>
              <w:rPr>
                <w:rStyle w:val="IndexLink"/>
                <w:rFonts w:ascii="黑体" w:hAnsi="黑体" w:eastAsia="黑体"/>
                <w:szCs w:val="24"/>
              </w:rPr>
              <w:t>配置项</w:t>
            </w:r>
            <w:r>
              <w:rPr>
                <w:rStyle w:val="IndexLink"/>
              </w:rPr>
              <w:t>记录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4070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7 </w:t>
            </w:r>
            <w:r>
              <w:rPr>
                <w:rStyle w:val="IndexLink"/>
              </w:rPr>
              <w:t>变更记录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10996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8 </w:t>
            </w:r>
            <w:r>
              <w:rPr>
                <w:rStyle w:val="IndexLink"/>
              </w:rPr>
              <w:t>基线记录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11717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9 </w:t>
            </w:r>
            <w:r>
              <w:rPr>
                <w:rStyle w:val="IndexLink"/>
              </w:rPr>
              <w:t>入库记录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21844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10 </w:t>
            </w:r>
            <w:r>
              <w:rPr>
                <w:rStyle w:val="IndexLink"/>
              </w:rPr>
              <w:t>出库记录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2770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11 </w:t>
            </w:r>
            <w:r>
              <w:rPr>
                <w:rStyle w:val="IndexLink"/>
              </w:rPr>
              <w:t>审核记录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28997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12 </w:t>
            </w:r>
            <w:r>
              <w:rPr>
                <w:rStyle w:val="IndexLink"/>
              </w:rPr>
              <w:t>备份记录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18137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13 </w:t>
            </w:r>
            <w:r>
              <w:rPr>
                <w:rStyle w:val="IndexLink"/>
                <w:rFonts w:ascii="黑体" w:hAnsi="黑体" w:eastAsia="黑体"/>
                <w:szCs w:val="24"/>
              </w:rPr>
              <w:t>测量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WPSOffice1"/>
            <w:tabs>
              <w:tab w:val="clear" w:pos="420"/>
              <w:tab w:val="right" w:pos="8306" w:leader="dot"/>
            </w:tabs>
            <w:rPr/>
          </w:pPr>
          <w:hyperlink w:anchor="__RefHeading___Toc4678">
            <w:r>
              <w:rPr>
                <w:rStyle w:val="IndexLink"/>
                <w:rFonts w:eastAsia="黑体" w:ascii="黑体" w:hAnsi="黑体"/>
                <w:i w:val="false"/>
                <w:szCs w:val="24"/>
              </w:rPr>
              <w:t xml:space="preserve">14 </w:t>
            </w:r>
            <w:r>
              <w:rPr>
                <w:rStyle w:val="IndexLink"/>
                <w:rFonts w:ascii="黑体" w:hAnsi="黑体" w:eastAsia="黑体"/>
                <w:szCs w:val="24"/>
              </w:rPr>
              <w:t>注释</w:t>
            </w:r>
            <w:r>
              <w:rPr>
                <w:rStyle w:val="IndexLink"/>
              </w:rPr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lineRule="auto" w:line="240" w:before="156" w:after="156"/>
        <w:rPr>
          <w:rFonts w:ascii="黑体" w:hAnsi="黑体" w:eastAsia="黑体"/>
          <w:sz w:val="24"/>
          <w:szCs w:val="24"/>
        </w:rPr>
      </w:pPr>
      <w:bookmarkStart w:id="0" w:name="__RefHeading___Toc9568"/>
      <w:bookmarkEnd w:id="0"/>
      <w:r>
        <w:rPr>
          <w:rFonts w:ascii="黑体" w:hAnsi="黑体" w:eastAsia="黑体"/>
          <w:sz w:val="24"/>
          <w:szCs w:val="24"/>
        </w:rPr>
        <w:t>范围</w:t>
      </w:r>
    </w:p>
    <w:p>
      <w:pPr>
        <w:pStyle w:val="Heading2"/>
        <w:spacing w:lineRule="auto" w:line="240" w:before="93" w:after="93"/>
        <w:rPr>
          <w:sz w:val="24"/>
        </w:rPr>
      </w:pPr>
      <w:r>
        <w:rPr>
          <w:sz w:val="24"/>
        </w:rPr>
        <w:t>标识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本条应描述本文档所适用的系统和软件的完整标识，适用时，包括其标识号、名称、缩略名、版本号和发布号。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360" w:leader="none"/>
        </w:tabs>
        <w:ind w:left="345" w:firstLine="555"/>
        <w:rPr>
          <w:rFonts w:ascii="Times New Roman" w:hAnsi="Times New Roman"/>
        </w:rPr>
      </w:pPr>
      <w:bookmarkStart w:id="1" w:name="OLE_LINK4"/>
      <w:bookmarkEnd w:id="1"/>
      <w:r>
        <w:rPr>
          <w:rFonts w:cs="宋体"/>
        </w:rPr>
        <w:t>文档</w:t>
      </w:r>
      <w:r>
        <w:rPr>
          <w:rFonts w:ascii="Times New Roman" w:hAnsi="Times New Roman"/>
        </w:rPr>
        <w:t>标识号</w:t>
      </w:r>
      <w:r>
        <w:rPr>
          <w:rFonts w:ascii="Times New Roman" w:hAnsi="Times New Roman"/>
        </w:rPr>
        <w:t>：</w:t>
      </w:r>
      <w:r>
        <w:rPr/>
        <w:t>TN/x-DO-DS-V{N.xx}</w:t>
      </w:r>
      <w:r>
        <w:rPr>
          <w:rFonts w:ascii="Times New Roman" w:hAnsi="Times New Roman"/>
        </w:rPr>
        <w:t>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360" w:leader="none"/>
        </w:tabs>
        <w:ind w:left="345" w:firstLine="555"/>
        <w:rPr>
          <w:rFonts w:ascii="Times New Roman" w:hAnsi="Times New Roman"/>
        </w:rPr>
      </w:pPr>
      <w:r>
        <w:rPr>
          <w:rFonts w:ascii="Times New Roman" w:hAnsi="Times New Roman"/>
        </w:rPr>
        <w:t>标题：；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360" w:leader="none"/>
        </w:tabs>
        <w:ind w:left="345" w:firstLine="555"/>
        <w:rPr>
          <w:rFonts w:ascii="Times New Roman" w:hAnsi="Times New Roman"/>
        </w:rPr>
      </w:pPr>
      <w:r>
        <w:rPr>
          <w:rFonts w:ascii="Times New Roman" w:hAnsi="Times New Roman"/>
        </w:rPr>
        <w:t>软件名称；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360" w:leader="none"/>
        </w:tabs>
        <w:ind w:left="345" w:firstLine="555"/>
        <w:rPr>
          <w:rFonts w:ascii="Times New Roman" w:hAnsi="Times New Roman"/>
        </w:rPr>
      </w:pPr>
      <w:r>
        <w:rPr>
          <w:rFonts w:ascii="Times New Roman" w:hAnsi="Times New Roman"/>
        </w:rPr>
        <w:t>软件</w:t>
      </w:r>
      <w:r>
        <w:rPr>
          <w:rFonts w:ascii="Times New Roman" w:hAnsi="Times New Roman"/>
        </w:rPr>
        <w:t>缩写</w:t>
      </w:r>
      <w:r>
        <w:rPr>
          <w:rFonts w:ascii="Times New Roman" w:hAnsi="Times New Roman"/>
        </w:rPr>
        <w:t>：</w:t>
      </w:r>
    </w:p>
    <w:p>
      <w:pPr>
        <w:pStyle w:val="Style10"/>
        <w:numPr>
          <w:ilvl w:val="0"/>
          <w:numId w:val="2"/>
        </w:numPr>
        <w:tabs>
          <w:tab w:val="clear" w:pos="420"/>
          <w:tab w:val="left" w:pos="360" w:leader="none"/>
        </w:tabs>
        <w:ind w:left="345" w:firstLine="555"/>
        <w:rPr>
          <w:rFonts w:ascii="Times New Roman" w:hAnsi="Times New Roman"/>
        </w:rPr>
      </w:pPr>
      <w:r>
        <w:rPr>
          <w:rFonts w:ascii="Times New Roman" w:hAnsi="Times New Roman"/>
        </w:rPr>
        <w:t>软件版本号</w:t>
      </w:r>
      <w:r>
        <w:rPr>
          <w:rFonts w:ascii="Times New Roman" w:hAnsi="Times New Roman"/>
        </w:rPr>
        <w:t>。</w:t>
      </w:r>
    </w:p>
    <w:p>
      <w:pPr>
        <w:pStyle w:val="Heading2"/>
        <w:spacing w:lineRule="auto" w:line="240" w:before="93" w:after="93"/>
        <w:rPr>
          <w:sz w:val="24"/>
        </w:rPr>
      </w:pPr>
      <w:bookmarkStart w:id="2" w:name="OLE_LINK4"/>
      <w:bookmarkEnd w:id="2"/>
      <w:r>
        <w:rPr>
          <w:sz w:val="24"/>
        </w:rPr>
        <w:t>系统概述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条应概述本文档所适用的系统和软件的用途。它还应描述系统与软件的一般特性：概述系统开发、运行和维护的历史：标识项目的需方、用户、开发方和保障机构等：标识当前和计划的运行现场：列出其他有关文档。</w:t>
      </w:r>
    </w:p>
    <w:p>
      <w:pPr>
        <w:pStyle w:val="Heading2"/>
        <w:spacing w:lineRule="auto" w:line="240" w:before="93" w:after="93"/>
        <w:rPr>
          <w:sz w:val="24"/>
        </w:rPr>
      </w:pPr>
      <w:r>
        <w:rPr>
          <w:sz w:val="24"/>
        </w:rPr>
        <w:t>文档概述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本条应概括本文档的用途和内容，并描述与其使用有关的保密性考虑。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3" w:name="__RefHeading___Toc21465"/>
      <w:bookmarkEnd w:id="3"/>
      <w:r>
        <w:rPr>
          <w:sz w:val="24"/>
        </w:rPr>
        <w:t>引用</w:t>
      </w:r>
      <w:r>
        <w:rPr>
          <w:rFonts w:ascii="黑体" w:hAnsi="黑体" w:eastAsia="黑体"/>
          <w:sz w:val="24"/>
          <w:szCs w:val="24"/>
        </w:rPr>
        <w:t>文档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本章应列出引用文档的编号、标题、编写单位、修订版及日期，还应标识不能通过正常采购活动得到的文档的来源。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4" w:name="__RefHeading___Toc13503"/>
      <w:bookmarkEnd w:id="4"/>
      <w:r>
        <w:rPr>
          <w:sz w:val="24"/>
        </w:rPr>
        <w:t>软件配置管理情况综述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本章应描述软件配置管理活动进展，与软件配置管理计划的偏差：软件配置管理活动与规程是否相符：对不符合项所采取的措施：完成软件配置管理工作的工作量等。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5" w:name="__RefHeading___Toc657"/>
      <w:bookmarkEnd w:id="5"/>
      <w:r>
        <w:rPr>
          <w:sz w:val="24"/>
        </w:rPr>
        <w:t>软件</w:t>
      </w:r>
      <w:r>
        <w:rPr>
          <w:rFonts w:ascii="黑体" w:hAnsi="黑体" w:eastAsia="黑体"/>
          <w:sz w:val="24"/>
          <w:szCs w:val="24"/>
        </w:rPr>
        <w:t>配置管理</w:t>
      </w:r>
      <w:r>
        <w:rPr>
          <w:sz w:val="24"/>
        </w:rPr>
        <w:t>基本信息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本章应概述软件配置管理的基本信息，包括项目负责人、各级软件配置管理机构组成人员和负责人、软件配置管理所用的资源</w:t>
      </w:r>
      <w:r>
        <w:rPr>
          <w:sz w:val="24"/>
        </w:rPr>
        <w:t>(</w:t>
      </w:r>
      <w:r>
        <w:rPr>
          <w:sz w:val="24"/>
        </w:rPr>
        <w:t>如计算机、软件和工具</w:t>
      </w:r>
      <w:r>
        <w:rPr>
          <w:sz w:val="24"/>
        </w:rPr>
        <w:t>)</w:t>
      </w:r>
      <w:r>
        <w:rPr>
          <w:sz w:val="24"/>
        </w:rPr>
        <w:t>等。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6" w:name="__RefHeading___Toc26431"/>
      <w:bookmarkEnd w:id="6"/>
      <w:r>
        <w:rPr>
          <w:sz w:val="24"/>
        </w:rPr>
        <w:t>专业组划分及权限分配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本章应列出项目专业组的划分、各专业组的成员以及各成员的权限分配，如专业组可分为项目负责人、开发组、测试组、质量保证组、配置管理组等，权限可分为读出、增加、替换、删除等。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7" w:name="__RefHeading___Toc12218"/>
      <w:bookmarkEnd w:id="7"/>
      <w:r>
        <w:rPr>
          <w:rFonts w:ascii="黑体" w:hAnsi="黑体" w:eastAsia="黑体"/>
          <w:sz w:val="24"/>
          <w:szCs w:val="24"/>
        </w:rPr>
        <w:t>配置项</w:t>
      </w:r>
      <w:r>
        <w:rPr>
          <w:sz w:val="24"/>
        </w:rPr>
        <w:t>记录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本章应列出项目的所有配置项，包括配置项名称、配置项最后发布日期、配置项控制力度</w:t>
      </w:r>
      <w:r>
        <w:rPr>
          <w:sz w:val="24"/>
        </w:rPr>
        <w:t>(</w:t>
      </w:r>
      <w:r>
        <w:rPr>
          <w:sz w:val="24"/>
        </w:rPr>
        <w:t>控制力度可分为基线管理、非基线管理</w:t>
      </w:r>
      <w:r>
        <w:rPr>
          <w:sz w:val="24"/>
        </w:rPr>
        <w:t>(</w:t>
      </w:r>
      <w:r>
        <w:rPr>
          <w:sz w:val="24"/>
        </w:rPr>
        <w:t>受到管理和控制</w:t>
      </w:r>
      <w:r>
        <w:rPr>
          <w:sz w:val="24"/>
        </w:rPr>
        <w:t>))</w:t>
      </w:r>
      <w:r>
        <w:rPr>
          <w:sz w:val="24"/>
        </w:rPr>
        <w:t>、配置项版本变更历史、配置项变更累计次数等内容。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8" w:name="__RefHeading___Toc4070"/>
      <w:bookmarkEnd w:id="8"/>
      <w:r>
        <w:rPr>
          <w:sz w:val="24"/>
        </w:rPr>
        <w:t>变更记录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本章应列出软件研制过程中的所有变更，包括变更申请单号、变更时间、变更内容、变更申请人、批准人、变更实施人等内容。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9" w:name="__RefHeading___Toc10996"/>
      <w:bookmarkEnd w:id="9"/>
      <w:r>
        <w:rPr>
          <w:sz w:val="24"/>
        </w:rPr>
        <w:t>基线记录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本章应列出项目的所有基线，包括基线名称、基线最后一版发布日期、基线版本变更历史、基线变更累计次数、最后一版基线的内容及版本号等内容。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10" w:name="__RefHeading___Toc11717"/>
      <w:bookmarkEnd w:id="10"/>
      <w:r>
        <w:rPr>
          <w:sz w:val="24"/>
        </w:rPr>
        <w:t>入库记录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本章应列出配置项的入库记录，包括入库时间、入库单号、入库原因、入库申请人和批准人等。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11" w:name="__RefHeading___Toc21844"/>
      <w:bookmarkEnd w:id="11"/>
      <w:r>
        <w:rPr>
          <w:sz w:val="24"/>
        </w:rPr>
        <w:t>出库记录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本章应列出配置项的出库记录，包括出库时间、出库单号、出库原因、批准人和接受人等。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12" w:name="__RefHeading___Toc2770"/>
      <w:bookmarkEnd w:id="12"/>
      <w:r>
        <w:rPr>
          <w:sz w:val="24"/>
        </w:rPr>
        <w:t>审核记录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本章应列出软件研制过程中所进行的软件配置审核，包括配置审核记录单、审核时间、审核人、发现的不合格项数量、己关闭凶不合格项数量、其他审核说明等。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13" w:name="__RefHeading___Toc28997"/>
      <w:bookmarkEnd w:id="13"/>
      <w:r>
        <w:rPr>
          <w:sz w:val="24"/>
        </w:rPr>
        <w:t>备份记录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本章应列出软件研制过程中所做的配置库备份，包括各份时间、各份人、各份目的地、内容和方式等。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14" w:name="__RefHeading___Toc18137"/>
      <w:bookmarkEnd w:id="14"/>
      <w:r>
        <w:rPr>
          <w:rFonts w:ascii="黑体" w:hAnsi="黑体" w:eastAsia="黑体"/>
          <w:sz w:val="24"/>
          <w:szCs w:val="24"/>
        </w:rPr>
        <w:t>测量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本章应列出软件配置管理计划的版次数、配置状态记录份数、软件入库单份数、软件出库单份数、变更申请单份数、被批准的变更申请单份数、配置管理报告份数、配置审核记录份数、配置管理员工作量等。</w:t>
      </w:r>
    </w:p>
    <w:p>
      <w:pPr>
        <w:pStyle w:val="Heading1"/>
        <w:spacing w:lineRule="auto" w:line="240" w:before="156" w:after="156"/>
        <w:rPr>
          <w:sz w:val="24"/>
        </w:rPr>
      </w:pPr>
      <w:bookmarkStart w:id="15" w:name="__RefHeading___Toc4678"/>
      <w:bookmarkEnd w:id="15"/>
      <w:r>
        <w:rPr>
          <w:rFonts w:ascii="黑体" w:hAnsi="黑体" w:eastAsia="黑体"/>
          <w:sz w:val="24"/>
          <w:szCs w:val="24"/>
        </w:rPr>
        <w:t>注释</w:t>
      </w:r>
    </w:p>
    <w:p>
      <w:pPr>
        <w:pStyle w:val="Normal"/>
        <w:spacing w:lineRule="auto" w:line="360"/>
        <w:ind w:firstLine="360"/>
        <w:rPr>
          <w:sz w:val="24"/>
        </w:rPr>
      </w:pPr>
      <w:r>
        <w:rPr>
          <w:sz w:val="24"/>
        </w:rPr>
        <w:t>本章应包括有助于了解文档的所有信息</w:t>
      </w:r>
      <w:r>
        <w:rPr>
          <w:sz w:val="24"/>
        </w:rPr>
        <w:t>(</w:t>
      </w:r>
      <w:r>
        <w:rPr>
          <w:sz w:val="24"/>
        </w:rPr>
        <w:t>例如：背景、术语、缩略语或公式</w:t>
      </w:r>
      <w:r>
        <w:rPr>
          <w:sz w:val="24"/>
        </w:rPr>
        <w:t>)</w:t>
      </w:r>
      <w:r>
        <w:rPr>
          <w:sz w:val="24"/>
        </w:rPr>
        <w:t>。</w:t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Times">
    <w:altName w:val="Times New Roman"/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Verdana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I</w:t>
    </w:r>
    <w:r>
      <w:rPr>
        <w:kern w:val="0"/>
        <w:szCs w:val="21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2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5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%1 "/>
      <w:lvlJc w:val="left"/>
      <w:pPr>
        <w:tabs>
          <w:tab w:val="num" w:pos="0"/>
        </w:tabs>
        <w:ind w:left="0" w:hanging="0"/>
      </w:pPr>
      <w:rPr>
        <w:sz w:val="24"/>
        <w:i w:val="false"/>
        <w:b/>
        <w:szCs w:val="24"/>
        <w:rFonts w:ascii="黑体" w:hAnsi="黑体" w:eastAsia="黑体"/>
      </w:rPr>
    </w:lvl>
    <w:lvl w:ilvl="1">
      <w:start w:val="1"/>
      <w:pStyle w:val="Heading2"/>
      <w:numFmt w:val="decimal"/>
      <w:suff w:val="space"/>
      <w:lvlText w:val="%1.%2 "/>
      <w:lvlJc w:val="left"/>
      <w:pPr>
        <w:tabs>
          <w:tab w:val="num" w:pos="0"/>
        </w:tabs>
        <w:ind w:left="0" w:hanging="0"/>
      </w:pPr>
      <w:rPr>
        <w:dstrike w:val="false"/>
        <w:strike w:val="false"/>
        <w:sz w:val="24"/>
        <w:i w:val="false"/>
        <w:u w:val="none"/>
        <w:b/>
        <w:rFonts w:ascii="黑体" w:hAnsi="黑体" w:eastAsia="黑体"/>
      </w:rPr>
    </w:lvl>
    <w:lvl w:ilvl="2">
      <w:start w:val="1"/>
      <w:pStyle w:val="Heading3"/>
      <w:numFmt w:val="decimal"/>
      <w:suff w:val="space"/>
      <w:lvlText w:val="%1.%2.%3 "/>
      <w:lvlJc w:val="left"/>
      <w:pPr>
        <w:tabs>
          <w:tab w:val="num" w:pos="0"/>
        </w:tabs>
        <w:ind w:left="525" w:hanging="525"/>
      </w:pPr>
      <w:rPr>
        <w:sz w:val="24"/>
        <w:i w:val="false"/>
        <w:b w:val="false"/>
        <w:rFonts w:ascii="黑体" w:hAnsi="黑体" w:eastAsia="黑体"/>
      </w:rPr>
    </w:lvl>
    <w:lvl w:ilvl="3">
      <w:start w:val="1"/>
      <w:pStyle w:val="Heading4"/>
      <w:numFmt w:val="decimal"/>
      <w:suff w:val="space"/>
      <w:lvlText w:val="%1.%2.%3.%4 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2"/>
        <w:rFonts w:ascii="黑体" w:hAnsi="黑体" w:eastAsia="黑体"/>
      </w:rPr>
    </w:lvl>
    <w:lvl w:ilvl="4">
      <w:start w:val="1"/>
      <w:pStyle w:val="Heading5"/>
      <w:numFmt w:val="decimal"/>
      <w:suff w:val="space"/>
      <w:lvlText w:val="%1.%2.%3.%4.%5 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" w:hAnsi="黑体" w:eastAsia="黑体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420"/>
        </w:tabs>
        <w:ind w:left="345" w:hanging="345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374" w:before="280" w:after="290"/>
      <w:outlineLvl w:val="4"/>
    </w:pPr>
    <w:rPr>
      <w:b/>
      <w:bCs/>
      <w:sz w:val="28"/>
      <w:szCs w:val="28"/>
    </w:rPr>
  </w:style>
  <w:style w:type="character" w:styleId="WW8Num1z0">
    <w:name w:val="WW8Num1z0"/>
    <w:qFormat/>
    <w:rPr>
      <w:rFonts w:ascii="黑体" w:hAnsi="黑体" w:eastAsia="黑体"/>
      <w:b/>
      <w:i w:val="false"/>
      <w:sz w:val="24"/>
      <w:szCs w:val="24"/>
    </w:rPr>
  </w:style>
  <w:style w:type="character" w:styleId="WW8Num1z1">
    <w:name w:val="WW8Num1z1"/>
    <w:qFormat/>
    <w:rPr>
      <w:rFonts w:ascii="黑体" w:hAnsi="黑体" w:eastAsia="黑体"/>
      <w:b/>
      <w:i w:val="false"/>
      <w:strike w:val="false"/>
      <w:dstrike w:val="false"/>
      <w:sz w:val="24"/>
      <w:u w:val="none"/>
    </w:rPr>
  </w:style>
  <w:style w:type="character" w:styleId="WW8Num1z2">
    <w:name w:val="WW8Num1z2"/>
    <w:qFormat/>
    <w:rPr>
      <w:rFonts w:ascii="黑体" w:hAnsi="黑体" w:eastAsia="黑体"/>
      <w:b w:val="false"/>
      <w:i w:val="false"/>
      <w:sz w:val="24"/>
    </w:rPr>
  </w:style>
  <w:style w:type="character" w:styleId="WW8Num1z3">
    <w:name w:val="WW8Num1z3"/>
    <w:qFormat/>
    <w:rPr>
      <w:rFonts w:ascii="黑体" w:hAnsi="黑体" w:eastAsia="黑体"/>
      <w:b/>
      <w:i w:val="false"/>
      <w:spacing w:val="0"/>
      <w:kern w:val="2"/>
      <w:sz w:val="24"/>
    </w:rPr>
  </w:style>
  <w:style w:type="character" w:styleId="WW8Num1z4">
    <w:name w:val="WW8Num1z4"/>
    <w:qFormat/>
    <w:rPr>
      <w:rFonts w:ascii="黑体" w:hAnsi="黑体" w:eastAsia="黑体"/>
      <w:b/>
      <w:i w:val="false"/>
      <w:sz w:val="24"/>
    </w:rPr>
  </w:style>
  <w:style w:type="character" w:styleId="WW8Num1z5">
    <w:name w:val="WW8Num1z5"/>
    <w:qFormat/>
    <w:rPr/>
  </w:style>
  <w:style w:type="character" w:styleId="WW8Num2z0">
    <w:name w:val="WW8Num2z0"/>
    <w:qFormat/>
    <w:rPr/>
  </w:style>
  <w:style w:type="character" w:styleId="Style9">
    <w:name w:val="默认段落字体"/>
    <w:qFormat/>
    <w:rPr/>
  </w:style>
  <w:style w:type="character" w:styleId="PageNumber">
    <w:name w:val="Page Number"/>
    <w:basedOn w:val="Style9"/>
    <w:rPr/>
  </w:style>
  <w:style w:type="character" w:styleId="Char1">
    <w:name w:val="正文格式 Char1"/>
    <w:basedOn w:val="Style9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0">
    <w:name w:val="正文缩进"/>
    <w:basedOn w:val="Normal"/>
    <w:qFormat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Style11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en-US" w:eastAsia="en-US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en-US" w:eastAsia="en-US"/>
    </w:rPr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Style12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;Times New Roman" w:hAnsi="Times;Times New Roman" w:cs="Times;Times New Roman"/>
      <w:kern w:val="2"/>
      <w:sz w:val="24"/>
      <w:szCs w:val="20"/>
      <w:lang w:val="en-US" w:eastAsia="en-US"/>
    </w:rPr>
  </w:style>
  <w:style w:type="paragraph" w:styleId="Style13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en-US" w:eastAsia="en-US"/>
    </w:rPr>
  </w:style>
  <w:style w:type="paragraph" w:styleId="Style14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  <w:lang w:val="en-US" w:eastAsia="en-US"/>
    </w:rPr>
  </w:style>
  <w:style w:type="paragraph" w:styleId="1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Style15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" w:hAnsi="黑体" w:eastAsia="黑体"/>
      <w:spacing w:val="100"/>
      <w:kern w:val="0"/>
      <w:sz w:val="30"/>
      <w:szCs w:val="20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16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WPSOffice1">
    <w:name w:val="WPSOffice手动目录 1"/>
    <w:qFormat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2010-06-30T17:55:00Z</dcterms:created>
  <dc:creator>番茄花园</dc:creator>
  <dc:description/>
  <dc:language>en-US</dc:language>
  <cp:lastModifiedBy>技术研发部-张新亮-17710693680</cp:lastModifiedBy>
  <dcterms:modified xsi:type="dcterms:W3CDTF">2024-03-18T11:16:47Z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5FB7963BECF34DD9B2B9E2BA3C51B2C3_12</vt:lpwstr>
  </property>
  <property fmtid="{D5CDD505-2E9C-101B-9397-08002B2CF9AE}" pid="3" name="KSOProductBuildVer">
    <vt:lpwstr>2052-12.1.0.16412</vt:lpwstr>
  </property>
  <property fmtid="{D5CDD505-2E9C-101B-9397-08002B2CF9AE}" pid="4" name="commondata">
    <vt:lpwstr>commondata</vt:lpwstr>
  </property>
</Properties>
</file>