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CD2F8D" w14:textId="77777777" w:rsidR="00921269" w:rsidRDefault="000E6484">
      <w:pPr>
        <w:spacing w:before="157" w:after="157" w:line="270" w:lineRule="auto"/>
      </w:pPr>
      <w:bookmarkStart w:id="0" w:name="modra"/>
      <w:proofErr w:type="spellStart"/>
      <w:r>
        <w:rPr>
          <w:rFonts w:eastAsia="Georgia" w:hAnsi="Georgia" w:cs="Georgia"/>
          <w:b/>
          <w:color w:val="000000"/>
          <w:sz w:val="39"/>
        </w:rPr>
        <w:t>MoDRA</w:t>
      </w:r>
      <w:bookmarkEnd w:id="0"/>
      <w:proofErr w:type="spellEnd"/>
    </w:p>
    <w:p w14:paraId="1ACD2F8E" w14:textId="77777777" w:rsidR="00921269" w:rsidRDefault="000E6484">
      <w:pPr>
        <w:spacing w:before="315" w:after="105" w:line="360" w:lineRule="auto"/>
        <w:ind w:left="-30"/>
      </w:pPr>
      <w:bookmarkStart w:id="1" w:name="stručný_handout_pro_zákazníka"/>
      <w:r>
        <w:rPr>
          <w:rFonts w:eastAsia="Georgia" w:hAnsi="Georgia" w:cs="Georgia"/>
          <w:b/>
          <w:color w:val="000000"/>
          <w:sz w:val="24"/>
        </w:rPr>
        <w:t>Stručný handout pro zákazníka</w:t>
      </w:r>
      <w:bookmarkEnd w:id="1"/>
    </w:p>
    <w:p w14:paraId="1ACD2F8F" w14:textId="60DD2C13" w:rsidR="00921269" w:rsidRDefault="000E6484">
      <w:pPr>
        <w:spacing w:after="210" w:line="360" w:lineRule="auto"/>
      </w:pPr>
      <w:proofErr w:type="spellStart"/>
      <w:r>
        <w:rPr>
          <w:rFonts w:eastAsia="Georgia" w:hAnsi="Georgia" w:cs="Georgia"/>
          <w:color w:val="000000"/>
        </w:rPr>
        <w:t>MoDRA</w:t>
      </w:r>
      <w:proofErr w:type="spellEnd"/>
      <w:r>
        <w:rPr>
          <w:rFonts w:eastAsia="Georgia" w:hAnsi="Georgia" w:cs="Georgia"/>
          <w:color w:val="000000"/>
        </w:rPr>
        <w:t xml:space="preserve"> je modelově řízené řešení pro analýzu kybernetických a informačních rizik, které propojuje architekturu organizace, aktiva, hrozby, zranitelnosti a dopady do jednoho srozumitelného modelu. Díky tomu pomáhá organizacím dělat opakovatelnou, přezkoumatelnou a manažersky srozumitelnou analýzu rizik.</w:t>
      </w:r>
    </w:p>
    <w:p w14:paraId="1ACD2F90" w14:textId="77777777" w:rsidR="00921269" w:rsidRDefault="000E6484">
      <w:pPr>
        <w:spacing w:before="315" w:after="105" w:line="360" w:lineRule="auto"/>
        <w:ind w:left="-30"/>
      </w:pPr>
      <w:bookmarkStart w:id="2" w:name="co_modra_přináší"/>
      <w:r>
        <w:rPr>
          <w:rFonts w:eastAsia="Georgia" w:hAnsi="Georgia" w:cs="Georgia"/>
          <w:b/>
          <w:color w:val="000000"/>
          <w:sz w:val="24"/>
        </w:rPr>
        <w:t xml:space="preserve">Co </w:t>
      </w:r>
      <w:proofErr w:type="spellStart"/>
      <w:r>
        <w:rPr>
          <w:rFonts w:eastAsia="Georgia" w:hAnsi="Georgia" w:cs="Georgia"/>
          <w:b/>
          <w:color w:val="000000"/>
          <w:sz w:val="24"/>
        </w:rPr>
        <w:t>MoDRA</w:t>
      </w:r>
      <w:proofErr w:type="spellEnd"/>
      <w:r>
        <w:rPr>
          <w:rFonts w:eastAsia="Georgia" w:hAnsi="Georgia" w:cs="Georgia"/>
          <w:b/>
          <w:color w:val="000000"/>
          <w:sz w:val="24"/>
        </w:rPr>
        <w:t xml:space="preserve"> přináší</w:t>
      </w:r>
      <w:bookmarkEnd w:id="2"/>
    </w:p>
    <w:p w14:paraId="1ACD2F91" w14:textId="31AFE602" w:rsidR="00921269" w:rsidRDefault="000E6484">
      <w:pPr>
        <w:numPr>
          <w:ilvl w:val="0"/>
          <w:numId w:val="1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Srozumitelné výstupy pro vedení i odborníky, protože převádí technická rizika do dopadů na služby a fungování organizace. </w:t>
      </w:r>
    </w:p>
    <w:p w14:paraId="1ACD2F92" w14:textId="588E78DB" w:rsidR="00921269" w:rsidRDefault="000E6484">
      <w:pPr>
        <w:numPr>
          <w:ilvl w:val="0"/>
          <w:numId w:val="1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Podporu souladu s požadavky </w:t>
      </w:r>
      <w:proofErr w:type="spellStart"/>
      <w:r>
        <w:rPr>
          <w:rFonts w:eastAsia="Georgia" w:hAnsi="Georgia" w:cs="Georgia"/>
          <w:color w:val="000000"/>
        </w:rPr>
        <w:t>ZoKB</w:t>
      </w:r>
      <w:proofErr w:type="spellEnd"/>
      <w:r>
        <w:rPr>
          <w:rFonts w:eastAsia="Georgia" w:hAnsi="Georgia" w:cs="Georgia"/>
          <w:color w:val="000000"/>
        </w:rPr>
        <w:t xml:space="preserve">, vyhlášky 82/2018 Sb. a NIS2, kde je důležitá pravidelnost, přezkoumatelnost a auditovatelnost analýz. </w:t>
      </w:r>
    </w:p>
    <w:p w14:paraId="1ACD2F93" w14:textId="33C440F3" w:rsidR="00921269" w:rsidRDefault="000E6484">
      <w:pPr>
        <w:numPr>
          <w:ilvl w:val="0"/>
          <w:numId w:val="1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Vyšší efektivitu oproti tabulkám díky modelovému přístupu, automatizovaným výstupům a opakovaně použitelným vzorům. </w:t>
      </w:r>
    </w:p>
    <w:p w14:paraId="1ACD2F94" w14:textId="5B9F1AB1" w:rsidR="00921269" w:rsidRDefault="000E6484">
      <w:pPr>
        <w:numPr>
          <w:ilvl w:val="0"/>
          <w:numId w:val="1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Podporu pro návrh opatření a Risk </w:t>
      </w:r>
      <w:proofErr w:type="spellStart"/>
      <w:r>
        <w:rPr>
          <w:rFonts w:eastAsia="Georgia" w:hAnsi="Georgia" w:cs="Georgia"/>
          <w:color w:val="000000"/>
        </w:rPr>
        <w:t>Treatment</w:t>
      </w:r>
      <w:proofErr w:type="spellEnd"/>
      <w:r>
        <w:rPr>
          <w:rFonts w:eastAsia="Georgia" w:hAnsi="Georgia" w:cs="Georgia"/>
          <w:color w:val="000000"/>
        </w:rPr>
        <w:t xml:space="preserve"> </w:t>
      </w:r>
      <w:proofErr w:type="spellStart"/>
      <w:r>
        <w:rPr>
          <w:rFonts w:eastAsia="Georgia" w:hAnsi="Georgia" w:cs="Georgia"/>
          <w:color w:val="000000"/>
        </w:rPr>
        <w:t>Plan</w:t>
      </w:r>
      <w:proofErr w:type="spellEnd"/>
      <w:r>
        <w:rPr>
          <w:rFonts w:eastAsia="Georgia" w:hAnsi="Georgia" w:cs="Georgia"/>
          <w:color w:val="000000"/>
        </w:rPr>
        <w:t xml:space="preserve"> v návaznosti na identifikované slabiny a architektonický kontext.</w:t>
      </w:r>
    </w:p>
    <w:p w14:paraId="1ACD2F95" w14:textId="73F44667" w:rsidR="00921269" w:rsidRDefault="000E6484">
      <w:pPr>
        <w:numPr>
          <w:ilvl w:val="0"/>
          <w:numId w:val="1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Bezpečné oddělení dat jednotlivých klientů a online přístup pro spolupráci analytiků i managementu. </w:t>
      </w:r>
    </w:p>
    <w:p w14:paraId="1ACD2F96" w14:textId="77777777" w:rsidR="00921269" w:rsidRDefault="000E6484">
      <w:pPr>
        <w:spacing w:before="315" w:after="105" w:line="360" w:lineRule="auto"/>
        <w:ind w:left="-30"/>
      </w:pPr>
      <w:bookmarkStart w:id="3" w:name="kdy_má_modra_největší_přínos"/>
      <w:r>
        <w:rPr>
          <w:rFonts w:eastAsia="Georgia" w:hAnsi="Georgia" w:cs="Georgia"/>
          <w:b/>
          <w:color w:val="000000"/>
          <w:sz w:val="24"/>
        </w:rPr>
        <w:t xml:space="preserve">Kdy má </w:t>
      </w:r>
      <w:proofErr w:type="spellStart"/>
      <w:r>
        <w:rPr>
          <w:rFonts w:eastAsia="Georgia" w:hAnsi="Georgia" w:cs="Georgia"/>
          <w:b/>
          <w:color w:val="000000"/>
          <w:sz w:val="24"/>
        </w:rPr>
        <w:t>MoDRA</w:t>
      </w:r>
      <w:proofErr w:type="spellEnd"/>
      <w:r>
        <w:rPr>
          <w:rFonts w:eastAsia="Georgia" w:hAnsi="Georgia" w:cs="Georgia"/>
          <w:b/>
          <w:color w:val="000000"/>
          <w:sz w:val="24"/>
        </w:rPr>
        <w:t xml:space="preserve"> největší přínos</w:t>
      </w:r>
      <w:bookmarkEnd w:id="3"/>
    </w:p>
    <w:p w14:paraId="1ACD2F97" w14:textId="4C59FB6D" w:rsidR="00921269" w:rsidRDefault="000E6484">
      <w:pPr>
        <w:spacing w:after="210" w:line="360" w:lineRule="auto"/>
      </w:pPr>
      <w:proofErr w:type="spellStart"/>
      <w:r>
        <w:rPr>
          <w:rFonts w:eastAsia="Georgia" w:hAnsi="Georgia" w:cs="Georgia"/>
          <w:color w:val="000000"/>
        </w:rPr>
        <w:t>MoDRA</w:t>
      </w:r>
      <w:proofErr w:type="spellEnd"/>
      <w:r>
        <w:rPr>
          <w:rFonts w:eastAsia="Georgia" w:hAnsi="Georgia" w:cs="Georgia"/>
          <w:color w:val="000000"/>
        </w:rPr>
        <w:t xml:space="preserve"> je vhodná hlavně pro regulované organizace a pro firmy s komplexnějším IT prostředím, kde tabulkový přístup přestává být udržitelný. Silný přínos má také tam, kde vedení potřebuje rozumět dopadům rizik na business a rozhodovat o investicích do bezpečnosti. </w:t>
      </w:r>
    </w:p>
    <w:p w14:paraId="1ACD2F98" w14:textId="77777777" w:rsidR="00921269" w:rsidRDefault="000E6484">
      <w:pPr>
        <w:spacing w:before="315" w:after="105" w:line="360" w:lineRule="auto"/>
        <w:ind w:left="-30"/>
      </w:pPr>
      <w:bookmarkStart w:id="4" w:name="varianty_nasazení"/>
      <w:r>
        <w:rPr>
          <w:rFonts w:eastAsia="Georgia" w:hAnsi="Georgia" w:cs="Georgia"/>
          <w:b/>
          <w:color w:val="000000"/>
          <w:sz w:val="24"/>
        </w:rPr>
        <w:t>Varianty nasazení</w:t>
      </w:r>
      <w:bookmarkEnd w:id="4"/>
    </w:p>
    <w:p w14:paraId="1ACD2F99" w14:textId="6BD399E9" w:rsidR="00921269" w:rsidRDefault="000E6484">
      <w:pPr>
        <w:numPr>
          <w:ilvl w:val="0"/>
          <w:numId w:val="2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Cloud </w:t>
      </w:r>
      <w:proofErr w:type="spellStart"/>
      <w:r>
        <w:rPr>
          <w:rFonts w:eastAsia="Georgia" w:hAnsi="Georgia" w:cs="Georgia"/>
          <w:color w:val="000000"/>
        </w:rPr>
        <w:t>Solution</w:t>
      </w:r>
      <w:proofErr w:type="spellEnd"/>
      <w:r>
        <w:rPr>
          <w:rFonts w:eastAsia="Georgia" w:hAnsi="Georgia" w:cs="Georgia"/>
          <w:color w:val="000000"/>
        </w:rPr>
        <w:t xml:space="preserve"> – plně provozováno v Azure prostředí Simac jako služba.</w:t>
      </w:r>
    </w:p>
    <w:p w14:paraId="1ACD2F9A" w14:textId="1ACE5406" w:rsidR="00921269" w:rsidRDefault="000E6484">
      <w:pPr>
        <w:numPr>
          <w:ilvl w:val="0"/>
          <w:numId w:val="2"/>
        </w:numPr>
        <w:spacing w:before="105" w:after="105" w:line="360" w:lineRule="auto"/>
      </w:pPr>
      <w:proofErr w:type="spellStart"/>
      <w:r>
        <w:rPr>
          <w:rFonts w:eastAsia="Georgia" w:hAnsi="Georgia" w:cs="Georgia"/>
          <w:color w:val="000000"/>
        </w:rPr>
        <w:t>Managed</w:t>
      </w:r>
      <w:proofErr w:type="spellEnd"/>
      <w:r>
        <w:rPr>
          <w:rFonts w:eastAsia="Georgia" w:hAnsi="Georgia" w:cs="Georgia"/>
          <w:color w:val="000000"/>
        </w:rPr>
        <w:t xml:space="preserve"> Cloud </w:t>
      </w:r>
      <w:proofErr w:type="spellStart"/>
      <w:r>
        <w:rPr>
          <w:rFonts w:eastAsia="Georgia" w:hAnsi="Georgia" w:cs="Georgia"/>
          <w:color w:val="000000"/>
        </w:rPr>
        <w:t>Solution</w:t>
      </w:r>
      <w:proofErr w:type="spellEnd"/>
      <w:r>
        <w:rPr>
          <w:rFonts w:eastAsia="Georgia" w:hAnsi="Georgia" w:cs="Georgia"/>
          <w:color w:val="000000"/>
        </w:rPr>
        <w:t xml:space="preserve"> – provoz v Azure </w:t>
      </w:r>
      <w:proofErr w:type="spellStart"/>
      <w:r>
        <w:rPr>
          <w:rFonts w:eastAsia="Georgia" w:hAnsi="Georgia" w:cs="Georgia"/>
          <w:color w:val="000000"/>
        </w:rPr>
        <w:t>tenantu</w:t>
      </w:r>
      <w:proofErr w:type="spellEnd"/>
      <w:r>
        <w:rPr>
          <w:rFonts w:eastAsia="Georgia" w:hAnsi="Georgia" w:cs="Georgia"/>
          <w:color w:val="000000"/>
        </w:rPr>
        <w:t xml:space="preserve"> zákazníka, správa zajištěná Simac. </w:t>
      </w:r>
    </w:p>
    <w:p w14:paraId="1ACD2F9B" w14:textId="0838A25D" w:rsidR="00921269" w:rsidRDefault="000E6484">
      <w:pPr>
        <w:numPr>
          <w:ilvl w:val="0"/>
          <w:numId w:val="2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Hybrid </w:t>
      </w:r>
      <w:proofErr w:type="spellStart"/>
      <w:r>
        <w:rPr>
          <w:rFonts w:eastAsia="Georgia" w:hAnsi="Georgia" w:cs="Georgia"/>
          <w:color w:val="000000"/>
        </w:rPr>
        <w:t>Solution</w:t>
      </w:r>
      <w:proofErr w:type="spellEnd"/>
      <w:r>
        <w:rPr>
          <w:rFonts w:eastAsia="Georgia" w:hAnsi="Georgia" w:cs="Georgia"/>
          <w:color w:val="000000"/>
        </w:rPr>
        <w:t xml:space="preserve"> – část služby v Azure Simac, </w:t>
      </w:r>
      <w:proofErr w:type="spellStart"/>
      <w:r>
        <w:rPr>
          <w:rFonts w:eastAsia="Georgia" w:hAnsi="Georgia" w:cs="Georgia"/>
          <w:color w:val="000000"/>
        </w:rPr>
        <w:t>repository</w:t>
      </w:r>
      <w:proofErr w:type="spellEnd"/>
      <w:r>
        <w:rPr>
          <w:rFonts w:eastAsia="Georgia" w:hAnsi="Georgia" w:cs="Georgia"/>
          <w:color w:val="000000"/>
        </w:rPr>
        <w:t xml:space="preserve"> on-premise u zákazníka.</w:t>
      </w:r>
    </w:p>
    <w:p w14:paraId="1ACD2F9C" w14:textId="27BA7BCF" w:rsidR="00921269" w:rsidRDefault="000E6484">
      <w:pPr>
        <w:numPr>
          <w:ilvl w:val="0"/>
          <w:numId w:val="2"/>
        </w:numPr>
        <w:spacing w:before="105" w:after="105" w:line="360" w:lineRule="auto"/>
      </w:pPr>
      <w:proofErr w:type="spellStart"/>
      <w:r>
        <w:rPr>
          <w:rFonts w:eastAsia="Georgia" w:hAnsi="Georgia" w:cs="Georgia"/>
          <w:color w:val="000000"/>
        </w:rPr>
        <w:t>Managed</w:t>
      </w:r>
      <w:proofErr w:type="spellEnd"/>
      <w:r>
        <w:rPr>
          <w:rFonts w:eastAsia="Georgia" w:hAnsi="Georgia" w:cs="Georgia"/>
          <w:color w:val="000000"/>
        </w:rPr>
        <w:t xml:space="preserve"> Hybrid </w:t>
      </w:r>
      <w:proofErr w:type="spellStart"/>
      <w:r>
        <w:rPr>
          <w:rFonts w:eastAsia="Georgia" w:hAnsi="Georgia" w:cs="Georgia"/>
          <w:color w:val="000000"/>
        </w:rPr>
        <w:t>Solution</w:t>
      </w:r>
      <w:proofErr w:type="spellEnd"/>
      <w:r>
        <w:rPr>
          <w:rFonts w:eastAsia="Georgia" w:hAnsi="Georgia" w:cs="Georgia"/>
          <w:color w:val="000000"/>
        </w:rPr>
        <w:t xml:space="preserve"> – hybridní model se správou celé služby ze strany Simac. </w:t>
      </w:r>
    </w:p>
    <w:p w14:paraId="1ACD2F9D" w14:textId="77777777" w:rsidR="00921269" w:rsidRDefault="000E6484">
      <w:pPr>
        <w:spacing w:before="315" w:after="105" w:line="360" w:lineRule="auto"/>
        <w:ind w:left="-30"/>
      </w:pPr>
      <w:bookmarkStart w:id="5" w:name="typický_další_krok"/>
      <w:r>
        <w:rPr>
          <w:rFonts w:eastAsia="Georgia" w:hAnsi="Georgia" w:cs="Georgia"/>
          <w:b/>
          <w:color w:val="000000"/>
          <w:sz w:val="24"/>
        </w:rPr>
        <w:t>Typický další krok</w:t>
      </w:r>
      <w:bookmarkEnd w:id="5"/>
    </w:p>
    <w:p w14:paraId="1ACD2F9E" w14:textId="6394F14C" w:rsidR="00921269" w:rsidRDefault="000E6484">
      <w:pPr>
        <w:spacing w:after="210" w:line="360" w:lineRule="auto"/>
      </w:pPr>
      <w:r>
        <w:rPr>
          <w:rFonts w:eastAsia="Georgia" w:hAnsi="Georgia" w:cs="Georgia"/>
          <w:color w:val="000000"/>
        </w:rPr>
        <w:lastRenderedPageBreak/>
        <w:t xml:space="preserve">Nejlepší navazující krok je společný </w:t>
      </w:r>
      <w:proofErr w:type="spellStart"/>
      <w:r>
        <w:rPr>
          <w:rFonts w:eastAsia="Georgia" w:hAnsi="Georgia" w:cs="Georgia"/>
          <w:color w:val="000000"/>
        </w:rPr>
        <w:t>discovery</w:t>
      </w:r>
      <w:proofErr w:type="spellEnd"/>
      <w:r>
        <w:rPr>
          <w:rFonts w:eastAsia="Georgia" w:hAnsi="Georgia" w:cs="Georgia"/>
          <w:color w:val="000000"/>
        </w:rPr>
        <w:t xml:space="preserve"> workshop nebo demo, kde se zmapuje současný způsob analýzy rizik, regulatorní tlak, potřeby managementu a vhodný licenční model.</w:t>
      </w:r>
    </w:p>
    <w:sectPr w:rsidR="00921269">
      <w:pgSz w:w="12240" w:h="15840"/>
      <w:pgMar w:top="1365" w:right="1365" w:bottom="1365" w:left="1365" w:header="720" w:footer="720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EE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A51693"/>
    <w:multiLevelType w:val="hybridMultilevel"/>
    <w:tmpl w:val="4C2A6B42"/>
    <w:lvl w:ilvl="0" w:tplc="23E43E5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3948D526">
      <w:numFmt w:val="decimal"/>
      <w:lvlText w:val=""/>
      <w:lvlJc w:val="left"/>
    </w:lvl>
    <w:lvl w:ilvl="2" w:tplc="B616E4AA">
      <w:numFmt w:val="decimal"/>
      <w:lvlText w:val=""/>
      <w:lvlJc w:val="left"/>
    </w:lvl>
    <w:lvl w:ilvl="3" w:tplc="DCE6107C">
      <w:numFmt w:val="decimal"/>
      <w:lvlText w:val=""/>
      <w:lvlJc w:val="left"/>
    </w:lvl>
    <w:lvl w:ilvl="4" w:tplc="B994E8A2">
      <w:numFmt w:val="decimal"/>
      <w:lvlText w:val=""/>
      <w:lvlJc w:val="left"/>
    </w:lvl>
    <w:lvl w:ilvl="5" w:tplc="16C87850">
      <w:numFmt w:val="decimal"/>
      <w:lvlText w:val=""/>
      <w:lvlJc w:val="left"/>
    </w:lvl>
    <w:lvl w:ilvl="6" w:tplc="F84E846E">
      <w:numFmt w:val="decimal"/>
      <w:lvlText w:val=""/>
      <w:lvlJc w:val="left"/>
    </w:lvl>
    <w:lvl w:ilvl="7" w:tplc="D9AACA68">
      <w:numFmt w:val="decimal"/>
      <w:lvlText w:val=""/>
      <w:lvlJc w:val="left"/>
    </w:lvl>
    <w:lvl w:ilvl="8" w:tplc="9564816E">
      <w:numFmt w:val="decimal"/>
      <w:lvlText w:val=""/>
      <w:lvlJc w:val="left"/>
    </w:lvl>
  </w:abstractNum>
  <w:abstractNum w:abstractNumId="1" w15:restartNumberingAfterBreak="0">
    <w:nsid w:val="6074129C"/>
    <w:multiLevelType w:val="hybridMultilevel"/>
    <w:tmpl w:val="2C507CD6"/>
    <w:lvl w:ilvl="0" w:tplc="954C147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56AB07E">
      <w:numFmt w:val="decimal"/>
      <w:lvlText w:val=""/>
      <w:lvlJc w:val="left"/>
    </w:lvl>
    <w:lvl w:ilvl="2" w:tplc="59A0E0C4">
      <w:numFmt w:val="decimal"/>
      <w:lvlText w:val=""/>
      <w:lvlJc w:val="left"/>
    </w:lvl>
    <w:lvl w:ilvl="3" w:tplc="5452594C">
      <w:numFmt w:val="decimal"/>
      <w:lvlText w:val=""/>
      <w:lvlJc w:val="left"/>
    </w:lvl>
    <w:lvl w:ilvl="4" w:tplc="0C649734">
      <w:numFmt w:val="decimal"/>
      <w:lvlText w:val=""/>
      <w:lvlJc w:val="left"/>
    </w:lvl>
    <w:lvl w:ilvl="5" w:tplc="1452EE4E">
      <w:numFmt w:val="decimal"/>
      <w:lvlText w:val=""/>
      <w:lvlJc w:val="left"/>
    </w:lvl>
    <w:lvl w:ilvl="6" w:tplc="C4929EE4">
      <w:numFmt w:val="decimal"/>
      <w:lvlText w:val=""/>
      <w:lvlJc w:val="left"/>
    </w:lvl>
    <w:lvl w:ilvl="7" w:tplc="053E7B26">
      <w:numFmt w:val="decimal"/>
      <w:lvlText w:val=""/>
      <w:lvlJc w:val="left"/>
    </w:lvl>
    <w:lvl w:ilvl="8" w:tplc="D19853FE">
      <w:numFmt w:val="decimal"/>
      <w:lvlText w:val=""/>
      <w:lvlJc w:val="left"/>
    </w:lvl>
  </w:abstractNum>
  <w:num w:numId="1" w16cid:durableId="914046318">
    <w:abstractNumId w:val="0"/>
  </w:num>
  <w:num w:numId="2" w16cid:durableId="823807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1269"/>
    <w:rsid w:val="000E6484"/>
    <w:rsid w:val="004978C1"/>
    <w:rsid w:val="00701560"/>
    <w:rsid w:val="009212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CD2F8D"/>
  <w15:docId w15:val="{886A183F-826C-4A5D-AEBD-B201B8F3C2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cs-CZ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F586F4269E9694C80457F999704A12B" ma:contentTypeVersion="11" ma:contentTypeDescription="Create a new document." ma:contentTypeScope="" ma:versionID="1b7942b5c3e0dfb5efdca4eca8fbf96a">
  <xsd:schema xmlns:xsd="http://www.w3.org/2001/XMLSchema" xmlns:xs="http://www.w3.org/2001/XMLSchema" xmlns:p="http://schemas.microsoft.com/office/2006/metadata/properties" xmlns:ns2="6f8099b0-0dcd-49a3-85ac-5930fe0c186d" xmlns:ns3="7044b33e-3b6d-4432-accd-363678ebae01" targetNamespace="http://schemas.microsoft.com/office/2006/metadata/properties" ma:root="true" ma:fieldsID="74da4518597e39eda33ad37f6b3351f2" ns2:_="" ns3:_="">
    <xsd:import namespace="6f8099b0-0dcd-49a3-85ac-5930fe0c186d"/>
    <xsd:import namespace="7044b33e-3b6d-4432-accd-363678ebae0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_Flow_Signoff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8099b0-0dcd-49a3-85ac-5930fe0c186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b6dec929-0881-4953-b8ad-d9d1120219a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_Flow_SignoffStatus" ma:index="18" nillable="true" ma:displayName="Sign-off status" ma:internalName="_x0024_Resources_x003a_core_x002c_Signoff_Status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044b33e-3b6d-4432-accd-363678ebae01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9b5eedec-db3e-4256-9763-619492cd2fd1}" ma:internalName="TaxCatchAll" ma:showField="CatchAllData" ma:web="7044b33e-3b6d-4432-accd-363678ebae0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7044b33e-3b6d-4432-accd-363678ebae01" xsi:nil="true"/>
    <lcf76f155ced4ddcb4097134ff3c332f xmlns="6f8099b0-0dcd-49a3-85ac-5930fe0c186d">
      <Terms xmlns="http://schemas.microsoft.com/office/infopath/2007/PartnerControls"/>
    </lcf76f155ced4ddcb4097134ff3c332f>
    <_Flow_SignoffStatus xmlns="6f8099b0-0dcd-49a3-85ac-5930fe0c186d" xsi:nil="true"/>
  </documentManagement>
</p:properties>
</file>

<file path=customXml/itemProps1.xml><?xml version="1.0" encoding="utf-8"?>
<ds:datastoreItem xmlns:ds="http://schemas.openxmlformats.org/officeDocument/2006/customXml" ds:itemID="{D16798B6-131A-48D5-9350-4F1DD553A8E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AF9B9E6-CFC2-409F-A4ED-BBF6D948D58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f8099b0-0dcd-49a3-85ac-5930fe0c186d"/>
    <ds:schemaRef ds:uri="7044b33e-3b6d-4432-accd-363678ebae0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5205988-F113-4C85-9193-851921D4A3AF}">
  <ds:schemaRefs>
    <ds:schemaRef ds:uri="http://schemas.microsoft.com/office/2006/metadata/properties"/>
    <ds:schemaRef ds:uri="http://schemas.microsoft.com/office/infopath/2007/PartnerControls"/>
    <ds:schemaRef ds:uri="7044b33e-3b6d-4432-accd-363678ebae01"/>
    <ds:schemaRef ds:uri="6f8099b0-0dcd-49a3-85ac-5930fe0c186d"/>
  </ds:schemaRefs>
</ds:datastoreItem>
</file>

<file path=docMetadata/LabelInfo.xml><?xml version="1.0" encoding="utf-8"?>
<clbl:labelList xmlns:clbl="http://schemas.microsoft.com/office/2020/mipLabelMetadata">
  <clbl:label id="{47e2c60d-2942-4060-a899-7e3a71c2a67d}" enabled="0" method="" siteId="{47e2c60d-2942-4060-a899-7e3a71c2a67d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256</Words>
  <Characters>1516</Characters>
  <Application>Microsoft Office Word</Application>
  <DocSecurity>0</DocSecurity>
  <Lines>12</Lines>
  <Paragraphs>3</Paragraphs>
  <ScaleCrop>false</ScaleCrop>
  <Company/>
  <LinksUpToDate>false</LinksUpToDate>
  <CharactersWithSpaces>1769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Radovan Polanský</cp:lastModifiedBy>
  <cp:revision>2</cp:revision>
  <dcterms:created xsi:type="dcterms:W3CDTF">2026-04-22T08:27:00Z</dcterms:created>
  <dcterms:modified xsi:type="dcterms:W3CDTF">2026-04-22T08:47:00Z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0x010100CF586F4269E9694C80457F999704A12B</vt:lpwstr>
  </property>
  <property fmtid="{D5CDD505-2E9C-101B-9397-08002B2CF9AE}" pid="3" name="MediaServiceImageTags">
    <vt:lpwstr/>
  </property>
</Properties>
</file>