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F363" w14:textId="77777777" w:rsidR="00296E02" w:rsidRDefault="00A90920">
      <w:pPr>
        <w:spacing w:before="157" w:after="157" w:line="270" w:lineRule="auto"/>
      </w:pPr>
      <w:bookmarkStart w:id="0" w:name="modra"/>
      <w:proofErr w:type="spellStart"/>
      <w:r>
        <w:rPr>
          <w:rFonts w:eastAsia="Georgia" w:hAnsi="Georgia" w:cs="Georgia"/>
          <w:b/>
          <w:color w:val="000000"/>
          <w:sz w:val="39"/>
        </w:rPr>
        <w:t>MoDRA</w:t>
      </w:r>
      <w:bookmarkEnd w:id="0"/>
      <w:proofErr w:type="spellEnd"/>
    </w:p>
    <w:p w14:paraId="336BF364" w14:textId="77777777" w:rsidR="00296E02" w:rsidRDefault="00A90920">
      <w:pPr>
        <w:spacing w:before="315" w:after="105" w:line="360" w:lineRule="auto"/>
        <w:ind w:left="-30"/>
      </w:pPr>
      <w:bookmarkStart w:id="1" w:name="segmentová_verze_nemocnice_utilit_ac77bd"/>
      <w:r>
        <w:rPr>
          <w:rFonts w:eastAsia="Georgia" w:hAnsi="Georgia" w:cs="Georgia"/>
          <w:b/>
          <w:color w:val="000000"/>
          <w:sz w:val="24"/>
        </w:rPr>
        <w:t>Segmentová verze: nemocnice, utility, veřejná správa</w:t>
      </w:r>
      <w:bookmarkEnd w:id="1"/>
    </w:p>
    <w:p w14:paraId="336BF365" w14:textId="77777777" w:rsidR="00296E02" w:rsidRDefault="00A90920">
      <w:pPr>
        <w:spacing w:before="315" w:after="105" w:line="360" w:lineRule="auto"/>
        <w:ind w:left="-30"/>
      </w:pPr>
      <w:bookmarkStart w:id="2" w:name="nemocnice"/>
      <w:r>
        <w:rPr>
          <w:rFonts w:eastAsia="Georgia" w:hAnsi="Georgia" w:cs="Georgia"/>
          <w:b/>
          <w:color w:val="000000"/>
          <w:sz w:val="24"/>
        </w:rPr>
        <w:t>Nemocnice</w:t>
      </w:r>
      <w:bookmarkEnd w:id="2"/>
    </w:p>
    <w:p w14:paraId="336BF366" w14:textId="5ED78D4A" w:rsidR="00296E02" w:rsidRDefault="00A9092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Nemocnice jsou citlivé na dostupnost služeb, kontinuitu provozu a ochranu citlivých dat. </w:t>
      </w: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zde dává smysl jako nástroj, který pomáhá propojit technická rizika s dopadem na zdravotní služby a zároveň podpořit přezkoumatelnou analýzu rizik. </w:t>
      </w:r>
    </w:p>
    <w:p w14:paraId="336BF367" w14:textId="77777777" w:rsidR="00296E02" w:rsidRDefault="00A90920">
      <w:pPr>
        <w:spacing w:before="315" w:after="105" w:line="360" w:lineRule="auto"/>
        <w:ind w:left="-30"/>
      </w:pPr>
      <w:bookmarkStart w:id="3" w:name="obchodní_úhel"/>
      <w:r>
        <w:rPr>
          <w:rFonts w:eastAsia="Georgia" w:hAnsi="Georgia" w:cs="Georgia"/>
          <w:b/>
          <w:color w:val="000000"/>
          <w:sz w:val="24"/>
        </w:rPr>
        <w:t>Obchodní úhel</w:t>
      </w:r>
      <w:bookmarkEnd w:id="3"/>
    </w:p>
    <w:p w14:paraId="336BF368" w14:textId="11E105C4" w:rsidR="00296E02" w:rsidRDefault="00A9092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Dopad incidentu není jen IT problém, ale ohrožení provozu a reputace. </w:t>
      </w:r>
    </w:p>
    <w:p w14:paraId="336BF369" w14:textId="630589E8" w:rsidR="00296E02" w:rsidRDefault="00A9092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Vedení potřebuje rozumět dopadům na klíčové služby, </w:t>
      </w:r>
      <w:proofErr w:type="gramStart"/>
      <w:r>
        <w:rPr>
          <w:rFonts w:eastAsia="Georgia" w:hAnsi="Georgia" w:cs="Georgia"/>
          <w:color w:val="000000"/>
        </w:rPr>
        <w:t>ne jen</w:t>
      </w:r>
      <w:proofErr w:type="gramEnd"/>
      <w:r>
        <w:rPr>
          <w:rFonts w:eastAsia="Georgia" w:hAnsi="Georgia" w:cs="Georgia"/>
          <w:color w:val="000000"/>
        </w:rPr>
        <w:t xml:space="preserve"> technickým detailům. </w:t>
      </w:r>
    </w:p>
    <w:p w14:paraId="336BF36A" w14:textId="1538D464" w:rsidR="00296E02" w:rsidRDefault="00A9092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Auditovatelnost a opakovatelnost analýz je důležitá pro dohled i interní </w:t>
      </w:r>
      <w:proofErr w:type="spellStart"/>
      <w:r>
        <w:rPr>
          <w:rFonts w:eastAsia="Georgia" w:hAnsi="Georgia" w:cs="Georgia"/>
          <w:color w:val="000000"/>
        </w:rPr>
        <w:t>governance</w:t>
      </w:r>
      <w:proofErr w:type="spellEnd"/>
      <w:r>
        <w:rPr>
          <w:rFonts w:eastAsia="Georgia" w:hAnsi="Georgia" w:cs="Georgia"/>
          <w:color w:val="000000"/>
        </w:rPr>
        <w:t xml:space="preserve">. </w:t>
      </w:r>
    </w:p>
    <w:p w14:paraId="336BF36B" w14:textId="77777777" w:rsidR="00296E02" w:rsidRDefault="00A90920">
      <w:pPr>
        <w:spacing w:before="315" w:after="105" w:line="360" w:lineRule="auto"/>
        <w:ind w:left="-30"/>
      </w:pPr>
      <w:bookmarkStart w:id="4" w:name="utility"/>
      <w:r>
        <w:rPr>
          <w:rFonts w:eastAsia="Georgia" w:hAnsi="Georgia" w:cs="Georgia"/>
          <w:b/>
          <w:color w:val="000000"/>
          <w:sz w:val="24"/>
        </w:rPr>
        <w:t>Utility</w:t>
      </w:r>
      <w:bookmarkEnd w:id="4"/>
    </w:p>
    <w:p w14:paraId="336BF36C" w14:textId="6D09D71B" w:rsidR="00296E02" w:rsidRDefault="00A9092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Utility a provozovatelé kritických služeb potřebují detailně chápat vazby mezi technologickou infrastrukturou, službami a dopady incidentů. </w:t>
      </w: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je vhodná tam, kde je vysoká komplexita aktiv a vysoké náklady na výpadek. </w:t>
      </w:r>
    </w:p>
    <w:p w14:paraId="336BF36D" w14:textId="77777777" w:rsidR="00296E02" w:rsidRDefault="00A90920">
      <w:pPr>
        <w:spacing w:before="315" w:after="105" w:line="360" w:lineRule="auto"/>
        <w:ind w:left="-30"/>
      </w:pPr>
      <w:bookmarkStart w:id="5" w:name="obchodní_úhel_2"/>
      <w:r>
        <w:rPr>
          <w:rFonts w:eastAsia="Georgia" w:hAnsi="Georgia" w:cs="Georgia"/>
          <w:b/>
          <w:color w:val="000000"/>
          <w:sz w:val="24"/>
        </w:rPr>
        <w:t>Obchodní úhel</w:t>
      </w:r>
      <w:bookmarkEnd w:id="5"/>
    </w:p>
    <w:p w14:paraId="336BF36E" w14:textId="1310FA7F" w:rsidR="00296E02" w:rsidRDefault="00A9092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Silný důraz na kontinuitu provozu a regulatorní povinnost</w:t>
      </w:r>
    </w:p>
    <w:p w14:paraId="336BF36F" w14:textId="5EACCAAB" w:rsidR="00296E02" w:rsidRDefault="00A9092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Hybridní model může být vhodný při požadavku na vyšší kontrolu nad daty a </w:t>
      </w:r>
      <w:proofErr w:type="spellStart"/>
      <w:r>
        <w:rPr>
          <w:rFonts w:eastAsia="Georgia" w:hAnsi="Georgia" w:cs="Georgia"/>
          <w:color w:val="000000"/>
        </w:rPr>
        <w:t>repository</w:t>
      </w:r>
      <w:proofErr w:type="spellEnd"/>
      <w:r>
        <w:rPr>
          <w:rFonts w:eastAsia="Georgia" w:hAnsi="Georgia" w:cs="Georgia"/>
          <w:color w:val="000000"/>
        </w:rPr>
        <w:t xml:space="preserve">. </w:t>
      </w:r>
    </w:p>
    <w:p w14:paraId="336BF370" w14:textId="1E92E304" w:rsidR="00296E02" w:rsidRDefault="00A9092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Výhodou je rychlejší práce se změnami a lepší přehled o dopadech na služby. </w:t>
      </w:r>
    </w:p>
    <w:p w14:paraId="336BF371" w14:textId="77777777" w:rsidR="00296E02" w:rsidRDefault="00A90920">
      <w:pPr>
        <w:spacing w:before="315" w:after="105" w:line="360" w:lineRule="auto"/>
        <w:ind w:left="-30"/>
      </w:pPr>
      <w:bookmarkStart w:id="6" w:name="veřejná_správa"/>
      <w:r>
        <w:rPr>
          <w:rFonts w:eastAsia="Georgia" w:hAnsi="Georgia" w:cs="Georgia"/>
          <w:b/>
          <w:color w:val="000000"/>
          <w:sz w:val="24"/>
        </w:rPr>
        <w:t>Veřejná správa</w:t>
      </w:r>
      <w:bookmarkEnd w:id="6"/>
    </w:p>
    <w:p w14:paraId="336BF372" w14:textId="590CD59D" w:rsidR="00296E02" w:rsidRDefault="00A9092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Ve veřejné správě bývá kombinace regulatorního tlaku, vyšší auditní kontroly a složitého prostředí více systémů a vazeb. </w:t>
      </w: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pomáhá přenést bezpečnostní rizika do srozumitelných výstupů pro řízení i kontrolní orgány. </w:t>
      </w:r>
    </w:p>
    <w:p w14:paraId="336BF373" w14:textId="77777777" w:rsidR="00296E02" w:rsidRDefault="00A90920">
      <w:pPr>
        <w:spacing w:before="315" w:after="105" w:line="360" w:lineRule="auto"/>
        <w:ind w:left="-30"/>
      </w:pPr>
      <w:bookmarkStart w:id="7" w:name="obchodní_úhel_3"/>
      <w:r>
        <w:rPr>
          <w:rFonts w:eastAsia="Georgia" w:hAnsi="Georgia" w:cs="Georgia"/>
          <w:b/>
          <w:color w:val="000000"/>
          <w:sz w:val="24"/>
        </w:rPr>
        <w:t>Obchodní úhel</w:t>
      </w:r>
      <w:bookmarkEnd w:id="7"/>
    </w:p>
    <w:p w14:paraId="336BF374" w14:textId="52D10454" w:rsidR="00296E02" w:rsidRDefault="00A9092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Vysoká potřeba přezkoumatelnosti a konzistentního postupu.</w:t>
      </w:r>
    </w:p>
    <w:p w14:paraId="336BF375" w14:textId="0B92C67C" w:rsidR="00296E02" w:rsidRDefault="00A9092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Silný argument je podpora open-source </w:t>
      </w:r>
      <w:proofErr w:type="spellStart"/>
      <w:r>
        <w:rPr>
          <w:rFonts w:eastAsia="Georgia" w:hAnsi="Georgia" w:cs="Georgia"/>
          <w:color w:val="000000"/>
        </w:rPr>
        <w:t>Archi</w:t>
      </w:r>
      <w:proofErr w:type="spellEnd"/>
      <w:r>
        <w:rPr>
          <w:rFonts w:eastAsia="Georgia" w:hAnsi="Georgia" w:cs="Georgia"/>
          <w:color w:val="000000"/>
        </w:rPr>
        <w:t xml:space="preserve"> a návaznost na architektonické přístupy eGovernmentu. </w:t>
      </w:r>
    </w:p>
    <w:p w14:paraId="336BF376" w14:textId="7EA1E17C" w:rsidR="00296E02" w:rsidRDefault="00A9092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Dobré téma pro workshop je převod stávajících tabulek a metodik do </w:t>
      </w:r>
      <w:proofErr w:type="spellStart"/>
      <w:r>
        <w:rPr>
          <w:rFonts w:eastAsia="Georgia" w:hAnsi="Georgia" w:cs="Georgia"/>
          <w:color w:val="000000"/>
        </w:rPr>
        <w:t>auditovatelnějšího</w:t>
      </w:r>
      <w:proofErr w:type="spellEnd"/>
      <w:r>
        <w:rPr>
          <w:rFonts w:eastAsia="Georgia" w:hAnsi="Georgia" w:cs="Georgia"/>
          <w:color w:val="000000"/>
        </w:rPr>
        <w:t xml:space="preserve"> modelu.</w:t>
      </w:r>
    </w:p>
    <w:sectPr w:rsidR="00296E0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46FE0"/>
    <w:multiLevelType w:val="hybridMultilevel"/>
    <w:tmpl w:val="A56E037C"/>
    <w:lvl w:ilvl="0" w:tplc="EE9094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2AEB2A">
      <w:numFmt w:val="decimal"/>
      <w:lvlText w:val=""/>
      <w:lvlJc w:val="left"/>
    </w:lvl>
    <w:lvl w:ilvl="2" w:tplc="6A501426">
      <w:numFmt w:val="decimal"/>
      <w:lvlText w:val=""/>
      <w:lvlJc w:val="left"/>
    </w:lvl>
    <w:lvl w:ilvl="3" w:tplc="46D81DDE">
      <w:numFmt w:val="decimal"/>
      <w:lvlText w:val=""/>
      <w:lvlJc w:val="left"/>
    </w:lvl>
    <w:lvl w:ilvl="4" w:tplc="21D0AFE4">
      <w:numFmt w:val="decimal"/>
      <w:lvlText w:val=""/>
      <w:lvlJc w:val="left"/>
    </w:lvl>
    <w:lvl w:ilvl="5" w:tplc="6958EEA8">
      <w:numFmt w:val="decimal"/>
      <w:lvlText w:val=""/>
      <w:lvlJc w:val="left"/>
    </w:lvl>
    <w:lvl w:ilvl="6" w:tplc="4D46F850">
      <w:numFmt w:val="decimal"/>
      <w:lvlText w:val=""/>
      <w:lvlJc w:val="left"/>
    </w:lvl>
    <w:lvl w:ilvl="7" w:tplc="A25C4C58">
      <w:numFmt w:val="decimal"/>
      <w:lvlText w:val=""/>
      <w:lvlJc w:val="left"/>
    </w:lvl>
    <w:lvl w:ilvl="8" w:tplc="411C3E2A">
      <w:numFmt w:val="decimal"/>
      <w:lvlText w:val=""/>
      <w:lvlJc w:val="left"/>
    </w:lvl>
  </w:abstractNum>
  <w:abstractNum w:abstractNumId="1" w15:restartNumberingAfterBreak="0">
    <w:nsid w:val="5C894CE9"/>
    <w:multiLevelType w:val="hybridMultilevel"/>
    <w:tmpl w:val="AE0EE670"/>
    <w:lvl w:ilvl="0" w:tplc="15CEF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744D48">
      <w:numFmt w:val="decimal"/>
      <w:lvlText w:val=""/>
      <w:lvlJc w:val="left"/>
    </w:lvl>
    <w:lvl w:ilvl="2" w:tplc="1A68567A">
      <w:numFmt w:val="decimal"/>
      <w:lvlText w:val=""/>
      <w:lvlJc w:val="left"/>
    </w:lvl>
    <w:lvl w:ilvl="3" w:tplc="EF28873A">
      <w:numFmt w:val="decimal"/>
      <w:lvlText w:val=""/>
      <w:lvlJc w:val="left"/>
    </w:lvl>
    <w:lvl w:ilvl="4" w:tplc="359AB296">
      <w:numFmt w:val="decimal"/>
      <w:lvlText w:val=""/>
      <w:lvlJc w:val="left"/>
    </w:lvl>
    <w:lvl w:ilvl="5" w:tplc="B368443C">
      <w:numFmt w:val="decimal"/>
      <w:lvlText w:val=""/>
      <w:lvlJc w:val="left"/>
    </w:lvl>
    <w:lvl w:ilvl="6" w:tplc="43D001DC">
      <w:numFmt w:val="decimal"/>
      <w:lvlText w:val=""/>
      <w:lvlJc w:val="left"/>
    </w:lvl>
    <w:lvl w:ilvl="7" w:tplc="BB74EAD4">
      <w:numFmt w:val="decimal"/>
      <w:lvlText w:val=""/>
      <w:lvlJc w:val="left"/>
    </w:lvl>
    <w:lvl w:ilvl="8" w:tplc="7DD00DD0">
      <w:numFmt w:val="decimal"/>
      <w:lvlText w:val=""/>
      <w:lvlJc w:val="left"/>
    </w:lvl>
  </w:abstractNum>
  <w:abstractNum w:abstractNumId="2" w15:restartNumberingAfterBreak="0">
    <w:nsid w:val="64A43998"/>
    <w:multiLevelType w:val="hybridMultilevel"/>
    <w:tmpl w:val="981AC73A"/>
    <w:lvl w:ilvl="0" w:tplc="B768A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92D746">
      <w:numFmt w:val="decimal"/>
      <w:lvlText w:val=""/>
      <w:lvlJc w:val="left"/>
    </w:lvl>
    <w:lvl w:ilvl="2" w:tplc="47F8673C">
      <w:numFmt w:val="decimal"/>
      <w:lvlText w:val=""/>
      <w:lvlJc w:val="left"/>
    </w:lvl>
    <w:lvl w:ilvl="3" w:tplc="ECE22366">
      <w:numFmt w:val="decimal"/>
      <w:lvlText w:val=""/>
      <w:lvlJc w:val="left"/>
    </w:lvl>
    <w:lvl w:ilvl="4" w:tplc="816A45DA">
      <w:numFmt w:val="decimal"/>
      <w:lvlText w:val=""/>
      <w:lvlJc w:val="left"/>
    </w:lvl>
    <w:lvl w:ilvl="5" w:tplc="4274B794">
      <w:numFmt w:val="decimal"/>
      <w:lvlText w:val=""/>
      <w:lvlJc w:val="left"/>
    </w:lvl>
    <w:lvl w:ilvl="6" w:tplc="569E48CE">
      <w:numFmt w:val="decimal"/>
      <w:lvlText w:val=""/>
      <w:lvlJc w:val="left"/>
    </w:lvl>
    <w:lvl w:ilvl="7" w:tplc="83B2E634">
      <w:numFmt w:val="decimal"/>
      <w:lvlText w:val=""/>
      <w:lvlJc w:val="left"/>
    </w:lvl>
    <w:lvl w:ilvl="8" w:tplc="1BAE2C1C">
      <w:numFmt w:val="decimal"/>
      <w:lvlText w:val=""/>
      <w:lvlJc w:val="left"/>
    </w:lvl>
  </w:abstractNum>
  <w:num w:numId="1" w16cid:durableId="273906203">
    <w:abstractNumId w:val="0"/>
  </w:num>
  <w:num w:numId="2" w16cid:durableId="1360281726">
    <w:abstractNumId w:val="2"/>
  </w:num>
  <w:num w:numId="3" w16cid:durableId="161979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02"/>
    <w:rsid w:val="00043FCE"/>
    <w:rsid w:val="00296E02"/>
    <w:rsid w:val="00A90920"/>
    <w:rsid w:val="00EB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F363"/>
  <w15:docId w15:val="{93C8480C-7E55-4A7A-8F60-0CE14905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86F4269E9694C80457F999704A12B" ma:contentTypeVersion="11" ma:contentTypeDescription="Create a new document." ma:contentTypeScope="" ma:versionID="1b7942b5c3e0dfb5efdca4eca8fbf96a">
  <xsd:schema xmlns:xsd="http://www.w3.org/2001/XMLSchema" xmlns:xs="http://www.w3.org/2001/XMLSchema" xmlns:p="http://schemas.microsoft.com/office/2006/metadata/properties" xmlns:ns2="6f8099b0-0dcd-49a3-85ac-5930fe0c186d" xmlns:ns3="7044b33e-3b6d-4432-accd-363678ebae01" targetNamespace="http://schemas.microsoft.com/office/2006/metadata/properties" ma:root="true" ma:fieldsID="74da4518597e39eda33ad37f6b3351f2" ns2:_="" ns3:_="">
    <xsd:import namespace="6f8099b0-0dcd-49a3-85ac-5930fe0c186d"/>
    <xsd:import namespace="7044b33e-3b6d-4432-accd-363678ebae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099b0-0dcd-49a3-85ac-5930fe0c1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6dec929-0881-4953-b8ad-d9d112021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33e-3b6d-4432-accd-363678ebae0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b5eedec-db3e-4256-9763-619492cd2fd1}" ma:internalName="TaxCatchAll" ma:showField="CatchAllData" ma:web="7044b33e-3b6d-4432-accd-363678ebae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44b33e-3b6d-4432-accd-363678ebae01" xsi:nil="true"/>
    <lcf76f155ced4ddcb4097134ff3c332f xmlns="6f8099b0-0dcd-49a3-85ac-5930fe0c186d">
      <Terms xmlns="http://schemas.microsoft.com/office/infopath/2007/PartnerControls"/>
    </lcf76f155ced4ddcb4097134ff3c332f>
    <_Flow_SignoffStatus xmlns="6f8099b0-0dcd-49a3-85ac-5930fe0c186d" xsi:nil="true"/>
  </documentManagement>
</p:properties>
</file>

<file path=customXml/itemProps1.xml><?xml version="1.0" encoding="utf-8"?>
<ds:datastoreItem xmlns:ds="http://schemas.openxmlformats.org/officeDocument/2006/customXml" ds:itemID="{C7E6A48A-6721-44DD-B387-EC60FCB584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4CC563-2503-47B0-829E-C50DF65E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099b0-0dcd-49a3-85ac-5930fe0c186d"/>
    <ds:schemaRef ds:uri="7044b33e-3b6d-4432-accd-363678eba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B58AE-D62E-4A8A-BC0E-A2D1D73B2014}">
  <ds:schemaRefs>
    <ds:schemaRef ds:uri="http://schemas.microsoft.com/office/2006/metadata/properties"/>
    <ds:schemaRef ds:uri="http://schemas.microsoft.com/office/infopath/2007/PartnerControls"/>
    <ds:schemaRef ds:uri="7044b33e-3b6d-4432-accd-363678ebae01"/>
    <ds:schemaRef ds:uri="6f8099b0-0dcd-49a3-85ac-5930fe0c186d"/>
  </ds:schemaRefs>
</ds:datastoreItem>
</file>

<file path=docMetadata/LabelInfo.xml><?xml version="1.0" encoding="utf-8"?>
<clbl:labelList xmlns:clbl="http://schemas.microsoft.com/office/2020/mipLabelMetadata">
  <clbl:label id="{47e2c60d-2942-4060-a899-7e3a71c2a67d}" enabled="0" method="" siteId="{47e2c60d-2942-4060-a899-7e3a71c2a6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Radovan Polanský</cp:lastModifiedBy>
  <cp:revision>2</cp:revision>
  <dcterms:created xsi:type="dcterms:W3CDTF">2026-04-22T08:29:00Z</dcterms:created>
  <dcterms:modified xsi:type="dcterms:W3CDTF">2026-04-22T08:49:00Z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0x010100CF586F4269E9694C80457F999704A12B</vt:lpwstr>
  </property>
  <property fmtid="{D5CDD505-2E9C-101B-9397-08002B2CF9AE}" pid="3" name="MediaServiceImageTags">
    <vt:lpwstr/>
  </property>
</Properties>
</file>