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85524" w14:textId="4B772160" w:rsidR="001E7588" w:rsidRPr="00C260C7" w:rsidRDefault="00000000" w:rsidP="00094495">
      <w:pPr>
        <w:pStyle w:val="11"/>
        <w:spacing w:beforeLines="50" w:before="163" w:afterLines="50" w:after="163" w:line="360" w:lineRule="auto"/>
        <w:jc w:val="center"/>
        <w:rPr>
          <w:b/>
          <w:bCs/>
          <w:sz w:val="32"/>
          <w:szCs w:val="32"/>
        </w:rPr>
      </w:pPr>
      <w:r w:rsidRPr="00C260C7">
        <w:rPr>
          <w:rFonts w:hint="eastAsia"/>
          <w:b/>
          <w:bCs/>
          <w:sz w:val="32"/>
          <w:szCs w:val="32"/>
        </w:rPr>
        <w:t>股市投资的本质</w:t>
      </w:r>
      <w:r w:rsidR="009452CB" w:rsidRPr="00C260C7">
        <w:rPr>
          <w:rFonts w:hint="eastAsia"/>
          <w:b/>
          <w:bCs/>
          <w:sz w:val="32"/>
          <w:szCs w:val="32"/>
        </w:rPr>
        <w:t>是信心的博弈</w:t>
      </w:r>
    </w:p>
    <w:p w14:paraId="5A269758" w14:textId="74BF4750" w:rsidR="002B121D" w:rsidRPr="007B61F1" w:rsidRDefault="002B121D" w:rsidP="00094495">
      <w:pPr>
        <w:widowControl/>
        <w:spacing w:beforeLines="50" w:before="163" w:afterLines="50" w:after="163" w:line="360" w:lineRule="auto"/>
        <w:jc w:val="center"/>
        <w:rPr>
          <w:rFonts w:cstheme="minorBidi"/>
          <w:szCs w:val="22"/>
        </w:rPr>
      </w:pPr>
      <w:r w:rsidRPr="007B61F1">
        <w:rPr>
          <w:rFonts w:ascii="楷体" w:eastAsia="楷体" w:hAnsi="楷体" w:cstheme="minorBidi" w:hint="eastAsia"/>
          <w:szCs w:val="22"/>
        </w:rPr>
        <w:t>赵东逸</w:t>
      </w:r>
      <w:r w:rsidR="005E1313">
        <w:rPr>
          <w:rStyle w:val="af2"/>
        </w:rPr>
        <w:footnoteReference w:customMarkFollows="1" w:id="1"/>
        <w:t>*</w:t>
      </w:r>
    </w:p>
    <w:p w14:paraId="5ED6E388" w14:textId="110A7B3D" w:rsidR="001E7588" w:rsidRDefault="00000000" w:rsidP="0080596E">
      <w:pPr>
        <w:pStyle w:val="11"/>
        <w:ind w:firstLine="480"/>
        <w:jc w:val="both"/>
      </w:pPr>
      <w:r>
        <w:rPr>
          <w:rFonts w:hint="eastAsia"/>
        </w:rPr>
        <w:t>凯恩斯在《就业、利息和货币通论》中曾提出一个著名的“选美理论”：在报纸举办的选美比赛中，读者要投票选出最漂亮的面孔，但胜出者并非自己认为最美的那个，而是大多数人认为最美的那个。股票市场也是如此，投资者买入</w:t>
      </w:r>
      <w:proofErr w:type="gramStart"/>
      <w:r>
        <w:rPr>
          <w:rFonts w:hint="eastAsia"/>
        </w:rPr>
        <w:t>一只股票</w:t>
      </w:r>
      <w:proofErr w:type="gramEnd"/>
      <w:r>
        <w:rPr>
          <w:rFonts w:hint="eastAsia"/>
        </w:rPr>
        <w:t>，往往不是因为自己认为公司有多好，而是因为预期别人会以更高价格从他手中买走。这个看似简单的比喻揭示了一个深刻的事实：股市投资的根本，不是研究公司本身，而是判断与你同台竞争的其他市场参与者的行为和信心。</w:t>
      </w:r>
    </w:p>
    <w:p w14:paraId="695CC5FD" w14:textId="57426CA4" w:rsidR="008A1CF7" w:rsidRPr="008A1CF7" w:rsidRDefault="008A1CF7" w:rsidP="008A1CF7">
      <w:pPr>
        <w:pStyle w:val="11"/>
        <w:ind w:firstLine="480"/>
        <w:jc w:val="both"/>
      </w:pPr>
      <w:r w:rsidRPr="008A1CF7">
        <w:t>本文试图系统论证这一命题：股市本质上不是一个单纯衡量企业内在价值的场所，而是一个围绕信心、信息和对手盘展开的博弈场。股票盈利必须通过交易兑现，因此个体投资者的收益最终依赖于他人是否愿意以更高价格接盘；在这一意义上，交易环节具有零和甚至负和性质。基本面分析、题材炒作、概念叙事乃至玄学炒股，都只是信心的不同载体，区别不在于是否脱离信心，而在于它们所激发的是具有广泛背书的社会一致信心，还是建立在片面信息和局部情绪之上的片面信心。股市长期上涨，源于实物财富增长与社会一致信心的相互强化；历次股灾和资产泡沫，则源于片面信心被误认为社会一致信心之后，在新信息冲击下迅速破裂。大资金与机构</w:t>
      </w:r>
      <w:r w:rsidR="00131289">
        <w:rPr>
          <w:rFonts w:hint="eastAsia"/>
        </w:rPr>
        <w:t>常常</w:t>
      </w:r>
      <w:r w:rsidRPr="008A1CF7">
        <w:t>利用信息优势、资金优势和交易结构优势，制造、强化或瓦解市场信心，从而在具体交易中收割信息劣势和纪律劣势的散户。对普通投资者而言，短期预判对手行为往往是劣势策略，但这并不意味着可以忽视对手盘；恰恰相反，散户应当理解自己在与谁博弈，并在不违背历史规律和市场规律的前提下，尽可能站到社会一致信心和市场优势力量的一边。</w:t>
      </w:r>
    </w:p>
    <w:p w14:paraId="1761BAB7" w14:textId="57051424" w:rsidR="001E7588" w:rsidRPr="00460725" w:rsidRDefault="00000000" w:rsidP="0080596E">
      <w:pPr>
        <w:pStyle w:val="21"/>
        <w:jc w:val="both"/>
        <w:rPr>
          <w:rFonts w:ascii="楷体" w:eastAsia="楷体" w:hAnsi="楷体"/>
          <w:b/>
          <w:bCs/>
          <w:sz w:val="28"/>
          <w:szCs w:val="28"/>
        </w:rPr>
      </w:pPr>
      <w:r w:rsidRPr="00460725">
        <w:rPr>
          <w:rFonts w:ascii="楷体" w:eastAsia="楷体" w:hAnsi="楷体" w:hint="eastAsia"/>
          <w:b/>
          <w:bCs/>
          <w:sz w:val="28"/>
          <w:szCs w:val="28"/>
        </w:rPr>
        <w:t>一、股市本质是</w:t>
      </w:r>
      <w:r w:rsidR="00E3559C">
        <w:rPr>
          <w:rFonts w:ascii="楷体" w:eastAsia="楷体" w:hAnsi="楷体" w:hint="eastAsia"/>
          <w:b/>
          <w:bCs/>
          <w:sz w:val="28"/>
          <w:szCs w:val="28"/>
        </w:rPr>
        <w:t>基于</w:t>
      </w:r>
      <w:r w:rsidR="005066E5">
        <w:rPr>
          <w:rFonts w:ascii="楷体" w:eastAsia="楷体" w:hAnsi="楷体" w:hint="eastAsia"/>
          <w:b/>
          <w:bCs/>
          <w:sz w:val="28"/>
          <w:szCs w:val="28"/>
        </w:rPr>
        <w:t>不同认知</w:t>
      </w:r>
      <w:r w:rsidR="00E3559C">
        <w:rPr>
          <w:rFonts w:ascii="楷体" w:eastAsia="楷体" w:hAnsi="楷体" w:hint="eastAsia"/>
          <w:b/>
          <w:bCs/>
          <w:sz w:val="28"/>
          <w:szCs w:val="28"/>
        </w:rPr>
        <w:t>的</w:t>
      </w:r>
      <w:r w:rsidRPr="00460725">
        <w:rPr>
          <w:rFonts w:ascii="楷体" w:eastAsia="楷体" w:hAnsi="楷体" w:hint="eastAsia"/>
          <w:b/>
          <w:bCs/>
          <w:sz w:val="28"/>
          <w:szCs w:val="28"/>
        </w:rPr>
        <w:t>信心游戏</w:t>
      </w:r>
    </w:p>
    <w:p w14:paraId="23617CCD" w14:textId="6C7BFF2B" w:rsidR="001E7588" w:rsidRDefault="00000000" w:rsidP="0080596E">
      <w:pPr>
        <w:pStyle w:val="11"/>
        <w:ind w:firstLine="480"/>
        <w:jc w:val="both"/>
      </w:pPr>
      <w:r>
        <w:rPr>
          <w:rFonts w:hint="eastAsia"/>
        </w:rPr>
        <w:t>长期以来，市场存在一种根深蒂固的</w:t>
      </w:r>
      <w:r w:rsidR="00E3559C">
        <w:rPr>
          <w:rFonts w:hint="eastAsia"/>
        </w:rPr>
        <w:t>信念</w:t>
      </w:r>
      <w:r>
        <w:rPr>
          <w:rFonts w:hint="eastAsia"/>
        </w:rPr>
        <w:t>：股票价格由企业内在价值决定，因此只要找到“好公司”，长期持有就一定能赚钱。这种观点混淆了“价值”与“价格”的关系。价格从来不是价值的简单镜像，而是市场参与者基于有限信息、有限理性以及彼此预期的博弈结果。</w:t>
      </w:r>
    </w:p>
    <w:p w14:paraId="7CBB71D3" w14:textId="7129925B" w:rsidR="001E7588" w:rsidRDefault="00000000" w:rsidP="0080596E">
      <w:pPr>
        <w:pStyle w:val="11"/>
        <w:ind w:firstLine="480"/>
        <w:jc w:val="both"/>
      </w:pPr>
      <w:r>
        <w:rPr>
          <w:rFonts w:hint="eastAsia"/>
        </w:rPr>
        <w:t>在实际市场中，几乎所有股票的估值都</w:t>
      </w:r>
      <w:r w:rsidR="00E3559C">
        <w:rPr>
          <w:rFonts w:hint="eastAsia"/>
        </w:rPr>
        <w:t>偏离</w:t>
      </w:r>
      <w:r>
        <w:rPr>
          <w:rFonts w:hint="eastAsia"/>
        </w:rPr>
        <w:t>其内在价值，而且偏离幅度往往大得惊人。这种偏离不是偶然的，而是系统性的。因为股价的形成机制，不是一台精密的计算器在计算企业未来现金流的折现值，而是无数带有情绪、偏见、信息不对称和从众心理的人在相互交易。他们买入或卖出的理由五花八门：有人看财报，有人听消息，有人追</w:t>
      </w:r>
      <w:r>
        <w:rPr>
          <w:rFonts w:hint="eastAsia"/>
        </w:rPr>
        <w:lastRenderedPageBreak/>
        <w:t>概念，有人只因为股票</w:t>
      </w:r>
      <w:r w:rsidR="00937038">
        <w:rPr>
          <w:rFonts w:hint="eastAsia"/>
        </w:rPr>
        <w:t>名称</w:t>
      </w:r>
      <w:r>
        <w:rPr>
          <w:rFonts w:hint="eastAsia"/>
        </w:rPr>
        <w:t>里带“龙”字。这些理由看似水平悬殊，但在推动股价的机制上并无本质区别——它们都作用于参与者的信心。</w:t>
      </w:r>
    </w:p>
    <w:p w14:paraId="44D0F42D" w14:textId="77777777" w:rsidR="001E7588" w:rsidRDefault="00000000" w:rsidP="0080596E">
      <w:pPr>
        <w:pStyle w:val="11"/>
        <w:ind w:firstLine="480"/>
        <w:jc w:val="both"/>
      </w:pPr>
      <w:r>
        <w:rPr>
          <w:rFonts w:hint="eastAsia"/>
        </w:rPr>
        <w:t>以英伟达为例。英伟达的上涨固然有强劲的盈利支撑，但真正推动股价持续飞涨的，是市场参与者形成的集体信念：不仅相信英伟达当前盈利强劲，更相信其他参与者也相信这一点，并且不会轻易退出。这种“相信别人也相信”的自我强化机制，使得英伟达的估值不断突破传统框架的上限。再看</w:t>
      </w:r>
      <w:r>
        <w:rPr>
          <w:rFonts w:hint="eastAsia"/>
        </w:rPr>
        <w:t>A</w:t>
      </w:r>
      <w:r>
        <w:rPr>
          <w:rFonts w:hint="eastAsia"/>
        </w:rPr>
        <w:t>股市场中的“龙字股”炒作，参与者明知公司基本面并无变化，但因为相信别人会在“龙年”氛围中跟进买入，股价也能短期暴涨。</w:t>
      </w:r>
      <w:r>
        <w:rPr>
          <w:rFonts w:hint="eastAsia"/>
        </w:rPr>
        <w:t>AI</w:t>
      </w:r>
      <w:r>
        <w:rPr>
          <w:rFonts w:hint="eastAsia"/>
        </w:rPr>
        <w:t>概念股更是如此，许多公司仅仅因为被传闻与英伟达存在模糊的供货关系，便被市场赋予极高估值，尽管这种关系可能对业绩的贡献微乎其微。</w:t>
      </w:r>
    </w:p>
    <w:p w14:paraId="090E3EEE" w14:textId="77777777" w:rsidR="001E7588" w:rsidRDefault="00000000" w:rsidP="0080596E">
      <w:pPr>
        <w:pStyle w:val="11"/>
        <w:ind w:firstLine="480"/>
        <w:jc w:val="both"/>
      </w:pPr>
      <w:r w:rsidRPr="00D434AA">
        <w:rPr>
          <w:rFonts w:hint="eastAsia"/>
          <w:b/>
          <w:bCs/>
        </w:rPr>
        <w:t>这些现象共同说明：股价的决定因素，不是公司“实际值多少钱”，而是市场参与者“认为它值多少钱”。</w:t>
      </w:r>
      <w:r>
        <w:rPr>
          <w:rFonts w:hint="eastAsia"/>
        </w:rPr>
        <w:t>基本面、消息、题材、玄学，都只是影响“认为”这个心理过程的素材。所谓基本面分析，本质上也只是提供一种更稳定、更不容易消失的信心锚点。它并不能脱离信心而独立产生价格。</w:t>
      </w:r>
    </w:p>
    <w:p w14:paraId="7EFC8CD6" w14:textId="513E3688" w:rsidR="001E7588" w:rsidRDefault="00D434AA" w:rsidP="0080596E">
      <w:pPr>
        <w:pStyle w:val="11"/>
        <w:ind w:firstLine="480"/>
        <w:jc w:val="both"/>
      </w:pPr>
      <w:r w:rsidRPr="00D434AA">
        <w:rPr>
          <w:b/>
          <w:bCs/>
        </w:rPr>
        <w:t>基本面分析与</w:t>
      </w:r>
      <w:r w:rsidR="00ED3145" w:rsidRPr="00ED3145">
        <w:rPr>
          <w:b/>
          <w:bCs/>
        </w:rPr>
        <w:t>概念炒作、</w:t>
      </w:r>
      <w:r w:rsidRPr="00D434AA">
        <w:rPr>
          <w:b/>
          <w:bCs/>
        </w:rPr>
        <w:t>玄学炒股在信心层面没有本质区别</w:t>
      </w:r>
      <w:r w:rsidRPr="00D434AA">
        <w:rPr>
          <w:rFonts w:hint="eastAsia"/>
          <w:b/>
          <w:bCs/>
        </w:rPr>
        <w:t>。</w:t>
      </w:r>
      <w:r>
        <w:rPr>
          <w:rFonts w:hint="eastAsia"/>
        </w:rPr>
        <w:t>有一种流行观点认为，基本面分析是理性的、可靠的，</w:t>
      </w:r>
      <w:r w:rsidR="00ED3145">
        <w:rPr>
          <w:rFonts w:hint="eastAsia"/>
        </w:rPr>
        <w:t>概念炒作、</w:t>
      </w:r>
      <w:r>
        <w:rPr>
          <w:rFonts w:hint="eastAsia"/>
        </w:rPr>
        <w:t>玄学炒股是非理性的、不可靠的，二者不可同日而语。这种观点把“理性”与“信心”对立起来，其实是一种误解。从影响股价的机制来看，二者并无本质区别，</w:t>
      </w:r>
      <w:r w:rsidR="00D90707" w:rsidRPr="00D90707">
        <w:rPr>
          <w:rFonts w:ascii="宋体" w:hAnsi="宋体" w:hint="eastAsia"/>
        </w:rPr>
        <w:t>都是为参与者提供一套“值得买入”的理由，先塑造信心，再由信心经由买卖行为传导到价格，二者作用的中介变量完全相同，区别只在于所塑造的信心能被多少人共享、能维持多久</w:t>
      </w:r>
      <w:r>
        <w:rPr>
          <w:rFonts w:hint="eastAsia"/>
        </w:rPr>
        <w:t>：基本面分析之所以长期更有效，不是因为它能直接决定价格，而是因为它能为市场信心提供更坚实的基础，使信心更不容易瓦解。</w:t>
      </w:r>
    </w:p>
    <w:p w14:paraId="502C5B36" w14:textId="77777777" w:rsidR="00D90707" w:rsidRDefault="00D90707" w:rsidP="0080596E">
      <w:pPr>
        <w:pStyle w:val="11"/>
        <w:ind w:firstLine="480"/>
        <w:jc w:val="both"/>
      </w:pPr>
      <w:r>
        <w:rPr>
          <w:rFonts w:ascii="宋体" w:hAnsi="宋体" w:hint="eastAsia"/>
        </w:rPr>
        <w:t>要理解这种“坚实程度”的差异，需要引入一对概念：社会一致信心（集体信心）与片面信心（局部信心）。二者的区别不在于其内容是否“科学”，而在于有多少人为这一判断背书，以及这些背书者的信念是否容易被外部意见改变。持有社会一致信心的投资者，其判断背后站着市场中的大多数人，他的决策有更多人为其背书，因而在价格上形成了稳固的估值支撑；持有片面信心的投资者，其判断只被一小部分人共享，支持者有限，所依赖的信息片面而不可靠，这部分人一旦接收到社会其他群体的信息与情绪，就会迅速改变原有决策、转而抛售离场。</w:t>
      </w:r>
    </w:p>
    <w:p w14:paraId="32FF4459" w14:textId="77777777" w:rsidR="00D90707" w:rsidRDefault="00D90707" w:rsidP="0080596E">
      <w:pPr>
        <w:pStyle w:val="11"/>
        <w:ind w:firstLine="480"/>
        <w:jc w:val="both"/>
      </w:pPr>
      <w:r>
        <w:rPr>
          <w:rFonts w:ascii="宋体" w:hAnsi="宋体" w:hint="eastAsia"/>
        </w:rPr>
        <w:t>这一对概念所对应的，恰恰就是基本面分析与概念炒作。基本面分析更多地对应社会一致信心，因为基本面在很大程度上代表了一家公司的真实情况，无论人们最初出于何种理由买入，最终大多数人都会把对这家公司的评判重新回归到盈利、现金流与资产质量上来；也正因如此，依据基本面作出的决策会有更多人为你背书，并构成价格的估值支撑。概念炒作则更多地是少数群体的决策依据：他们的支持者有限，信息片面而不可靠，决策依据在根基上并不牢固，因而更容易被社会其他群体的意见或市场情绪所动摇。</w:t>
      </w:r>
    </w:p>
    <w:p w14:paraId="3E47B48F" w14:textId="77777777" w:rsidR="00D90707" w:rsidRDefault="00D90707" w:rsidP="0080596E">
      <w:pPr>
        <w:pStyle w:val="11"/>
        <w:ind w:firstLine="480"/>
        <w:jc w:val="both"/>
      </w:pPr>
      <w:r>
        <w:rPr>
          <w:rFonts w:ascii="宋体" w:hAnsi="宋体" w:hint="eastAsia"/>
        </w:rPr>
        <w:lastRenderedPageBreak/>
        <w:t>这才是长期与短期有效性发生分化的真正原因：为什么长期来看基本面分析更有效，而短期来看概念炒作反而更有效。短期之内，一小群人的片面信心就足以在有限的成交量中把价格推上去，概念炒作因而能迅速兑现为涨幅；但随着时间推移，参与者不断增加，信息持续扩散，片面信心终究要接受社会一致信心的检验，凡是无法回归基本面的价格，最终都会被修正回来。</w:t>
      </w:r>
    </w:p>
    <w:p w14:paraId="0BAE43E7" w14:textId="1C8F9498" w:rsidR="001E7588" w:rsidRDefault="00F4747E" w:rsidP="0080596E">
      <w:pPr>
        <w:pStyle w:val="11"/>
        <w:ind w:firstLine="480"/>
        <w:jc w:val="both"/>
      </w:pPr>
      <w:r>
        <w:rPr>
          <w:rFonts w:hint="eastAsia"/>
        </w:rPr>
        <w:t>由此我们便可以理解：一家公司盈利持续增长、现金流充沛、资产质量优良，市场参与者会形成一种“硬核”的一致信心：即使短期波动，也会有其他理性投资者愿意接盘，因此自己不必恐慌抛售。这种信心的稳定性反过来减少了恐慌性抛售，进一步强化了价格稳定性。相比之下，“龙年买龙字股”这类玄学逻辑，由于缺乏可验证的实物资产或现金流支撑，只能吸引少数群体形成片面信心。一旦某个环节断裂，信心就会迅速崩溃，导致价格崩盘。</w:t>
      </w:r>
    </w:p>
    <w:p w14:paraId="51A4DA8C" w14:textId="77777777" w:rsidR="001E7588" w:rsidRDefault="00000000" w:rsidP="0080596E">
      <w:pPr>
        <w:pStyle w:val="11"/>
        <w:ind w:firstLine="480"/>
        <w:jc w:val="both"/>
      </w:pPr>
      <w:r>
        <w:rPr>
          <w:rFonts w:hint="eastAsia"/>
        </w:rPr>
        <w:t>但这并不意味着基本面分析就脱离了信心的范畴。它只是信心的一个更有韧性的来源。在完全市场假设下，如果信息完全对称、所有参与者认知相同，那么</w:t>
      </w:r>
      <w:proofErr w:type="gramStart"/>
      <w:r>
        <w:rPr>
          <w:rFonts w:hint="eastAsia"/>
        </w:rPr>
        <w:t>一只股票</w:t>
      </w:r>
      <w:proofErr w:type="gramEnd"/>
      <w:r>
        <w:rPr>
          <w:rFonts w:hint="eastAsia"/>
        </w:rPr>
        <w:t>的收益率最终会趋于无风险利率。现实中股票收益率长期高于无风险利率，恰恰说明市场并非完全有效，存在信息不对称和信心差异。这种差异使得不同参与者对同一资产给出不同估值，从而产生交易机会和价格波动。</w:t>
      </w:r>
    </w:p>
    <w:p w14:paraId="6E9F0F3F" w14:textId="77777777" w:rsidR="001E7588" w:rsidRDefault="00000000" w:rsidP="0080596E">
      <w:pPr>
        <w:pStyle w:val="11"/>
        <w:ind w:firstLine="480"/>
        <w:jc w:val="both"/>
      </w:pPr>
      <w:r>
        <w:rPr>
          <w:rFonts w:hint="eastAsia"/>
        </w:rPr>
        <w:t>主权基金的长期获利逻辑也印证了这一点。主权基金之所以能稳定获益，不是因为它们直接“收割”了散户，而是因为它们所持有的公司实物资产在增长，市场对这些资产的“硬核信心”随之增强。这种信心与实物资产近乎完全对应，几乎不可动摇，因此主权基金能够长期分享经济增长的红利。但这仍然是在信心框架内实现的：实物资产增长增强了市场信心，信心推高了股价，主权基金最终通过市场交易兑现收益。</w:t>
      </w:r>
    </w:p>
    <w:p w14:paraId="783C21E3" w14:textId="6A6EDD07" w:rsidR="001E7588" w:rsidRPr="00D434AA" w:rsidRDefault="00000000" w:rsidP="0080596E">
      <w:pPr>
        <w:pStyle w:val="11"/>
        <w:ind w:firstLine="480"/>
        <w:jc w:val="both"/>
        <w:rPr>
          <w:b/>
          <w:bCs/>
        </w:rPr>
      </w:pPr>
      <w:r w:rsidRPr="00D434AA">
        <w:rPr>
          <w:rFonts w:hint="eastAsia"/>
          <w:b/>
          <w:bCs/>
        </w:rPr>
        <w:t>因此，基本面与</w:t>
      </w:r>
      <w:r w:rsidR="00D62DF1" w:rsidRPr="00D434AA">
        <w:rPr>
          <w:rFonts w:hint="eastAsia"/>
          <w:b/>
          <w:bCs/>
        </w:rPr>
        <w:t>概念炒作</w:t>
      </w:r>
      <w:r w:rsidRPr="00D434AA">
        <w:rPr>
          <w:rFonts w:hint="eastAsia"/>
          <w:b/>
          <w:bCs/>
        </w:rPr>
        <w:t>的区别，不在于“一个是理性判断，一个是非理性冲动”，而在于它们所激发的信心的稳定性和持续性不同。但它们对股价的作用机制，都是通过影响参与者的主观信念来实现的。</w:t>
      </w:r>
    </w:p>
    <w:p w14:paraId="57213B1D" w14:textId="5C5A5F60" w:rsidR="001E7588" w:rsidRPr="00460725" w:rsidRDefault="00D434AA" w:rsidP="0080596E">
      <w:pPr>
        <w:pStyle w:val="21"/>
        <w:jc w:val="both"/>
        <w:rPr>
          <w:rFonts w:ascii="楷体" w:eastAsia="楷体" w:hAnsi="楷体"/>
          <w:b/>
          <w:bCs/>
          <w:sz w:val="28"/>
          <w:szCs w:val="28"/>
        </w:rPr>
      </w:pPr>
      <w:r>
        <w:rPr>
          <w:rFonts w:ascii="楷体" w:eastAsia="楷体" w:hAnsi="楷体" w:hint="eastAsia"/>
          <w:b/>
          <w:bCs/>
          <w:sz w:val="28"/>
          <w:szCs w:val="28"/>
        </w:rPr>
        <w:t>二</w:t>
      </w:r>
      <w:r w:rsidRPr="00460725">
        <w:rPr>
          <w:rFonts w:ascii="楷体" w:eastAsia="楷体" w:hAnsi="楷体" w:hint="eastAsia"/>
          <w:b/>
          <w:bCs/>
          <w:sz w:val="28"/>
          <w:szCs w:val="28"/>
        </w:rPr>
        <w:t>、零和博弈：盈利必须通过交易兑现</w:t>
      </w:r>
    </w:p>
    <w:p w14:paraId="3CBC335C" w14:textId="77777777" w:rsidR="001E7588" w:rsidRDefault="00000000" w:rsidP="0080596E">
      <w:pPr>
        <w:pStyle w:val="11"/>
        <w:ind w:firstLine="480"/>
        <w:jc w:val="both"/>
      </w:pPr>
      <w:r>
        <w:rPr>
          <w:rFonts w:hint="eastAsia"/>
        </w:rPr>
        <w:t>如果说“股市是信心游戏”是本文的第一支柱，那么“股市本质是零和博弈”就是第二支柱。这一部分需要更细致的论证，因为许多人会本能地反对：股市长期上涨，社会财富不断增加，怎么能说是零和呢？</w:t>
      </w:r>
    </w:p>
    <w:p w14:paraId="53FB2517" w14:textId="085E63E5" w:rsidR="001E7588" w:rsidRPr="004346C2" w:rsidRDefault="00000000" w:rsidP="0080596E">
      <w:pPr>
        <w:pStyle w:val="11"/>
        <w:spacing w:before="180" w:after="80"/>
        <w:ind w:firstLine="480"/>
        <w:jc w:val="both"/>
        <w:rPr>
          <w:color w:val="2F5496"/>
        </w:rPr>
      </w:pPr>
      <w:r w:rsidRPr="004346C2">
        <w:rPr>
          <w:rFonts w:hint="eastAsia"/>
          <w:color w:val="2F5496"/>
        </w:rPr>
        <w:t>（一）浮盈不是盈利，套现才是</w:t>
      </w:r>
    </w:p>
    <w:p w14:paraId="3CA8B13E" w14:textId="77777777" w:rsidR="001E7588" w:rsidRDefault="00000000" w:rsidP="0080596E">
      <w:pPr>
        <w:pStyle w:val="11"/>
        <w:ind w:firstLine="480"/>
        <w:jc w:val="both"/>
      </w:pPr>
      <w:r>
        <w:rPr>
          <w:rFonts w:hint="eastAsia"/>
        </w:rPr>
        <w:t>股票不是一般等价物，它不能直接用于交换商品和服务。投资者持有股票，无论账面上盈利多少，只要没有卖出，就只是“浮盈”，是市场报价给出的一个暂时数字。只有当你把股票卖出去，换成现金或其他具有充分流动性的资产时，盈利才真正实现。而卖出的前提，是有人愿意以你期望的价格买入。这个买入者，就是你的对手盘。</w:t>
      </w:r>
    </w:p>
    <w:p w14:paraId="33483290" w14:textId="77777777" w:rsidR="001E7588" w:rsidRDefault="00000000" w:rsidP="0080596E">
      <w:pPr>
        <w:pStyle w:val="11"/>
        <w:ind w:firstLine="480"/>
        <w:jc w:val="both"/>
      </w:pPr>
      <w:r>
        <w:rPr>
          <w:rFonts w:hint="eastAsia"/>
        </w:rPr>
        <w:lastRenderedPageBreak/>
        <w:t>你的盈利来自接盘者的支出。如果接盘者未来无法以更高价格卖出，他就会承担亏损。在这个意义上，你的盈利建立在他的亏损之上。即使你持有一家优秀公司十年，最终仍然需要在二级市场上卖出，或者通过其他方式变现。只要变现环节需要另一个交易对手，就存在零和博弈的属性。</w:t>
      </w:r>
    </w:p>
    <w:p w14:paraId="21AC157E" w14:textId="77777777" w:rsidR="001E7588" w:rsidRDefault="00000000" w:rsidP="0080596E">
      <w:pPr>
        <w:pStyle w:val="11"/>
        <w:ind w:firstLine="480"/>
        <w:jc w:val="both"/>
      </w:pPr>
      <w:r>
        <w:rPr>
          <w:rFonts w:hint="eastAsia"/>
        </w:rPr>
        <w:t>葡萄酒的例子很能说明问题。一瓶葡萄酒陈放十年，如果买家不识货，认为它和五年的酒没有区别，那么你无法以更高价格卖出。对于你来说，这瓶酒的内在价值可能提升了，但这种提升无法转化为现金，就没有实际意义。股票也是类似的：如果场外玩家信息滞后或不认可新价值，你无法按内在价值出手，账面增值就只是纸面富贵。</w:t>
      </w:r>
    </w:p>
    <w:p w14:paraId="4D4CF093" w14:textId="77777777" w:rsidR="001E7588" w:rsidRPr="004346C2" w:rsidRDefault="00000000" w:rsidP="0080596E">
      <w:pPr>
        <w:pStyle w:val="11"/>
        <w:spacing w:before="180" w:after="80"/>
        <w:ind w:firstLine="480"/>
        <w:jc w:val="both"/>
        <w:rPr>
          <w:color w:val="2F5496"/>
        </w:rPr>
      </w:pPr>
      <w:r w:rsidRPr="004346C2">
        <w:rPr>
          <w:rFonts w:hint="eastAsia"/>
          <w:color w:val="2F5496"/>
        </w:rPr>
        <w:t>（二）破除正和迷思：为什么股市本质是零和而非正和</w:t>
      </w:r>
    </w:p>
    <w:p w14:paraId="658FC8C4" w14:textId="77777777" w:rsidR="001E7588" w:rsidRDefault="00000000" w:rsidP="0080596E">
      <w:pPr>
        <w:pStyle w:val="11"/>
        <w:ind w:firstLine="480"/>
        <w:jc w:val="both"/>
      </w:pPr>
      <w:r>
        <w:rPr>
          <w:rFonts w:hint="eastAsia"/>
        </w:rPr>
        <w:t>很多人会反驳：从长期来看，股市整体就是在不断上升的。无论是货币不断贬值，还是人类创造的财富不断上升，导致公司对应的基本面资产不断增加，人们占有的财富似乎越来越多，那么股市就不应当是一个零和博弈游戏。</w:t>
      </w:r>
    </w:p>
    <w:p w14:paraId="28DCA409" w14:textId="77777777" w:rsidR="001E7588" w:rsidRDefault="00000000" w:rsidP="0080596E">
      <w:pPr>
        <w:pStyle w:val="11"/>
        <w:ind w:firstLine="480"/>
        <w:jc w:val="both"/>
      </w:pPr>
      <w:r>
        <w:rPr>
          <w:rFonts w:hint="eastAsia"/>
        </w:rPr>
        <w:t>这个反驳混淆了两个层面：社会总财富的增长与个体交易者之间的博弈。社会总财富增长是宏观现象，它意味着整个经济体的蛋糕变大了，股市指数可以随之上升。但指数上升并不等于每个交易者都盈利，更不等于每一笔交易都是正和。</w:t>
      </w:r>
    </w:p>
    <w:p w14:paraId="39783CC9" w14:textId="77777777" w:rsidR="001E7588" w:rsidRDefault="00000000" w:rsidP="0080596E">
      <w:pPr>
        <w:pStyle w:val="11"/>
        <w:ind w:firstLine="480"/>
        <w:jc w:val="both"/>
      </w:pPr>
      <w:r>
        <w:rPr>
          <w:rFonts w:hint="eastAsia"/>
        </w:rPr>
        <w:t>我们可以构造一个简单的例子。假设公司所有者</w:t>
      </w:r>
      <w:r>
        <w:rPr>
          <w:rFonts w:hint="eastAsia"/>
        </w:rPr>
        <w:t>A</w:t>
      </w:r>
      <w:r>
        <w:rPr>
          <w:rFonts w:hint="eastAsia"/>
        </w:rPr>
        <w:t>在</w:t>
      </w:r>
      <w:r>
        <w:rPr>
          <w:rFonts w:hint="eastAsia"/>
        </w:rPr>
        <w:t>T</w:t>
      </w:r>
      <w:r>
        <w:rPr>
          <w:rFonts w:hint="eastAsia"/>
        </w:rPr>
        <w:t>期持有一股股票，价值为</w:t>
      </w:r>
      <w:r>
        <w:rPr>
          <w:rFonts w:hint="eastAsia"/>
        </w:rPr>
        <w:t>10</w:t>
      </w:r>
      <w:r>
        <w:rPr>
          <w:rFonts w:hint="eastAsia"/>
        </w:rPr>
        <w:t>。这个</w:t>
      </w:r>
      <w:r>
        <w:rPr>
          <w:rFonts w:hint="eastAsia"/>
        </w:rPr>
        <w:t>10</w:t>
      </w:r>
      <w:r>
        <w:rPr>
          <w:rFonts w:hint="eastAsia"/>
        </w:rPr>
        <w:t>对应公司一股的实际价值</w:t>
      </w:r>
      <w:r>
        <w:rPr>
          <w:rFonts w:hint="eastAsia"/>
        </w:rPr>
        <w:t>10</w:t>
      </w:r>
      <w:r>
        <w:rPr>
          <w:rFonts w:hint="eastAsia"/>
        </w:rPr>
        <w:t>。股民</w:t>
      </w:r>
      <w:r>
        <w:rPr>
          <w:rFonts w:hint="eastAsia"/>
        </w:rPr>
        <w:t>B</w:t>
      </w:r>
      <w:r>
        <w:rPr>
          <w:rFonts w:hint="eastAsia"/>
        </w:rPr>
        <w:t>在这一期以</w:t>
      </w:r>
      <w:r>
        <w:rPr>
          <w:rFonts w:hint="eastAsia"/>
        </w:rPr>
        <w:t>10</w:t>
      </w:r>
      <w:r>
        <w:rPr>
          <w:rFonts w:hint="eastAsia"/>
        </w:rPr>
        <w:t>元的价格向</w:t>
      </w:r>
      <w:r>
        <w:rPr>
          <w:rFonts w:hint="eastAsia"/>
        </w:rPr>
        <w:t>A</w:t>
      </w:r>
      <w:r>
        <w:rPr>
          <w:rFonts w:hint="eastAsia"/>
        </w:rPr>
        <w:t>购买了这股股票。到了</w:t>
      </w:r>
      <w:r>
        <w:rPr>
          <w:rFonts w:hint="eastAsia"/>
        </w:rPr>
        <w:t>T+1</w:t>
      </w:r>
      <w:r>
        <w:rPr>
          <w:rFonts w:hint="eastAsia"/>
        </w:rPr>
        <w:t>期，公司没有任何增长，这一股对应的实际价值依然是</w:t>
      </w:r>
      <w:r>
        <w:rPr>
          <w:rFonts w:hint="eastAsia"/>
        </w:rPr>
        <w:t>10</w:t>
      </w:r>
      <w:r>
        <w:rPr>
          <w:rFonts w:hint="eastAsia"/>
        </w:rPr>
        <w:t>。但是因为市场信心的作用，股民</w:t>
      </w:r>
      <w:r>
        <w:rPr>
          <w:rFonts w:hint="eastAsia"/>
        </w:rPr>
        <w:t>C</w:t>
      </w:r>
      <w:r>
        <w:rPr>
          <w:rFonts w:hint="eastAsia"/>
        </w:rPr>
        <w:t>愿意在这一期以</w:t>
      </w:r>
      <w:r>
        <w:rPr>
          <w:rFonts w:hint="eastAsia"/>
        </w:rPr>
        <w:t>20</w:t>
      </w:r>
      <w:r>
        <w:rPr>
          <w:rFonts w:hint="eastAsia"/>
        </w:rPr>
        <w:t>元的价格向</w:t>
      </w:r>
      <w:r>
        <w:rPr>
          <w:rFonts w:hint="eastAsia"/>
        </w:rPr>
        <w:t>B</w:t>
      </w:r>
      <w:r>
        <w:rPr>
          <w:rFonts w:hint="eastAsia"/>
        </w:rPr>
        <w:t>购买这一股股票。</w:t>
      </w:r>
    </w:p>
    <w:p w14:paraId="0193637E" w14:textId="77777777" w:rsidR="001E7588" w:rsidRDefault="00000000" w:rsidP="0080596E">
      <w:pPr>
        <w:pStyle w:val="11"/>
        <w:ind w:firstLine="480"/>
        <w:jc w:val="both"/>
      </w:pPr>
      <w:r>
        <w:rPr>
          <w:rFonts w:hint="eastAsia"/>
        </w:rPr>
        <w:t>现在进行最终清算。</w:t>
      </w:r>
      <w:r>
        <w:rPr>
          <w:rFonts w:hint="eastAsia"/>
        </w:rPr>
        <w:t>A</w:t>
      </w:r>
      <w:r>
        <w:rPr>
          <w:rFonts w:hint="eastAsia"/>
        </w:rPr>
        <w:t>以</w:t>
      </w:r>
      <w:r>
        <w:rPr>
          <w:rFonts w:hint="eastAsia"/>
        </w:rPr>
        <w:t>10</w:t>
      </w:r>
      <w:r>
        <w:rPr>
          <w:rFonts w:hint="eastAsia"/>
        </w:rPr>
        <w:t>元卖出，获得了</w:t>
      </w:r>
      <w:r>
        <w:rPr>
          <w:rFonts w:hint="eastAsia"/>
        </w:rPr>
        <w:t>10</w:t>
      </w:r>
      <w:r>
        <w:rPr>
          <w:rFonts w:hint="eastAsia"/>
        </w:rPr>
        <w:t>元现金，他的盈利为</w:t>
      </w:r>
      <w:r>
        <w:rPr>
          <w:rFonts w:hint="eastAsia"/>
        </w:rPr>
        <w:t>0</w:t>
      </w:r>
      <w:r>
        <w:rPr>
          <w:rFonts w:hint="eastAsia"/>
        </w:rPr>
        <w:t>（假设他最初成本也是</w:t>
      </w:r>
      <w:r>
        <w:rPr>
          <w:rFonts w:hint="eastAsia"/>
        </w:rPr>
        <w:t>10</w:t>
      </w:r>
      <w:r>
        <w:rPr>
          <w:rFonts w:hint="eastAsia"/>
        </w:rPr>
        <w:t>）。</w:t>
      </w:r>
      <w:r>
        <w:rPr>
          <w:rFonts w:hint="eastAsia"/>
        </w:rPr>
        <w:t>B</w:t>
      </w:r>
      <w:r>
        <w:rPr>
          <w:rFonts w:hint="eastAsia"/>
        </w:rPr>
        <w:t>以</w:t>
      </w:r>
      <w:r>
        <w:rPr>
          <w:rFonts w:hint="eastAsia"/>
        </w:rPr>
        <w:t>10</w:t>
      </w:r>
      <w:r>
        <w:rPr>
          <w:rFonts w:hint="eastAsia"/>
        </w:rPr>
        <w:t>元买入，以</w:t>
      </w:r>
      <w:r>
        <w:rPr>
          <w:rFonts w:hint="eastAsia"/>
        </w:rPr>
        <w:t>20</w:t>
      </w:r>
      <w:r>
        <w:rPr>
          <w:rFonts w:hint="eastAsia"/>
        </w:rPr>
        <w:t>元卖出，盈利</w:t>
      </w:r>
      <w:r>
        <w:rPr>
          <w:rFonts w:hint="eastAsia"/>
        </w:rPr>
        <w:t>10</w:t>
      </w:r>
      <w:r>
        <w:rPr>
          <w:rFonts w:hint="eastAsia"/>
        </w:rPr>
        <w:t>元。</w:t>
      </w:r>
      <w:r>
        <w:rPr>
          <w:rFonts w:hint="eastAsia"/>
        </w:rPr>
        <w:t>C</w:t>
      </w:r>
      <w:r>
        <w:rPr>
          <w:rFonts w:hint="eastAsia"/>
        </w:rPr>
        <w:t>以</w:t>
      </w:r>
      <w:r>
        <w:rPr>
          <w:rFonts w:hint="eastAsia"/>
        </w:rPr>
        <w:t>20</w:t>
      </w:r>
      <w:r>
        <w:rPr>
          <w:rFonts w:hint="eastAsia"/>
        </w:rPr>
        <w:t>元买入，但他手中的股票实际价值只有</w:t>
      </w:r>
      <w:r>
        <w:rPr>
          <w:rFonts w:hint="eastAsia"/>
        </w:rPr>
        <w:t>10</w:t>
      </w:r>
      <w:r>
        <w:rPr>
          <w:rFonts w:hint="eastAsia"/>
        </w:rPr>
        <w:t>元，他亏损</w:t>
      </w:r>
      <w:r>
        <w:rPr>
          <w:rFonts w:hint="eastAsia"/>
        </w:rPr>
        <w:t>10</w:t>
      </w:r>
      <w:r>
        <w:rPr>
          <w:rFonts w:hint="eastAsia"/>
        </w:rPr>
        <w:t>元。</w:t>
      </w:r>
      <w:r>
        <w:rPr>
          <w:rFonts w:hint="eastAsia"/>
        </w:rPr>
        <w:t>B</w:t>
      </w:r>
      <w:r>
        <w:rPr>
          <w:rFonts w:hint="eastAsia"/>
        </w:rPr>
        <w:t>的</w:t>
      </w:r>
      <w:r>
        <w:rPr>
          <w:rFonts w:hint="eastAsia"/>
        </w:rPr>
        <w:t>10</w:t>
      </w:r>
      <w:r>
        <w:rPr>
          <w:rFonts w:hint="eastAsia"/>
        </w:rPr>
        <w:t>元盈利从哪里来？完全来自</w:t>
      </w:r>
      <w:r>
        <w:rPr>
          <w:rFonts w:hint="eastAsia"/>
        </w:rPr>
        <w:t>C</w:t>
      </w:r>
      <w:r>
        <w:rPr>
          <w:rFonts w:hint="eastAsia"/>
        </w:rPr>
        <w:t>的</w:t>
      </w:r>
      <w:r>
        <w:rPr>
          <w:rFonts w:hint="eastAsia"/>
        </w:rPr>
        <w:t>10</w:t>
      </w:r>
      <w:r>
        <w:rPr>
          <w:rFonts w:hint="eastAsia"/>
        </w:rPr>
        <w:t>元亏损。公司没有创造任何新财富，交易本身也没有创造任何新财富。财富只是在</w:t>
      </w:r>
      <w:r>
        <w:rPr>
          <w:rFonts w:hint="eastAsia"/>
        </w:rPr>
        <w:t>B</w:t>
      </w:r>
      <w:r>
        <w:rPr>
          <w:rFonts w:hint="eastAsia"/>
        </w:rPr>
        <w:t>和</w:t>
      </w:r>
      <w:r>
        <w:rPr>
          <w:rFonts w:hint="eastAsia"/>
        </w:rPr>
        <w:t>C</w:t>
      </w:r>
      <w:r>
        <w:rPr>
          <w:rFonts w:hint="eastAsia"/>
        </w:rPr>
        <w:t>之间发生了转移：</w:t>
      </w:r>
      <w:r>
        <w:rPr>
          <w:rFonts w:hint="eastAsia"/>
        </w:rPr>
        <w:t>C</w:t>
      </w:r>
      <w:r>
        <w:rPr>
          <w:rFonts w:hint="eastAsia"/>
        </w:rPr>
        <w:t>自愿地向</w:t>
      </w:r>
      <w:r>
        <w:rPr>
          <w:rFonts w:hint="eastAsia"/>
        </w:rPr>
        <w:t>B</w:t>
      </w:r>
      <w:r>
        <w:rPr>
          <w:rFonts w:hint="eastAsia"/>
        </w:rPr>
        <w:t>缴纳了</w:t>
      </w:r>
      <w:r>
        <w:rPr>
          <w:rFonts w:hint="eastAsia"/>
        </w:rPr>
        <w:t>10</w:t>
      </w:r>
      <w:r>
        <w:rPr>
          <w:rFonts w:hint="eastAsia"/>
        </w:rPr>
        <w:t>元。</w:t>
      </w:r>
    </w:p>
    <w:p w14:paraId="0FC082EB" w14:textId="77777777" w:rsidR="001E7588" w:rsidRDefault="00000000" w:rsidP="0080596E">
      <w:pPr>
        <w:pStyle w:val="11"/>
        <w:ind w:firstLine="480"/>
        <w:jc w:val="both"/>
      </w:pPr>
      <w:r>
        <w:rPr>
          <w:rFonts w:hint="eastAsia"/>
        </w:rPr>
        <w:t>为什么</w:t>
      </w:r>
      <w:r>
        <w:rPr>
          <w:rFonts w:hint="eastAsia"/>
        </w:rPr>
        <w:t>C</w:t>
      </w:r>
      <w:r>
        <w:rPr>
          <w:rFonts w:hint="eastAsia"/>
        </w:rPr>
        <w:t>会这样做？因为股民</w:t>
      </w:r>
      <w:r>
        <w:rPr>
          <w:rFonts w:hint="eastAsia"/>
        </w:rPr>
        <w:t>C</w:t>
      </w:r>
      <w:r>
        <w:rPr>
          <w:rFonts w:hint="eastAsia"/>
        </w:rPr>
        <w:t>愿意以</w:t>
      </w:r>
      <w:r>
        <w:rPr>
          <w:rFonts w:hint="eastAsia"/>
        </w:rPr>
        <w:t>20</w:t>
      </w:r>
      <w:r>
        <w:rPr>
          <w:rFonts w:hint="eastAsia"/>
        </w:rPr>
        <w:t>元购买这一股股票，是因为对他来说，这一股股票的价值在现在和他认为的将来（贴现）将会大于</w:t>
      </w:r>
      <w:r>
        <w:rPr>
          <w:rFonts w:hint="eastAsia"/>
        </w:rPr>
        <w:t>20</w:t>
      </w:r>
      <w:r>
        <w:rPr>
          <w:rFonts w:hint="eastAsia"/>
        </w:rPr>
        <w:t>元现金，否则他不会愿意购买。而</w:t>
      </w:r>
      <w:r>
        <w:rPr>
          <w:rFonts w:hint="eastAsia"/>
        </w:rPr>
        <w:t>B</w:t>
      </w:r>
      <w:r>
        <w:rPr>
          <w:rFonts w:hint="eastAsia"/>
        </w:rPr>
        <w:t>之所以愿意卖出，是因为对他来说，这一股股票的价值在现在和他认为的将来（贴现）已经小于了</w:t>
      </w:r>
      <w:r>
        <w:rPr>
          <w:rFonts w:hint="eastAsia"/>
        </w:rPr>
        <w:t>20</w:t>
      </w:r>
      <w:r>
        <w:rPr>
          <w:rFonts w:hint="eastAsia"/>
        </w:rPr>
        <w:t>元现金。换句话说，</w:t>
      </w:r>
      <w:r>
        <w:rPr>
          <w:rFonts w:hint="eastAsia"/>
        </w:rPr>
        <w:t>B</w:t>
      </w:r>
      <w:r>
        <w:rPr>
          <w:rFonts w:hint="eastAsia"/>
        </w:rPr>
        <w:t>和</w:t>
      </w:r>
      <w:r>
        <w:rPr>
          <w:rFonts w:hint="eastAsia"/>
        </w:rPr>
        <w:t>C</w:t>
      </w:r>
      <w:r>
        <w:rPr>
          <w:rFonts w:hint="eastAsia"/>
        </w:rPr>
        <w:t>对同一资产的主观估值不同，这种差异源于他们不同的信念和信息。交易的发生，恰恰是因为双方信念不同。</w:t>
      </w:r>
    </w:p>
    <w:p w14:paraId="22E8A6F5" w14:textId="77777777" w:rsidR="001E7588" w:rsidRDefault="00000000" w:rsidP="0080596E">
      <w:pPr>
        <w:pStyle w:val="11"/>
        <w:ind w:firstLine="480"/>
        <w:jc w:val="both"/>
      </w:pPr>
      <w:r>
        <w:rPr>
          <w:rFonts w:hint="eastAsia"/>
        </w:rPr>
        <w:t>即使加上了公司的增长，这个逻辑也不变。公司增长使得股票的实际价值上升，但交易价格仍然取决于交易双方的信念差异。当价格高于实际价值时，卖方从买方身上获利；当价格低于实际价值时，买方从卖方身上获利。股票交易的核心，从来不在于公司实际值多少钱，而在于交易双方彼此认为它应该值多少钱。</w:t>
      </w:r>
    </w:p>
    <w:p w14:paraId="0D8E467D" w14:textId="36FB936B" w:rsidR="00D90707" w:rsidRDefault="00D90707" w:rsidP="0080596E">
      <w:pPr>
        <w:pStyle w:val="11"/>
        <w:ind w:firstLine="480"/>
        <w:jc w:val="both"/>
      </w:pPr>
      <w:r>
        <w:rPr>
          <w:rFonts w:ascii="宋体" w:hAnsi="宋体" w:hint="eastAsia"/>
        </w:rPr>
        <w:lastRenderedPageBreak/>
        <w:t>仍然沿用前面的例子来说明。假设</w:t>
      </w:r>
      <w:r>
        <w:t>T</w:t>
      </w:r>
      <w:r>
        <w:rPr>
          <w:rFonts w:ascii="宋体" w:hAnsi="宋体" w:hint="eastAsia"/>
        </w:rPr>
        <w:t>期公司一股的实际价值为</w:t>
      </w:r>
      <w:r>
        <w:t>10</w:t>
      </w:r>
      <w:r>
        <w:rPr>
          <w:rFonts w:ascii="宋体" w:hAnsi="宋体" w:hint="eastAsia"/>
        </w:rPr>
        <w:t>元，</w:t>
      </w:r>
      <w:r>
        <w:t>A</w:t>
      </w:r>
      <w:r>
        <w:rPr>
          <w:rFonts w:ascii="宋体" w:hAnsi="宋体" w:hint="eastAsia"/>
        </w:rPr>
        <w:t>以</w:t>
      </w:r>
      <w:r>
        <w:t>10</w:t>
      </w:r>
      <w:r>
        <w:rPr>
          <w:rFonts w:ascii="宋体" w:hAnsi="宋体" w:hint="eastAsia"/>
        </w:rPr>
        <w:t>元卖给</w:t>
      </w:r>
      <w:r>
        <w:t>B</w:t>
      </w:r>
      <w:r>
        <w:rPr>
          <w:rFonts w:ascii="宋体" w:hAnsi="宋体" w:hint="eastAsia"/>
        </w:rPr>
        <w:t>；到了</w:t>
      </w:r>
      <w:r>
        <w:t>T+1</w:t>
      </w:r>
      <w:r>
        <w:rPr>
          <w:rFonts w:ascii="宋体" w:hAnsi="宋体" w:hint="eastAsia"/>
        </w:rPr>
        <w:t>期，公司确实实现了增长，一股对应的实际价值上升到</w:t>
      </w:r>
      <w:r>
        <w:t>15</w:t>
      </w:r>
      <w:r>
        <w:rPr>
          <w:rFonts w:ascii="宋体" w:hAnsi="宋体" w:hint="eastAsia"/>
        </w:rPr>
        <w:t>元，而市场信心高涨，</w:t>
      </w:r>
      <w:r>
        <w:t>C</w:t>
      </w:r>
      <w:r>
        <w:rPr>
          <w:rFonts w:ascii="宋体" w:hAnsi="宋体" w:hint="eastAsia"/>
        </w:rPr>
        <w:t>愿意以</w:t>
      </w:r>
      <w:r w:rsidR="00DB2413">
        <w:rPr>
          <w:rFonts w:hint="eastAsia"/>
        </w:rPr>
        <w:t>20</w:t>
      </w:r>
      <w:r>
        <w:rPr>
          <w:rFonts w:ascii="宋体" w:hAnsi="宋体" w:hint="eastAsia"/>
        </w:rPr>
        <w:t>元从</w:t>
      </w:r>
      <w:r>
        <w:t>B</w:t>
      </w:r>
      <w:r>
        <w:rPr>
          <w:rFonts w:ascii="宋体" w:hAnsi="宋体" w:hint="eastAsia"/>
        </w:rPr>
        <w:t>手中买入。此时</w:t>
      </w:r>
      <w:r>
        <w:t>B</w:t>
      </w:r>
      <w:r>
        <w:rPr>
          <w:rFonts w:ascii="宋体" w:hAnsi="宋体" w:hint="eastAsia"/>
        </w:rPr>
        <w:t>获利</w:t>
      </w:r>
      <w:r w:rsidR="00DB2413">
        <w:rPr>
          <w:rFonts w:hint="eastAsia"/>
        </w:rPr>
        <w:t>1</w:t>
      </w:r>
      <w:r>
        <w:t>0</w:t>
      </w:r>
      <w:r>
        <w:rPr>
          <w:rFonts w:ascii="宋体" w:hAnsi="宋体" w:hint="eastAsia"/>
        </w:rPr>
        <w:t>元，其中</w:t>
      </w:r>
      <w:r>
        <w:t>5</w:t>
      </w:r>
      <w:r>
        <w:rPr>
          <w:rFonts w:ascii="宋体" w:hAnsi="宋体" w:hint="eastAsia"/>
        </w:rPr>
        <w:t>元来自公司增长带来的真实价值提升，另外</w:t>
      </w:r>
      <w:r>
        <w:t>5</w:t>
      </w:r>
      <w:r>
        <w:rPr>
          <w:rFonts w:ascii="宋体" w:hAnsi="宋体" w:hint="eastAsia"/>
        </w:rPr>
        <w:t>元则来自</w:t>
      </w:r>
      <w:r>
        <w:t>C</w:t>
      </w:r>
      <w:r>
        <w:rPr>
          <w:rFonts w:ascii="宋体" w:hAnsi="宋体" w:hint="eastAsia"/>
        </w:rPr>
        <w:t>对未来的乐观信念。只要</w:t>
      </w:r>
      <w:r>
        <w:t>C</w:t>
      </w:r>
      <w:r>
        <w:rPr>
          <w:rFonts w:ascii="宋体" w:hAnsi="宋体" w:hint="eastAsia"/>
        </w:rPr>
        <w:t>总能找到下一个愿意出更高价的人，这场游戏就能延续下去。但假设到了</w:t>
      </w:r>
      <w:r>
        <w:t>T+2</w:t>
      </w:r>
      <w:r>
        <w:rPr>
          <w:rFonts w:ascii="宋体" w:hAnsi="宋体" w:hint="eastAsia"/>
        </w:rPr>
        <w:t>期，突然出现一条消息，称这个行业将被新技术替代、这家公司即将衰落，那么</w:t>
      </w:r>
      <w:r>
        <w:t>C</w:t>
      </w:r>
      <w:r>
        <w:rPr>
          <w:rFonts w:ascii="宋体" w:hAnsi="宋体" w:hint="eastAsia"/>
        </w:rPr>
        <w:t>手中股票的市值会立刻蒸发：不仅那</w:t>
      </w:r>
      <w:r>
        <w:t>5</w:t>
      </w:r>
      <w:r>
        <w:rPr>
          <w:rFonts w:ascii="宋体" w:hAnsi="宋体" w:hint="eastAsia"/>
        </w:rPr>
        <w:t>元的信心溢价荡然无存，就连原本被市场认可的</w:t>
      </w:r>
      <w:r>
        <w:t>15</w:t>
      </w:r>
      <w:r>
        <w:rPr>
          <w:rFonts w:ascii="宋体" w:hAnsi="宋体" w:hint="eastAsia"/>
        </w:rPr>
        <w:t>元实际价值，也会因为无人再相信其未来现金流而变得一文不值。</w:t>
      </w:r>
      <w:r w:rsidR="00DB2413">
        <w:rPr>
          <w:rFonts w:ascii="宋体" w:hAnsi="宋体" w:hint="eastAsia"/>
        </w:rPr>
        <w:t>最终，只有</w:t>
      </w:r>
      <w:r w:rsidR="00DB2413">
        <w:t>B</w:t>
      </w:r>
      <w:r w:rsidR="00DB2413">
        <w:rPr>
          <w:rFonts w:hint="eastAsia"/>
        </w:rPr>
        <w:t>通过卖出股票而获得的</w:t>
      </w:r>
      <w:r w:rsidR="00DB2413">
        <w:rPr>
          <w:rFonts w:hint="eastAsia"/>
        </w:rPr>
        <w:t>10</w:t>
      </w:r>
      <w:r w:rsidR="00DB2413">
        <w:rPr>
          <w:rFonts w:hint="eastAsia"/>
        </w:rPr>
        <w:t>元纯利润成为了实打实的财富，而</w:t>
      </w:r>
      <w:r w:rsidR="00DB2413">
        <w:rPr>
          <w:rFonts w:hint="eastAsia"/>
        </w:rPr>
        <w:t>C</w:t>
      </w:r>
      <w:r w:rsidR="00DB2413">
        <w:rPr>
          <w:rFonts w:hint="eastAsia"/>
        </w:rPr>
        <w:t>手上的</w:t>
      </w:r>
      <w:r w:rsidR="00DB2413">
        <w:rPr>
          <w:rFonts w:hint="eastAsia"/>
        </w:rPr>
        <w:t>20</w:t>
      </w:r>
      <w:r w:rsidR="00DB2413">
        <w:rPr>
          <w:rFonts w:hint="eastAsia"/>
        </w:rPr>
        <w:t>元“纸面财富”彻底蒸发消失。</w:t>
      </w:r>
      <w:r>
        <w:rPr>
          <w:rFonts w:ascii="宋体" w:hAnsi="宋体" w:hint="eastAsia"/>
        </w:rPr>
        <w:t>这说明，即便加上了公司的增长，最终持有股票的那个人手中的资产，依然完全依赖于市场对它的信念；而这部分在几个交易日内归零的市值，并没有转移给任何人——它对应的正是社会总体财富的蒸发。</w:t>
      </w:r>
    </w:p>
    <w:p w14:paraId="06D5516B" w14:textId="007E10E2" w:rsidR="00D90707" w:rsidRDefault="00D90707" w:rsidP="0080596E">
      <w:pPr>
        <w:pStyle w:val="11"/>
        <w:ind w:firstLine="480"/>
        <w:jc w:val="both"/>
      </w:pPr>
      <w:r>
        <w:rPr>
          <w:rFonts w:ascii="宋体" w:hAnsi="宋体" w:hint="eastAsia"/>
        </w:rPr>
        <w:t>由此我们甚至可以进一步得出一个更彻底的结论：社会总体财富的多少，其实完全依赖于人们的主观信念。我认为某样东西值多少钱，别人或许觉得我是疯子；但只要所有人都认为它值这个价，它就真的值这个价</w:t>
      </w:r>
      <w:r w:rsidR="002F3094">
        <w:rPr>
          <w:rFonts w:ascii="宋体" w:hAnsi="宋体" w:hint="eastAsia"/>
        </w:rPr>
        <w:t>。</w:t>
      </w:r>
      <w:r>
        <w:rPr>
          <w:rFonts w:ascii="宋体" w:hAnsi="宋体" w:hint="eastAsia"/>
        </w:rPr>
        <w:t>财富便可以凭空产生，当然也可以凭空消失。十七世纪荷兰的郁金香泡沫是最经典的注脚：在狂热的顶点，一株稀有品种的郁金香球茎据说可以换取阿姆斯特丹运河边的一栋住宅，持有球茎的人在账面上确实是不折不扣的富人。然而</w:t>
      </w:r>
      <w:r>
        <w:t>1637</w:t>
      </w:r>
      <w:r>
        <w:rPr>
          <w:rFonts w:ascii="宋体" w:hAnsi="宋体" w:hint="eastAsia"/>
        </w:rPr>
        <w:t>年初，哈勒姆的一场拍卖会上突然无人应价，信心在数日之内崩塌，球茎价格随后跌去九成以上，最终跌回接近一颗洋葱的水平。球茎本身没有发生任何变化，变化的只是人们的信念；而伴随信念崩塌一同消失的那部分“财富”，其实从来就不曾以实物的形式存在过。</w:t>
      </w:r>
    </w:p>
    <w:p w14:paraId="6D2CD9FC" w14:textId="77777777" w:rsidR="001E7588" w:rsidRDefault="00000000" w:rsidP="0080596E">
      <w:pPr>
        <w:pStyle w:val="11"/>
        <w:ind w:firstLine="480"/>
        <w:jc w:val="both"/>
      </w:pPr>
      <w:r>
        <w:rPr>
          <w:rFonts w:hint="eastAsia"/>
        </w:rPr>
        <w:t>因此，股市在宏观层面可以随经济增长而扩张，但在每一笔具体交易中，盈利的实现仍然依赖于对手方以更高价格接盘。正和的是社会总财富，个体投资者兑现收益时，交易环节仍是零和甚至负和——因为还要扣除交易成本、税收和手续费。</w:t>
      </w:r>
    </w:p>
    <w:p w14:paraId="583E02E3" w14:textId="77777777" w:rsidR="001E7588" w:rsidRDefault="00000000">
      <w:pPr>
        <w:pStyle w:val="11"/>
        <w:ind w:firstLine="480"/>
        <w:jc w:val="both"/>
      </w:pPr>
      <w:r>
        <w:rPr>
          <w:rFonts w:ascii="宋体" w:hAnsi="宋体" w:hint="eastAsia"/>
        </w:rPr>
        <w:t>这里必须指出一点：人类历史上股市之所以能够持续增长，并不是因为市场参与者单纯地越来越乐观，而是因为股市背后的实物支撑确实在不断增长。企业所拥有的厂房、设备、技术、组织能力、市场规模和未来现金流，随着产业进步和经济扩张而不断提高；并且，这类增长信息通常并不存在严重的信息不对称，因为企业盈利、生产率提升、技术应用和消费扩张最终都能够被市场中的大多数人观察、验证和反复确认。正因如此，人们对这部分价值的估值才有一致而可靠的背书，能够形成稳定的社会一致信心，从而很难因为某一条零散的新信息而被轻易动摇。历次股灾则不同</w:t>
      </w:r>
      <w:r w:rsidR="004E7364" w:rsidRPr="004E7364">
        <w:rPr>
          <w:rFonts w:ascii="宋体" w:hAnsi="宋体" w:hint="eastAsia"/>
        </w:rPr>
        <w:t>。在股灾发生之前，市场价格往往已经被不断推高到脱离实物资产支撑的高度：企业真实盈利、资产质量和未来现金流并不足以为当时的价格提供可靠背书，但大量投资者并不了解这种虚高与真实支撑之间的断裂，或者即使有所察觉，也相信仍会有更多人继续以更高价格接盘。于是，建立在片面信息、局部乐观和从众情绪之上的片面信心不断扩散，资金持续涌入股市，最终形成所谓的资产泡沫。股灾之所以会突然发生，正是因为某种重大新信息揭示了这</w:t>
      </w:r>
      <w:r w:rsidR="004E7364" w:rsidRPr="004E7364">
        <w:rPr>
          <w:rFonts w:ascii="宋体" w:hAnsi="宋体" w:hint="eastAsia"/>
        </w:rPr>
        <w:lastRenderedPageBreak/>
        <w:t>种估值与实物支撑之间的缺口</w:t>
      </w:r>
      <w:r>
        <w:rPr>
          <w:rFonts w:ascii="宋体" w:hAnsi="宋体" w:hint="eastAsia"/>
        </w:rPr>
        <w:t>：市场参与者开始怀疑既有的盈利预期、增长路径或金融体系稳定性，并进一步怀疑其他人是否仍会继续相信这些预期。于是，</w:t>
      </w:r>
      <w:r w:rsidR="004E7364" w:rsidRPr="004E7364">
        <w:rPr>
          <w:rFonts w:ascii="宋体" w:hAnsi="宋体" w:hint="eastAsia"/>
        </w:rPr>
        <w:t>原先由片面信心堆积起来、却被误认为社会一致信心的估值体系迅速瓦解</w:t>
      </w:r>
      <w:r>
        <w:rPr>
          <w:rFonts w:ascii="宋体" w:hAnsi="宋体" w:hint="eastAsia"/>
        </w:rPr>
        <w:t>，价格在恐慌和相互观望中重新定价。换言之，长期牛市体现的是实物财富增长与社会一致信心相互强化的过程；</w:t>
      </w:r>
      <w:r w:rsidR="004E7364" w:rsidRPr="004E7364">
        <w:rPr>
          <w:rFonts w:ascii="宋体" w:hAnsi="宋体" w:hint="eastAsia"/>
        </w:rPr>
        <w:t>股灾体现的则是片面信心被误认为社会一致信心之后，在新信息冲击下迅速破裂</w:t>
      </w:r>
      <w:r>
        <w:rPr>
          <w:rFonts w:ascii="宋体" w:hAnsi="宋体" w:hint="eastAsia"/>
        </w:rPr>
        <w:t>，附着在实物资产之上的信心溢价被集中抹去的过程。</w:t>
      </w:r>
    </w:p>
    <w:p w14:paraId="62320605" w14:textId="77777777" w:rsidR="001E7588" w:rsidRPr="004346C2" w:rsidRDefault="00000000" w:rsidP="0080596E">
      <w:pPr>
        <w:pStyle w:val="11"/>
        <w:spacing w:before="180" w:after="80"/>
        <w:ind w:firstLine="480"/>
        <w:jc w:val="both"/>
        <w:rPr>
          <w:color w:val="2F5496"/>
        </w:rPr>
      </w:pPr>
      <w:r w:rsidRPr="004346C2">
        <w:rPr>
          <w:rFonts w:hint="eastAsia"/>
          <w:color w:val="2F5496"/>
        </w:rPr>
        <w:t>（三）回应“企业盈利和现金流可以独立于信心创造回报”</w:t>
      </w:r>
    </w:p>
    <w:p w14:paraId="1467F10D" w14:textId="77777777" w:rsidR="001E7588" w:rsidRDefault="00000000" w:rsidP="0080596E">
      <w:pPr>
        <w:pStyle w:val="11"/>
        <w:ind w:firstLine="480"/>
        <w:jc w:val="both"/>
      </w:pPr>
      <w:r>
        <w:rPr>
          <w:rFonts w:hint="eastAsia"/>
        </w:rPr>
        <w:t>还有一种常见反驳：股票不同于葡萄酒，因为公司会持续产生利润和现金流，通过分红、回购、收购或清算，投资者可以直接获得现金回报，不需要依赖二级市场的对手盘。这种观点看似有理，但仔细分析就会发现，它仍然没有脱离信心的范畴。</w:t>
      </w:r>
    </w:p>
    <w:p w14:paraId="3A468B5C" w14:textId="77777777" w:rsidR="001E7588" w:rsidRDefault="00000000" w:rsidP="0080596E">
      <w:pPr>
        <w:pStyle w:val="11"/>
        <w:ind w:firstLine="480"/>
        <w:jc w:val="both"/>
      </w:pPr>
      <w:r w:rsidRPr="00AD2AFC">
        <w:rPr>
          <w:rFonts w:hint="eastAsia"/>
          <w:b/>
          <w:bCs/>
        </w:rPr>
        <w:t>分红除息</w:t>
      </w:r>
      <w:r w:rsidRPr="00AD2AFC">
        <w:rPr>
          <w:rFonts w:ascii="宋体" w:hAnsi="宋体"/>
          <w:b/>
          <w:bCs/>
        </w:rPr>
        <w:t>。</w:t>
      </w:r>
      <w:r>
        <w:rPr>
          <w:rFonts w:hint="eastAsia"/>
        </w:rPr>
        <w:t>公司分红时，股价会除息，你的总资产不变。拿到</w:t>
      </w:r>
      <w:r>
        <w:rPr>
          <w:rFonts w:hint="eastAsia"/>
        </w:rPr>
        <w:t>5%</w:t>
      </w:r>
      <w:r>
        <w:rPr>
          <w:rFonts w:hint="eastAsia"/>
        </w:rPr>
        <w:t>现金，股票市值减少</w:t>
      </w:r>
      <w:r>
        <w:rPr>
          <w:rFonts w:hint="eastAsia"/>
        </w:rPr>
        <w:t>5%</w:t>
      </w:r>
      <w:r>
        <w:rPr>
          <w:rFonts w:hint="eastAsia"/>
        </w:rPr>
        <w:t>。只有股价“填息”涨回来，分红才真正构成收益。而填息与否，取决于市场对剩余股权的信心。如果市场不认可公司未来，股价可能不涨反跌，你的分红只是左手倒右手，甚至倒亏。</w:t>
      </w:r>
    </w:p>
    <w:p w14:paraId="6F53A08B" w14:textId="77777777" w:rsidR="001E7588" w:rsidRDefault="00000000" w:rsidP="0080596E">
      <w:pPr>
        <w:pStyle w:val="11"/>
        <w:ind w:firstLine="480"/>
        <w:jc w:val="both"/>
      </w:pPr>
      <w:r w:rsidRPr="00AD2AFC">
        <w:rPr>
          <w:rFonts w:hint="eastAsia"/>
          <w:b/>
          <w:bCs/>
        </w:rPr>
        <w:t>回购</w:t>
      </w:r>
      <w:r w:rsidRPr="00AD2AFC">
        <w:rPr>
          <w:rFonts w:ascii="宋体" w:hAnsi="宋体"/>
          <w:b/>
          <w:bCs/>
        </w:rPr>
        <w:t>。</w:t>
      </w:r>
      <w:r>
        <w:rPr>
          <w:rFonts w:hint="eastAsia"/>
        </w:rPr>
        <w:t>公司回购股票，需要有人卖出。卖方为什么卖？因为他可能不看好，或者需要套现。公司为什么买？因为管理层认为股价被低估，这本身就是一种信心判断。回购后，你的持股比例上升了，但财富没有直接增加——你的股票仍然需要最终卖出才能变现。届时，你仍然需要一个愿意以合理价格接盘的对手。</w:t>
      </w:r>
    </w:p>
    <w:p w14:paraId="464E9C51" w14:textId="77777777" w:rsidR="001E7588" w:rsidRDefault="00000000" w:rsidP="0080596E">
      <w:pPr>
        <w:pStyle w:val="11"/>
        <w:ind w:firstLine="480"/>
        <w:jc w:val="both"/>
      </w:pPr>
      <w:r w:rsidRPr="00AD2AFC">
        <w:rPr>
          <w:rFonts w:hint="eastAsia"/>
          <w:b/>
          <w:bCs/>
        </w:rPr>
        <w:t>收购与清算</w:t>
      </w:r>
      <w:r w:rsidRPr="00AD2AFC">
        <w:rPr>
          <w:rFonts w:ascii="宋体" w:hAnsi="宋体"/>
          <w:b/>
          <w:bCs/>
        </w:rPr>
        <w:t>。</w:t>
      </w:r>
      <w:r>
        <w:rPr>
          <w:rFonts w:hint="eastAsia"/>
        </w:rPr>
        <w:t>公司被收购时，收购方给出的报价基于他对公司未来现金流的判断，这个判断本身就是他的主观信念。清算时，变卖资产需要买家，买家根据自己对资产价值的判断出价。这些过程中，定价仍然由参与者的信心决定。</w:t>
      </w:r>
    </w:p>
    <w:p w14:paraId="5B3205B8" w14:textId="5574F3E0" w:rsidR="001E7588" w:rsidRDefault="00000000" w:rsidP="0080596E">
      <w:pPr>
        <w:pStyle w:val="11"/>
        <w:ind w:firstLine="480"/>
        <w:jc w:val="both"/>
      </w:pPr>
      <w:r>
        <w:rPr>
          <w:rFonts w:hint="eastAsia"/>
        </w:rPr>
        <w:t>更进一步说，企业盈利和现金流本身也不是脱离信心的。企业盈利来自客户购买产品和服务，客户为什么购买？因为他们相信这个产品有价值。如果所有人都突然不信任</w:t>
      </w:r>
      <w:r w:rsidR="009002EC">
        <w:rPr>
          <w:rFonts w:hint="eastAsia"/>
        </w:rPr>
        <w:t>某</w:t>
      </w:r>
      <w:r>
        <w:rPr>
          <w:rFonts w:hint="eastAsia"/>
        </w:rPr>
        <w:t>一家公司的产品</w:t>
      </w:r>
      <w:r w:rsidR="009002EC">
        <w:rPr>
          <w:rFonts w:hint="eastAsia"/>
        </w:rPr>
        <w:t>，停止购买它，那么这家公司的现金流将立刻消失，分红也没了</w:t>
      </w:r>
      <w:r w:rsidR="005E1AC8">
        <w:rPr>
          <w:rFonts w:hint="eastAsia"/>
        </w:rPr>
        <w:t>。进而，</w:t>
      </w:r>
      <w:r w:rsidR="009002EC">
        <w:rPr>
          <w:rFonts w:hint="eastAsia"/>
        </w:rPr>
        <w:t>维系这家公司估值的基本面便荡然无存</w:t>
      </w:r>
      <w:r w:rsidR="00122C82">
        <w:rPr>
          <w:rFonts w:hint="eastAsia"/>
        </w:rPr>
        <w:t>，股价必然发生震荡</w:t>
      </w:r>
      <w:r>
        <w:rPr>
          <w:rFonts w:hint="eastAsia"/>
        </w:rPr>
        <w:t>。因此，所谓的“现金流独立于市场信心”，其实只是把信心链条拉长了，并未脱离信心的范畴。</w:t>
      </w:r>
    </w:p>
    <w:p w14:paraId="2CCCBDA9" w14:textId="71CE9E74" w:rsidR="001E7588" w:rsidRPr="00460725" w:rsidRDefault="008B6838" w:rsidP="0080596E">
      <w:pPr>
        <w:pStyle w:val="21"/>
        <w:jc w:val="both"/>
        <w:rPr>
          <w:rFonts w:ascii="楷体" w:eastAsia="楷体" w:hAnsi="楷体"/>
          <w:b/>
          <w:bCs/>
          <w:sz w:val="28"/>
          <w:szCs w:val="28"/>
        </w:rPr>
      </w:pPr>
      <w:r>
        <w:rPr>
          <w:rFonts w:ascii="楷体" w:eastAsia="楷体" w:hAnsi="楷体" w:hint="eastAsia"/>
          <w:b/>
          <w:bCs/>
          <w:sz w:val="28"/>
          <w:szCs w:val="28"/>
        </w:rPr>
        <w:t>三</w:t>
      </w:r>
      <w:r w:rsidRPr="00460725">
        <w:rPr>
          <w:rFonts w:ascii="楷体" w:eastAsia="楷体" w:hAnsi="楷体" w:hint="eastAsia"/>
          <w:b/>
          <w:bCs/>
          <w:sz w:val="28"/>
          <w:szCs w:val="28"/>
        </w:rPr>
        <w:t>、现实应用：大资金与机构利用信心差收割散户</w:t>
      </w:r>
    </w:p>
    <w:p w14:paraId="1C32213B" w14:textId="77777777" w:rsidR="001E7588" w:rsidRDefault="00000000" w:rsidP="0080596E">
      <w:pPr>
        <w:pStyle w:val="11"/>
        <w:ind w:firstLine="480"/>
        <w:jc w:val="both"/>
      </w:pPr>
      <w:r>
        <w:rPr>
          <w:rFonts w:hint="eastAsia"/>
        </w:rPr>
        <w:t>如果股市本质是信心博弈，那么谁在博弈中占据优势？答案显而易见：掌握最多资金、信息、技术和规则话语权的大资金与机构。</w:t>
      </w:r>
    </w:p>
    <w:p w14:paraId="2CCEC87F" w14:textId="77777777" w:rsidR="001E7588" w:rsidRDefault="00000000" w:rsidP="0080596E">
      <w:pPr>
        <w:pStyle w:val="11"/>
        <w:ind w:firstLine="480"/>
        <w:jc w:val="both"/>
      </w:pPr>
      <w:r>
        <w:rPr>
          <w:rFonts w:hint="eastAsia"/>
        </w:rPr>
        <w:t>市场中的主要资金集中在大型机构、投行、做市商手中。这些机构不直接生产商品或服务，它们本身不创造新的社会财富。金融机构存在的意义，是降低市场摩擦和信息不对称，而不是创造生产力。在一个完全无摩擦的假设市场中，金融机构没有存在必要。但在现实世界里，摩擦和信息不对称无处不在，金融机构便利用这些不完美来获取利润。</w:t>
      </w:r>
    </w:p>
    <w:p w14:paraId="745620F2" w14:textId="77777777" w:rsidR="003B577A" w:rsidRDefault="003B577A" w:rsidP="0080596E">
      <w:pPr>
        <w:pStyle w:val="11"/>
        <w:ind w:firstLine="480"/>
        <w:jc w:val="both"/>
      </w:pPr>
      <w:r>
        <w:rPr>
          <w:rFonts w:ascii="宋体" w:hAnsi="宋体" w:hint="eastAsia"/>
        </w:rPr>
        <w:lastRenderedPageBreak/>
        <w:t>那么，这些不完美具体是通过什么手段被转化为收入的？做市商以双边报价为市场提供流动性，让买卖双方不必苦等对手方出现，代价是每一笔成交都要付出买卖价差；投行承销发行、撮合并购，把资金的需求方与供给方连接起来，收取承销费与顾问费；卖方研究机构跟踪上市公司、发布评级与盈利预测，降低了投资者的信息搜寻成本，换来的是佣金与分仓；资产管理机构代客理财，以专业能力和规模优势替代个人投资者的判断，收取管理费与业绩提成；量化与高频交易者则凭借更快的速度抹平跨市场、跨品种的价差，把套利机会收入囊中。这些业务在形式上确实减少了摩擦、加快了信息扩散，但每一项服务都不是免费的，其对价最终都要由市场中的某一方支付。</w:t>
      </w:r>
    </w:p>
    <w:p w14:paraId="59826906" w14:textId="77777777" w:rsidR="003B577A" w:rsidRDefault="003B577A" w:rsidP="0080596E">
      <w:pPr>
        <w:pStyle w:val="11"/>
        <w:ind w:firstLine="480"/>
        <w:jc w:val="both"/>
      </w:pPr>
      <w:r>
        <w:rPr>
          <w:rFonts w:ascii="宋体" w:hAnsi="宋体" w:hint="eastAsia"/>
        </w:rPr>
        <w:t>于是问题就归结为：它们的利润从哪里来？既然金融机构本身不创造新的社会财富，那么这些收入就只能从交易对手身上来。而在大多数情况下，对手就是信息劣势、资金劣势的散户。</w:t>
      </w:r>
    </w:p>
    <w:p w14:paraId="0A703140" w14:textId="77777777" w:rsidR="003B577A" w:rsidRDefault="003B577A" w:rsidP="0080596E">
      <w:pPr>
        <w:pStyle w:val="11"/>
        <w:ind w:firstLine="480"/>
        <w:jc w:val="both"/>
      </w:pPr>
      <w:r>
        <w:rPr>
          <w:rFonts w:ascii="宋体" w:hAnsi="宋体" w:hint="eastAsia"/>
        </w:rPr>
        <w:t>那么，机构究竟如何从散户手中获得利润？既然价格由信心决定，最有效的办法就不是在企业价值的判断上与散户比拼精度，而是直接作用于散户的信心本身：用各种手段给散户制造错觉，影响市场情绪，使他们在错误的时点形成过度乐观或过度悲观的预期，从而在高位主动接盘、在低位恐慌交出筹码。所谓收割散户财富，本质上就是一个“制造信心—诱导交易—反向兑现”的完整链条。</w:t>
      </w:r>
    </w:p>
    <w:p w14:paraId="3D083473" w14:textId="77777777" w:rsidR="001E7588" w:rsidRDefault="00000000" w:rsidP="0080596E">
      <w:pPr>
        <w:pStyle w:val="11"/>
        <w:ind w:firstLine="480"/>
        <w:jc w:val="both"/>
      </w:pPr>
      <w:r>
        <w:rPr>
          <w:rFonts w:hint="eastAsia"/>
        </w:rPr>
        <w:t>机构影响市场信心的手段多种多样。它们可以发布研究报告，制造市场共识；可以集中资金推高或打压股价，制造技术图形；可以控制流动性，在关键价位触发止损盘；可以释放“内部消息”，诱导散户跟风。港股市场中的做市商操纵行为就是典型例子：在看似毫无逻辑的波动中，推高股价吸引散户跟风，随后迅速抛售，让散户成为高位接盘者。机构之间也会互为对手盘，大资金之间互杀并不罕见，但这恰恰说明整个市场是一个博弈场，而非一个和谐的价值发现机制。</w:t>
      </w:r>
    </w:p>
    <w:p w14:paraId="6271E75A" w14:textId="77777777" w:rsidR="001E7588" w:rsidRDefault="00000000" w:rsidP="0080596E">
      <w:pPr>
        <w:pStyle w:val="11"/>
        <w:ind w:firstLine="480"/>
        <w:jc w:val="both"/>
      </w:pPr>
      <w:r>
        <w:rPr>
          <w:rFonts w:hint="eastAsia"/>
        </w:rPr>
        <w:t>对于机构来说，散户的“信心”是可以被制造和操纵的。当散户被培养出对某只股票的信心时，机构已经在高位悄悄出货；当散户恐慌抛售时，机构又在低位吸纳。这个过程循环往复，本质就是利用信息不对称和信心差收割散户。</w:t>
      </w:r>
    </w:p>
    <w:p w14:paraId="5FCA3654" w14:textId="29706464" w:rsidR="001E7588" w:rsidRDefault="008B6838" w:rsidP="0080596E">
      <w:pPr>
        <w:pStyle w:val="21"/>
        <w:jc w:val="both"/>
        <w:rPr>
          <w:rFonts w:cs="Times New Roman"/>
        </w:rPr>
      </w:pPr>
      <w:r>
        <w:rPr>
          <w:rFonts w:ascii="楷体" w:eastAsia="楷体" w:hAnsi="楷体" w:cs="Times New Roman" w:hint="eastAsia"/>
          <w:b/>
          <w:bCs/>
          <w:sz w:val="28"/>
          <w:szCs w:val="28"/>
        </w:rPr>
        <w:t>四</w:t>
      </w:r>
      <w:r w:rsidR="007A0DAE" w:rsidRPr="007A0DAE">
        <w:rPr>
          <w:rFonts w:ascii="楷体" w:eastAsia="楷体" w:hAnsi="楷体" w:cs="Times New Roman" w:hint="eastAsia"/>
          <w:b/>
          <w:bCs/>
          <w:sz w:val="28"/>
          <w:szCs w:val="28"/>
        </w:rPr>
        <w:t>、普通投资者的劣势</w:t>
      </w:r>
      <w:r w:rsidR="00C73978">
        <w:rPr>
          <w:rFonts w:ascii="楷体" w:eastAsia="楷体" w:hAnsi="楷体" w:cs="Times New Roman" w:hint="eastAsia"/>
          <w:b/>
          <w:bCs/>
          <w:sz w:val="28"/>
          <w:szCs w:val="28"/>
        </w:rPr>
        <w:t>地位</w:t>
      </w:r>
      <w:r w:rsidR="003A4C5B">
        <w:rPr>
          <w:rFonts w:ascii="楷体" w:eastAsia="楷体" w:hAnsi="楷体" w:cs="Times New Roman" w:hint="eastAsia"/>
          <w:b/>
          <w:bCs/>
          <w:sz w:val="28"/>
          <w:szCs w:val="28"/>
        </w:rPr>
        <w:t>与</w:t>
      </w:r>
      <w:r w:rsidR="007A0DAE" w:rsidRPr="007A0DAE">
        <w:rPr>
          <w:rFonts w:ascii="楷体" w:eastAsia="楷体" w:hAnsi="楷体" w:cs="Times New Roman" w:hint="eastAsia"/>
          <w:b/>
          <w:bCs/>
          <w:sz w:val="28"/>
          <w:szCs w:val="28"/>
        </w:rPr>
        <w:t>应对</w:t>
      </w:r>
      <w:r w:rsidR="003A4C5B">
        <w:rPr>
          <w:rFonts w:ascii="楷体" w:eastAsia="楷体" w:hAnsi="楷体" w:cs="Times New Roman" w:hint="eastAsia"/>
          <w:b/>
          <w:bCs/>
          <w:sz w:val="28"/>
          <w:szCs w:val="28"/>
        </w:rPr>
        <w:t>策略</w:t>
      </w:r>
    </w:p>
    <w:p w14:paraId="30B4D565" w14:textId="77777777" w:rsidR="001E7588" w:rsidRDefault="00000000" w:rsidP="0080596E">
      <w:pPr>
        <w:pStyle w:val="11"/>
        <w:ind w:firstLine="480"/>
        <w:jc w:val="both"/>
      </w:pPr>
      <w:r>
        <w:rPr>
          <w:rFonts w:hint="eastAsia"/>
        </w:rPr>
        <w:t>有人可能会说：既然预判对手行为是机构的主场，普通投资者信息、速度、资金都不如机构，预判对手岂不成了劣势策略？这当然是对的。普通投资者在预判短期对手行为时，确实处于明显劣势</w:t>
      </w:r>
      <w:r w:rsidR="00C05861" w:rsidRPr="00C05861">
        <w:rPr>
          <w:rFonts w:ascii="宋体" w:hAnsi="宋体" w:hint="eastAsia"/>
        </w:rPr>
        <w:t>，而且这种劣势是全方位的。在信息上，机构拥有实地调研、产业链访谈与卖方研究的第一手材料，散户看到的往往是被反复转述、早已被市场定价过的二手消息；在速度上，机构的交易系统以毫秒计算，散户从看到消息到完成下单常常已过去数分钟；在资金上，机构可以分批建仓、承受回撤，甚至主动制造波动来诱导他人，散户仓位有限，一次深套就可能被迫止损离场；在成本上，机构享有更低的佣金费率与融资利率，高频交易的容错空间因此远大于散户；在心理与纪律上，机构有明确</w:t>
      </w:r>
      <w:r w:rsidR="00C05861" w:rsidRPr="00C05861">
        <w:rPr>
          <w:rFonts w:ascii="宋体" w:hAnsi="宋体" w:hint="eastAsia"/>
        </w:rPr>
        <w:lastRenderedPageBreak/>
        <w:t>的风控约束与止损规则，散户则容易在贪婪与恐惧之间反复摇摆，往往在最不该交易的时点作出交易。换言之，在以“猜测对手下一步动作”为核心的短期博弈中，散户几乎在每一个维度上都处于下风。</w:t>
      </w:r>
    </w:p>
    <w:p w14:paraId="27DD917C" w14:textId="77777777" w:rsidR="00C05861" w:rsidRDefault="00C05861" w:rsidP="0080596E">
      <w:pPr>
        <w:pStyle w:val="11"/>
        <w:ind w:firstLine="480"/>
        <w:jc w:val="both"/>
      </w:pPr>
      <w:r>
        <w:rPr>
          <w:rFonts w:ascii="宋体" w:hAnsi="宋体" w:hint="eastAsia"/>
        </w:rPr>
        <w:t>那么散户应当如何应对机构的这些优势？答案不是在自己不占优的赛道上继续与机构比拼短期预判，而是干脆退出这场比赛，转向巴菲特式的投资方法：预判大势而非预判对手的下一笔委托，相信国运与行业的长期趋势，忽略日内波动与题材噪音，严守纪律与规则，长期持有优质资产或宽基指数。用本文的框架来看，这一策略的有效性很容易解释：它的本质，是主动选择站到社会一致信心一边，用更多人的信心为自己所持股票的估值背书，同时排除片面信心所制造的干扰。散户无法在信息与速度上战胜机构，却可以在时间尺度上占据优势——机构受制于考核周期与赎回压力，往往无法长期忍受浮亏，而散户的资金若没有期限约束，就可以一直等到社会一致信心兑现的那一天。</w:t>
      </w:r>
    </w:p>
    <w:p w14:paraId="12015D86" w14:textId="77777777" w:rsidR="001E7588" w:rsidRDefault="00000000" w:rsidP="0080596E">
      <w:pPr>
        <w:pStyle w:val="11"/>
        <w:ind w:firstLine="480"/>
        <w:jc w:val="both"/>
      </w:pPr>
      <w:r>
        <w:rPr>
          <w:rFonts w:hint="eastAsia"/>
        </w:rPr>
        <w:t>许多普通投资者选择相信国运、相信行业趋势、相信指数长期上涨，看起来似乎跳出了“预判对手”的框架。但仔细分析就会发现，这本质上仍然是对其他市场参与者行为的预判。你相信国运，是因为你相信未来会有足够多的市场参与者基于同样的信息形成共识，从而给出更高的估值。你买入指数基金，是因为你预期未来有人愿意以更高价格买入你手中的基金份额。如果你根本不相信未来有人接盘，你还会继续持有吗？你会急着卖出，即使亏钱也要卖出。</w:t>
      </w:r>
    </w:p>
    <w:p w14:paraId="1EF52737" w14:textId="77777777" w:rsidR="001E7588" w:rsidRDefault="00000000" w:rsidP="0080596E">
      <w:pPr>
        <w:pStyle w:val="11"/>
        <w:ind w:firstLine="480"/>
        <w:jc w:val="both"/>
      </w:pPr>
      <w:r>
        <w:rPr>
          <w:rFonts w:hint="eastAsia"/>
        </w:rPr>
        <w:t>一个思想实验可以说明问题：将一群股民关在牢笼里十年，信息完全封闭。十年后放出来，问他们愿不愿意买你手中十年前买入的股票。他们只会用十年前的信息来判断，不会用新的生产力发展下的新信息来估值，因此不会以合理价格接盘。这个实验说明，信息的传播和信心的形成，是交易变现的前提。你相信国运，本质上是在赌其他市场参与者最终会形成与你一致的判断。</w:t>
      </w:r>
    </w:p>
    <w:p w14:paraId="196C704A" w14:textId="02C14481" w:rsidR="001E7588" w:rsidRDefault="00000000" w:rsidP="0080596E">
      <w:pPr>
        <w:pStyle w:val="11"/>
        <w:ind w:firstLine="480"/>
        <w:jc w:val="both"/>
      </w:pPr>
      <w:r>
        <w:rPr>
          <w:rFonts w:hint="eastAsia"/>
        </w:rPr>
        <w:t>巴菲特倡导指数投资，看似只信国运，实则相信市场整体会随着财富积累而不断给出更高估值。</w:t>
      </w:r>
      <w:r w:rsidR="007B61F1">
        <w:rPr>
          <w:rFonts w:ascii="ZWAdobeF" w:hAnsi="ZWAdobeF" w:cs="ZWAdobeF"/>
          <w:sz w:val="2"/>
          <w:szCs w:val="2"/>
        </w:rPr>
        <w:t>1F</w:t>
      </w:r>
      <w:r w:rsidR="002955B1">
        <w:rPr>
          <w:rStyle w:val="af2"/>
        </w:rPr>
        <w:footnoteReference w:id="2"/>
      </w:r>
      <w:r>
        <w:rPr>
          <w:rFonts w:hint="eastAsia"/>
        </w:rPr>
        <w:t>这种信念本身，就是对其他市场参与者集体行为的一种预期。长期持有不是脱离博弈，而是把博弈的时间尺度拉长，并没有改变最终需要对手盘的本质。</w:t>
      </w:r>
    </w:p>
    <w:p w14:paraId="510466E0" w14:textId="1B415A77" w:rsidR="001E7588" w:rsidRPr="00460725" w:rsidRDefault="008B6838" w:rsidP="0080596E">
      <w:pPr>
        <w:pStyle w:val="21"/>
        <w:jc w:val="both"/>
        <w:rPr>
          <w:rFonts w:ascii="楷体" w:eastAsia="楷体" w:hAnsi="楷体"/>
          <w:b/>
          <w:bCs/>
          <w:sz w:val="28"/>
          <w:szCs w:val="28"/>
        </w:rPr>
      </w:pPr>
      <w:r>
        <w:rPr>
          <w:rFonts w:ascii="楷体" w:eastAsia="楷体" w:hAnsi="楷体" w:hint="eastAsia"/>
          <w:b/>
          <w:bCs/>
          <w:sz w:val="28"/>
          <w:szCs w:val="28"/>
        </w:rPr>
        <w:t>五</w:t>
      </w:r>
      <w:r w:rsidR="00460725">
        <w:rPr>
          <w:rFonts w:ascii="楷体" w:eastAsia="楷体" w:hAnsi="楷体" w:hint="eastAsia"/>
          <w:b/>
          <w:bCs/>
          <w:sz w:val="28"/>
          <w:szCs w:val="28"/>
        </w:rPr>
        <w:t>、</w:t>
      </w:r>
      <w:r w:rsidR="00460725" w:rsidRPr="00460725">
        <w:rPr>
          <w:rFonts w:ascii="楷体" w:eastAsia="楷体" w:hAnsi="楷体" w:hint="eastAsia"/>
          <w:b/>
          <w:bCs/>
          <w:sz w:val="28"/>
          <w:szCs w:val="28"/>
        </w:rPr>
        <w:t>结论</w:t>
      </w:r>
    </w:p>
    <w:p w14:paraId="2379D3C8" w14:textId="77777777" w:rsidR="001E7588" w:rsidRDefault="00000000" w:rsidP="0080596E">
      <w:pPr>
        <w:pStyle w:val="11"/>
        <w:ind w:firstLine="480"/>
        <w:jc w:val="both"/>
      </w:pPr>
      <w:r>
        <w:rPr>
          <w:rFonts w:hint="eastAsia"/>
        </w:rPr>
        <w:t>股市投资的核心，不是单纯判断企业价值，而是判断其他市场参与者对企业价值的信心程度。基本面、消息、题材、玄学都只是信心的载体，它们对股价的作用机制相同，都是通过影响参与者的主观信念来实现。无论长期持有还是短期交易，投资者最终都要通过卖出股票来兑现收益，而卖出价格取决于对手方的信心。因此，股市本质是一个信心博弈场，投资的核心能力是理解并预判对手的行为。</w:t>
      </w:r>
    </w:p>
    <w:p w14:paraId="1F7195A3" w14:textId="5F55DD0C" w:rsidR="001E7588" w:rsidRDefault="00000000" w:rsidP="0080596E">
      <w:pPr>
        <w:pStyle w:val="11"/>
        <w:ind w:firstLine="480"/>
        <w:jc w:val="both"/>
      </w:pPr>
      <w:r>
        <w:rPr>
          <w:rFonts w:hint="eastAsia"/>
        </w:rPr>
        <w:lastRenderedPageBreak/>
        <w:t>在这个博弈场中，大资金和机构利用信息优势和资金优势，通过制造和操纵信心来收割散户。普通投资者在短期博弈中处于劣势，但这并不能否定市场的博弈本质。认清这一点，并不意味着要放弃投资，而是要保持清醒：你所面对的，从来不是一张冷冰冰的财务报表</w:t>
      </w:r>
      <w:r w:rsidR="00907462">
        <w:rPr>
          <w:rFonts w:hint="eastAsia"/>
        </w:rPr>
        <w:t>和难以捉摸的</w:t>
      </w:r>
      <w:r w:rsidR="00907462">
        <w:rPr>
          <w:rFonts w:hint="eastAsia"/>
        </w:rPr>
        <w:t>K</w:t>
      </w:r>
      <w:r w:rsidR="00907462">
        <w:rPr>
          <w:rFonts w:hint="eastAsia"/>
        </w:rPr>
        <w:t>线图</w:t>
      </w:r>
      <w:r>
        <w:rPr>
          <w:rFonts w:hint="eastAsia"/>
        </w:rPr>
        <w:t>，而是一群活生生的、带着各种信念和偏见的对手。只有理解他们的行为逻辑，才能在这个市场中找到自己的生存空间。</w:t>
      </w:r>
    </w:p>
    <w:p w14:paraId="41A0C5D8" w14:textId="75473C15" w:rsidR="001E7588" w:rsidRDefault="00000000" w:rsidP="0080596E">
      <w:pPr>
        <w:pStyle w:val="11"/>
        <w:ind w:firstLine="480"/>
        <w:jc w:val="both"/>
      </w:pPr>
      <w:r>
        <w:rPr>
          <w:rFonts w:hint="eastAsia"/>
        </w:rPr>
        <w:t>本文的论证可以从以下几个方向进一步拓展：凯恩斯“选美理论”与现代行为金融学对“对手行为判断”的支持；从众效应、过度自信、锚定效应等行为偏误如何强化股市的信心博弈属性；信息不对称与市场操纵如何系统性地扭曲价格信号；实体经济财富增长与个体投资者兑现收益之间的结构性断裂；以及普通投资者如何在“预判对手是劣势策略”的困境中制定相对稳健的</w:t>
      </w:r>
      <w:r w:rsidR="00B26CB5">
        <w:rPr>
          <w:rFonts w:hint="eastAsia"/>
        </w:rPr>
        <w:t>、更加细致可操作的</w:t>
      </w:r>
      <w:r>
        <w:rPr>
          <w:rFonts w:hint="eastAsia"/>
        </w:rPr>
        <w:t>投资策略。这些问题的深入研究，将有助于更全面地理解股市作为信心博弈场的运行机制。</w:t>
      </w:r>
    </w:p>
    <w:p w14:paraId="08D96527" w14:textId="77777777" w:rsidR="00E44E83" w:rsidRDefault="00E44E83">
      <w:pPr>
        <w:pStyle w:val="21"/>
        <w:rPr>
          <w:rFonts w:cs="Times New Roman"/>
          <w:kern w:val="2"/>
          <w14:ligatures w14:val="standardContextual"/>
        </w:rPr>
      </w:pPr>
      <w:r>
        <w:rPr>
          <w:rFonts w:ascii="楷体" w:eastAsia="楷体" w:hAnsi="楷体" w:cs="Times New Roman" w:hint="eastAsia"/>
          <w:b/>
          <w:bCs/>
          <w:sz w:val="28"/>
          <w:szCs w:val="28"/>
        </w:rPr>
        <w:t>六、股市中的主要交易主体分析</w:t>
      </w:r>
    </w:p>
    <w:p w14:paraId="06CC6BF4" w14:textId="6DA93CD8" w:rsidR="00E44E83" w:rsidRDefault="00E44E83">
      <w:pPr>
        <w:pStyle w:val="11"/>
        <w:spacing w:before="180" w:after="80"/>
        <w:ind w:firstLine="480"/>
        <w:jc w:val="both"/>
      </w:pPr>
      <w:r>
        <w:rPr>
          <w:rFonts w:ascii="宋体" w:hAnsi="宋体" w:hint="eastAsia"/>
          <w:color w:val="2F5496"/>
        </w:rPr>
        <w:t>（一）国家：规则制定者、市场参与者与</w:t>
      </w:r>
      <w:r w:rsidR="00C158CF">
        <w:rPr>
          <w:rFonts w:ascii="宋体" w:hAnsi="宋体" w:hint="eastAsia"/>
          <w:color w:val="2F5496"/>
        </w:rPr>
        <w:t>重要</w:t>
      </w:r>
      <w:r>
        <w:rPr>
          <w:rFonts w:ascii="宋体" w:hAnsi="宋体" w:hint="eastAsia"/>
          <w:color w:val="2F5496"/>
        </w:rPr>
        <w:t>利益主体</w:t>
      </w:r>
    </w:p>
    <w:p w14:paraId="0C469C2C" w14:textId="77777777" w:rsidR="00E44E83" w:rsidRDefault="00E44E83">
      <w:pPr>
        <w:pStyle w:val="11"/>
        <w:ind w:firstLine="480"/>
        <w:jc w:val="both"/>
      </w:pPr>
      <w:r>
        <w:rPr>
          <w:rFonts w:ascii="宋体" w:hAnsi="宋体" w:hint="eastAsia"/>
        </w:rPr>
        <w:t>在分析股市交易主体时，国家是最特殊、也最容易被忽视的一类主体。它并不只是市场的监管者、规则制定者和秩序维护者，也通过主权基金、社保基金、养老金、国有资本运营平台以及各类国有金融机构，成为资本市场中的重要利益相关者。表面上，国家很少以普通交易者的形式直接出现在二级市场中；但从广义的交易主体来看，任何能够通过制度安排、资金配置、监管节奏、舆论信号和市场救助影响股市定价的力量，都已经进入了股市博弈本身。因此，国家既是市场规则的制定者，也是市场信心的重要塑造者，更是市场收益分配中的潜在利益主体。</w:t>
      </w:r>
    </w:p>
    <w:p w14:paraId="40C246EE" w14:textId="77777777" w:rsidR="00E44E83" w:rsidRDefault="00E44E83">
      <w:pPr>
        <w:pStyle w:val="11"/>
        <w:ind w:firstLine="480"/>
        <w:jc w:val="both"/>
      </w:pPr>
      <w:r>
        <w:rPr>
          <w:rFonts w:ascii="宋体" w:hAnsi="宋体" w:hint="eastAsia"/>
        </w:rPr>
        <w:t>按照本文的理论，股市中的财富增长大体来自两个方向：其一，是实物资产增长所带来的社会一致信心，即企业盈利、产业升级、技术进步和生产率提高，为股价提供了真实而稳定的背书；其二，是局部信息、政策叙事、市场情绪和资金推动所造成的片面信心，这部分价格增长往往缺乏充分实物支撑，最终需要后来者接盘。国家持有主权基金、社保基金和养老金等长期资金，因此当然希望资本市场实现长期增值。就合理的一面而言，这种增值应当主要来自国家整体生产能力与企业真实资产的增长：经济越发展，上市公司质量越高，市场对于国家资产的社会一致信心越强，国家长期资金便越能分享经济增长所带来的资本收益。</w:t>
      </w:r>
    </w:p>
    <w:p w14:paraId="0778BA34" w14:textId="77777777" w:rsidR="0057405C" w:rsidRPr="0057405C" w:rsidRDefault="00000000">
      <w:pPr>
        <w:pStyle w:val="11"/>
        <w:ind w:firstLine="480"/>
        <w:jc w:val="both"/>
      </w:pPr>
      <w:r>
        <w:rPr>
          <w:rFonts w:ascii="宋体" w:hAnsi="宋体" w:hint="eastAsia"/>
        </w:rPr>
        <w:t>但是，国家并不是普通投资者。尤其在国家力量深度介入资本市场的制度环境中，国家既可能是规则制定者，又可能通过国有券商、银行、保险、基金公司以及所谓“国家队”资金成为市场的重要参与者。这就带来一种结构性张力：当规则制定者本身也在市场中拥有巨大利益时，它就存在通过影响流动性、交易制度、融资环境、政策预期和舆论信号来改变市场信心的动机。</w:t>
      </w:r>
      <w:r w:rsidR="001A32CA" w:rsidRPr="001A32CA">
        <w:rPr>
          <w:rFonts w:ascii="宋体" w:hAnsi="宋体" w:hint="eastAsia"/>
        </w:rPr>
        <w:t>这里不必预设某种具体的阴谋或个别主体之间明面上</w:t>
      </w:r>
      <w:r w:rsidR="001A32CA" w:rsidRPr="001A32CA">
        <w:rPr>
          <w:rFonts w:ascii="宋体" w:hAnsi="宋体" w:hint="eastAsia"/>
        </w:rPr>
        <w:lastRenderedPageBreak/>
        <w:t>的“合谋”；但仅从激励结构看，规则制定者、国有金融机构和长期国家资金之间，就可能因为共同的资产增值目标而形成某种“合谋”式的方向一致行动逻辑。</w:t>
      </w:r>
    </w:p>
    <w:p w14:paraId="5D5B5C51" w14:textId="0C456C46" w:rsidR="0057405C" w:rsidRPr="0057405C" w:rsidRDefault="00000000">
      <w:pPr>
        <w:pStyle w:val="11"/>
        <w:ind w:firstLine="480"/>
        <w:jc w:val="both"/>
      </w:pPr>
      <w:r>
        <w:rPr>
          <w:rFonts w:ascii="宋体" w:hAnsi="宋体" w:hint="eastAsia"/>
        </w:rPr>
        <w:t>如果股市交易环节具有零和甚至负和性质，那么任何主体在高位兑现收益，都意味着其他主体承担相应的接盘成本。对于国家持有的长期资金而言，最理想的盈利方式当然是伴随国家生产力增长而长期升值；但当市场出现由片面信心推动的资产泡沫时，国家资金或国有机构也可能利用自身的信息、政策和资金优势，在高估值阶段实现部分退出，把估值回落的风险留给信息劣势的中小投资者。</w:t>
      </w:r>
      <w:r w:rsidRPr="00EF55F5">
        <w:rPr>
          <w:rFonts w:ascii="宋体" w:hAnsi="宋体" w:hint="eastAsia"/>
        </w:rPr>
        <w:t>这种过程虽然未必表现为直接强迫，但在市场语境中完全可以被称为对散户的“收割”。</w:t>
      </w:r>
      <w:r>
        <w:rPr>
          <w:rFonts w:ascii="宋体" w:hAnsi="宋体" w:hint="eastAsia"/>
        </w:rPr>
        <w:t>此时，</w:t>
      </w:r>
      <w:r w:rsidR="007D63CE" w:rsidRPr="007D63CE">
        <w:rPr>
          <w:rFonts w:ascii="宋体" w:hAnsi="宋体" w:hint="eastAsia"/>
        </w:rPr>
        <w:t>散户表面上是自愿买卖股票，似乎无人强迫</w:t>
      </w:r>
      <w:r>
        <w:rPr>
          <w:rFonts w:ascii="宋体" w:hAnsi="宋体" w:hint="eastAsia"/>
        </w:rPr>
        <w:t>；但如果他们是在政策信号、机构宣传、财富焦虑和有限投资渠道共同作用下进入市场，那么这种“自愿”就具有结构性诱导的成分。散户的亏损在形式上表现为投资失败，在实质上则可能成为一种隐性的财富再分配：资金从普通居民部门转移到国家资本、金融机构或其他优势交易主体手中，</w:t>
      </w:r>
      <w:r w:rsidR="007D63CE" w:rsidRPr="007D63CE">
        <w:rPr>
          <w:rFonts w:ascii="宋体" w:hAnsi="宋体" w:hint="eastAsia"/>
        </w:rPr>
        <w:t>并最终以社保金</w:t>
      </w:r>
      <w:r>
        <w:rPr>
          <w:rFonts w:ascii="宋体" w:hAnsi="宋体" w:hint="eastAsia"/>
        </w:rPr>
        <w:t>、养老金、</w:t>
      </w:r>
      <w:r w:rsidR="007D63CE" w:rsidRPr="007D63CE">
        <w:rPr>
          <w:rFonts w:ascii="宋体" w:hAnsi="宋体" w:hint="eastAsia"/>
        </w:rPr>
        <w:t>财政补充或金融体系利润的形式重新进入国家机器和制度体系。</w:t>
      </w:r>
    </w:p>
    <w:p w14:paraId="712276C8" w14:textId="77777777" w:rsidR="0057405C" w:rsidRPr="0057405C" w:rsidRDefault="00000000">
      <w:pPr>
        <w:pStyle w:val="11"/>
        <w:ind w:firstLine="480"/>
        <w:jc w:val="both"/>
      </w:pPr>
      <w:r>
        <w:rPr>
          <w:rFonts w:ascii="宋体" w:hAnsi="宋体" w:hint="eastAsia"/>
        </w:rPr>
        <w:t>这一点在中国股市中尤其值得讨论。中国资本市场长期处于国家深度参与和强监管结构之下，</w:t>
      </w:r>
      <w:r w:rsidR="008F72FA" w:rsidRPr="008F72FA">
        <w:rPr>
          <w:rFonts w:ascii="宋体" w:hAnsi="宋体" w:hint="eastAsia"/>
        </w:rPr>
        <w:t>居民可选择的财富增值渠道又受到高度限制。</w:t>
      </w:r>
      <w:r>
        <w:rPr>
          <w:rFonts w:ascii="宋体" w:hAnsi="宋体" w:hint="eastAsia"/>
        </w:rPr>
        <w:t>房地产、外汇、海外资产配置、</w:t>
      </w:r>
      <w:r w:rsidR="008F72FA" w:rsidRPr="008F72FA">
        <w:rPr>
          <w:rFonts w:ascii="宋体" w:hAnsi="宋体" w:hint="eastAsia"/>
        </w:rPr>
        <w:t>衍生品交易等渠道，在不同时期都受到不同程度的制度约束；</w:t>
      </w:r>
      <w:r>
        <w:rPr>
          <w:rFonts w:ascii="宋体" w:hAnsi="宋体" w:hint="eastAsia"/>
        </w:rPr>
        <w:t>普通居民为了对抗通胀、实现资产保值增值，</w:t>
      </w:r>
      <w:r w:rsidR="008F72FA" w:rsidRPr="008F72FA">
        <w:rPr>
          <w:rFonts w:ascii="宋体" w:hAnsi="宋体" w:hint="eastAsia"/>
        </w:rPr>
        <w:t>在现实中往往很难自由选择财富增值工具。这里可以借用商鞅所谓“利出一孔”的说法来理解：通过高度限制财富增值的工具和渠道，将投资出口收束到少数被允许、被引导、被制度性鼓励的方向，使人民群众为了实现财富增值，不得不把一部分储蓄投入股市。若股市进入之后长期缺乏真正能够持续分享增长红利的机制，那么居民资金看似是自愿入场，实则是在可选项被高度压缩之后被迫进入一个由国家资本、国有金融机构和市场优势主体共同占优的博弈场。此时股市就不再只是自由交易市场，而同时具有了隐性税负和隐性财富征收机制的性质：散户在完全不自知的情况下，通过亏损、套牢和高位接盘，向国家资本体系缴纳了一笔看不见的“税”。</w:t>
      </w:r>
    </w:p>
    <w:p w14:paraId="6B26D3BA" w14:textId="6599AD19" w:rsidR="0057405C" w:rsidRPr="0057405C" w:rsidRDefault="002E0D32">
      <w:pPr>
        <w:pStyle w:val="11"/>
        <w:ind w:firstLine="480"/>
        <w:jc w:val="both"/>
      </w:pPr>
      <w:r w:rsidRPr="002E0D32">
        <w:rPr>
          <w:rFonts w:ascii="宋体" w:hAnsi="宋体" w:hint="eastAsia"/>
        </w:rPr>
        <w:t>这样也就更容易理解，为什么中国股市长期难以形成类似美国股市那样持续、稳定、以宽基指数为代表的长期上升趋势，并且常常在四千点上下反复徘徊。一个重要原因在于，双方背后站台的角色不同，市场规则的制定者和维护者也不同。中国作为一个权力本位而非市场本位的国家，国家既是市场规则制定者，又是市场的重要参与者，它天然具有通过政策节奏、融资制度、市场救助、预期管理和国有金融机构行动来影响市场的强烈动机</w:t>
      </w:r>
      <w:r w:rsidR="00DC2200">
        <w:rPr>
          <w:rFonts w:ascii="宋体" w:hAnsi="宋体" w:hint="eastAsia"/>
        </w:rPr>
        <w:t>，而且的的确确具备操纵市场的能力</w:t>
      </w:r>
      <w:r w:rsidRPr="002E0D32">
        <w:rPr>
          <w:rFonts w:ascii="宋体" w:hAnsi="宋体" w:hint="eastAsia"/>
        </w:rPr>
        <w:t>。</w:t>
      </w:r>
      <w:r w:rsidR="003308EB" w:rsidRPr="003308EB">
        <w:rPr>
          <w:rFonts w:ascii="宋体" w:hAnsi="宋体"/>
        </w:rPr>
        <w:t>当国家主权资金、国有金融机构和政策目标之间存在高度一致性时，市场就不完全是由分散资本主体共同定价的结果，而更像是一个被国家力量深度塑形的交易场。</w:t>
      </w:r>
      <w:r w:rsidRPr="002E0D32">
        <w:rPr>
          <w:rFonts w:ascii="宋体" w:hAnsi="宋体" w:hint="eastAsia"/>
        </w:rPr>
        <w:t>如果一个股市长期处在国家主权财富套利的前提下，国家资本在高位能够部分兑现，散户在高位承担接盘成本，那么宽基指数就很难实现持续上升。因为这个市场并不是单纯把社会生产力增长转化为全体投资者共享的资本增值，而是在相当程度上承担着融资、稳定财政、转移风险和重新分配居民财富的功能。</w:t>
      </w:r>
      <w:r w:rsidRPr="002E0D32">
        <w:rPr>
          <w:rFonts w:ascii="宋体" w:hAnsi="宋体" w:hint="eastAsia"/>
        </w:rPr>
        <w:lastRenderedPageBreak/>
        <w:t>换言之，指数长期徘徊并不只是经济基本面的问题，也可能反映了国家、机构与散户之间利益分配结构的问题。</w:t>
      </w:r>
    </w:p>
    <w:p w14:paraId="437D6EB4" w14:textId="4496DFA5" w:rsidR="00C158CF" w:rsidRDefault="00873FCA">
      <w:pPr>
        <w:pStyle w:val="11"/>
        <w:ind w:firstLine="480"/>
        <w:jc w:val="both"/>
      </w:pPr>
      <w:r>
        <w:rPr>
          <w:rFonts w:ascii="宋体" w:hAnsi="宋体" w:hint="eastAsia"/>
        </w:rPr>
        <w:t>具体来说，</w:t>
      </w:r>
      <w:r w:rsidR="00C158CF">
        <w:rPr>
          <w:rFonts w:ascii="宋体" w:hAnsi="宋体" w:hint="eastAsia"/>
        </w:rPr>
        <w:t>其内在机制在于，国家或优势机构如果反复在市场情绪高涨、估值被片面信心推高时兑现收益，就会不断把上涨阶段所积累的信心溢价转移到居民部门身上。散户在高位接盘后，随后的估值回落会使其长期被套，居民部门的可投资资金和风险承受能力由此被持续消耗。下一轮市场上涨时，原本应当追随真实经济增长而进入股市、推动宽基指数继续抬升的资金，不再是增量资金，而往往只是上一轮亏损者的解套冲动、新一轮散户的有限储蓄，以及政策刺激下暂时恢复的风险偏好。与此同时，国家资本和优势机构一旦形成“高位兑现、低位托底、再高位兑现”的循环，就会在市场上方形成稳定的隐性抛压：指数每当上升到某一区域，优势主体便有动力利用政策预期、舆论信心和居民入场流动性进行退出；而指数大幅下跌时，国家又出于金融稳定、融资功能和社会预期管理的需要进行托底。于是，市场既很难彻底崩溃，也很难持续突破，最终形成一种上方有套利压力、下方有政策托底的横盘震荡结构。</w:t>
      </w:r>
    </w:p>
    <w:p w14:paraId="32FE469C" w14:textId="77777777" w:rsidR="00C158CF" w:rsidRDefault="00C158CF">
      <w:pPr>
        <w:pStyle w:val="11"/>
        <w:ind w:firstLine="480"/>
        <w:jc w:val="both"/>
      </w:pPr>
      <w:r>
        <w:rPr>
          <w:rFonts w:ascii="宋体" w:hAnsi="宋体" w:hint="eastAsia"/>
        </w:rPr>
        <w:t>更重要的是，反复套利会破坏股市长期上涨所必需的社会一致信心。一个能够持续上行的宽基指数，必须让多数投资者相信：只要国家生产力持续增长，普通投资者也能稳定分享这种增长带来的资本收益。但如果市场反复表现为“上涨时诱导居民入场、随后优势主体兑现、散户长期套牢”，那么投资者最终形成的经验就不是相信股市能分享国运，而是相信股市只是周期性“收割”的场所。这样一来，实物财富增长本应转化为社会一致信心，却在制度性套利循环中被不断打断。居民即使承认国家经济长期增长，也不会稳定相信自己能够通过股市分享这种增长；他们只会在行情启动时短暂涌入，在被套后长期观望，下一轮上涨又急于解套离场。结果就是，经济增长带来的潜在估值抬升不断被高位套牢盘、解套盘和国家资本兑现盘消耗掉，宽基指数无法形成连续的复利趋势，只能在政策托底与套利抛压之间反复震荡。</w:t>
      </w:r>
    </w:p>
    <w:p w14:paraId="49B76027" w14:textId="77777777" w:rsidR="0057405C" w:rsidRPr="0057405C" w:rsidRDefault="00DA4A51">
      <w:pPr>
        <w:pStyle w:val="11"/>
        <w:ind w:firstLine="480"/>
        <w:jc w:val="both"/>
      </w:pPr>
      <w:r w:rsidRPr="00DA4A51">
        <w:rPr>
          <w:rFonts w:ascii="宋体" w:hAnsi="宋体" w:hint="eastAsia"/>
        </w:rPr>
        <w:t>反观美国市场，其背后站台的力量结构完全不同。</w:t>
      </w:r>
      <w:r>
        <w:rPr>
          <w:rFonts w:ascii="宋体" w:hAnsi="宋体" w:hint="eastAsia"/>
        </w:rPr>
        <w:t>美国政府当然也是资本市场的重要参与者，公共养老金、财政政策、货币政策和监管制度都会影响股市；</w:t>
      </w:r>
      <w:r w:rsidRPr="00DA4A51">
        <w:rPr>
          <w:rFonts w:ascii="宋体" w:hAnsi="宋体" w:hint="eastAsia"/>
        </w:rPr>
        <w:t>但美国更接近资本本位或市场本位的制度结构，</w:t>
      </w:r>
      <w:r>
        <w:rPr>
          <w:rFonts w:ascii="宋体" w:hAnsi="宋体" w:hint="eastAsia"/>
        </w:rPr>
        <w:t>市场规则并非由单一国家意志完全支配，而是在政府、华尔街金融机构、上市公司、养老金、共同基金、科技资本、地方政府和普通投资者之间长期博弈形成。</w:t>
      </w:r>
      <w:r w:rsidRPr="00DA4A51">
        <w:rPr>
          <w:rFonts w:ascii="宋体" w:hAnsi="宋体" w:hint="eastAsia"/>
        </w:rPr>
        <w:t>由于两党政治、司法约束、媒体监督以及大量资本主体分散存在，美国政府很难像高度集中权力结构下的国家那样，轻易与所有机构形成单一方向的“合谋”，并长期以牺牲市场整体增长为代价进行套利出场。因此，可以作出一个合乎本文理论的判断：美国制度体系从资本市场中获得的收益，有更大比例来自社会实物资产增长所推动的社会一致信心上升，以及由此带来的股票长期增值；而直接依靠零和博弈从散户身上转移财富的比例，相对而言可能更低。这也解释了为什么美国宽基指数更容易表现为长期上升，而中国宽基指数则更容易表现为反复震荡和阶段性“收割”。</w:t>
      </w:r>
    </w:p>
    <w:p w14:paraId="68FEA566" w14:textId="77777777" w:rsidR="0057405C" w:rsidRPr="0057405C" w:rsidRDefault="00194C8D">
      <w:pPr>
        <w:pStyle w:val="11"/>
        <w:ind w:firstLine="480"/>
        <w:jc w:val="both"/>
      </w:pPr>
      <w:r w:rsidRPr="00194C8D">
        <w:rPr>
          <w:rFonts w:ascii="宋体" w:hAnsi="宋体" w:hint="eastAsia"/>
        </w:rPr>
        <w:lastRenderedPageBreak/>
        <w:t>当然，这并不意味着美国市场不存在操纵、泡沫和“收割”，也不意味着中国市场中的所有国家行为都必然以“收割”散户为目标。</w:t>
      </w:r>
      <w:r>
        <w:rPr>
          <w:rFonts w:ascii="宋体" w:hAnsi="宋体" w:hint="eastAsia"/>
        </w:rPr>
        <w:t>本文要强调的是：国家作为交易主体时，不能只从“监管者”或“公益维护者”的角度理解，也必须从“利益主体”和“博弈参与者”的角度理解。国家是否能够让股市长期成为社会一致信心的载体，取决于它是否主要依靠实物财富增长来实现资产增值；而如果国家更多利用规则优势、信息优势和渠道限制，把片面信心制造出来再让居民部门接盘，那么股市就会变成一种隐性的财富再分配机制</w:t>
      </w:r>
      <w:r w:rsidRPr="00194C8D">
        <w:rPr>
          <w:rFonts w:ascii="宋体" w:hAnsi="宋体" w:hint="eastAsia"/>
        </w:rPr>
        <w:t>，也就是市场语言中所谓的“收割”。</w:t>
      </w:r>
    </w:p>
    <w:p w14:paraId="40F0A175" w14:textId="77777777" w:rsidR="00E44E83" w:rsidRDefault="00E44E83">
      <w:pPr>
        <w:pStyle w:val="11"/>
        <w:ind w:firstLine="480"/>
        <w:jc w:val="both"/>
      </w:pPr>
      <w:r>
        <w:rPr>
          <w:rFonts w:ascii="宋体" w:hAnsi="宋体" w:hint="eastAsia"/>
        </w:rPr>
        <w:t>因此，分析国家这一交易主体时，最重要的不是简单判断它“善”或“恶”，而是判断它在具体市场制度中扮演的角色：它是主要通过促进生产力增长来扩大社会一致信心，还是主要通过限制居民选择、制造政策预期和调节市场信心来进行存量财富再分配。前者对应长期牛市和居民财富共同增长；后者则对应指数长期徘徊、散户反复被套以及资本市场公信力下降。对于普通投资者而言，理解国家的角色，就是理解市场中最强大的“鲸鱼”之一究竟在制造顺流，还是在制造漩涡。</w:t>
      </w:r>
    </w:p>
    <w:p w14:paraId="671FFB43" w14:textId="77777777" w:rsidR="0057405C" w:rsidRDefault="00E44E83" w:rsidP="00E44E83">
      <w:pPr>
        <w:pStyle w:val="21"/>
        <w:rPr>
          <w:rFonts w:cs="Times New Roman"/>
        </w:rPr>
      </w:pPr>
      <w:r w:rsidRPr="00E44E83">
        <w:rPr>
          <w:rFonts w:ascii="楷体" w:eastAsia="楷体" w:hAnsi="楷体" w:cs="Times New Roman" w:hint="eastAsia"/>
          <w:b/>
          <w:bCs/>
          <w:sz w:val="28"/>
          <w:szCs w:val="28"/>
        </w:rPr>
        <w:t>七</w:t>
      </w:r>
      <w:r w:rsidRPr="00E44E83">
        <w:rPr>
          <w:rFonts w:ascii="楷体" w:eastAsia="楷体" w:hAnsi="楷体" w:cs="Times New Roman"/>
          <w:b/>
          <w:sz w:val="28"/>
          <w:szCs w:val="28"/>
        </w:rPr>
        <w:t>、具体交易指导：研究对手盘，站到优势方一边</w:t>
      </w:r>
    </w:p>
    <w:p w14:paraId="0B448C57" w14:textId="77777777" w:rsidR="007C2458" w:rsidRDefault="007C2458">
      <w:pPr>
        <w:pStyle w:val="11"/>
        <w:spacing w:before="180" w:after="80"/>
        <w:ind w:firstLine="480"/>
        <w:jc w:val="both"/>
      </w:pPr>
      <w:r>
        <w:rPr>
          <w:rFonts w:ascii="宋体" w:hAnsi="宋体" w:hint="eastAsia"/>
          <w:color w:val="2F5496"/>
        </w:rPr>
        <w:t>（一）交易的首要问题：你在和谁打擂台</w:t>
      </w:r>
    </w:p>
    <w:p w14:paraId="7AAA3C76" w14:textId="7F77D070" w:rsidR="007C2458" w:rsidRDefault="007C2458">
      <w:pPr>
        <w:pStyle w:val="11"/>
        <w:ind w:firstLine="480"/>
        <w:jc w:val="both"/>
      </w:pPr>
      <w:r>
        <w:rPr>
          <w:rFonts w:ascii="宋体" w:hAnsi="宋体" w:hint="eastAsia"/>
        </w:rPr>
        <w:t>认清股市信心为王，并理解交易兑现环节的零和本质之后，投资者首先应当明白：单纯研究公司基本面、研究K线形态，都不如充分研究自己的对手盘。基本面和K线当然不是无用的，它们分别反映社会</w:t>
      </w:r>
      <w:r w:rsidR="00926A93">
        <w:rPr>
          <w:rFonts w:ascii="宋体" w:hAnsi="宋体" w:hint="eastAsia"/>
        </w:rPr>
        <w:t>长期</w:t>
      </w:r>
      <w:r>
        <w:rPr>
          <w:rFonts w:ascii="宋体" w:hAnsi="宋体" w:hint="eastAsia"/>
        </w:rPr>
        <w:t>一致信心的基础和短期资金行为的痕迹；但它们都只是信心博弈的表象，真正决定盈亏的，是你能否判断当前价格中的哪一部分尚未被完全定价，以及这些价格偏差最终会由谁承担。投资者能够赚取的收益，大体只有两类来源：一类来自局部信心和信息不对称造成的价格偏差，这部分收益对应其他参与者的总和净亏损；另一类来自社会生产力增长推动的社会一致信心增长，这主要对应做多优质资产、行业趋势或宽基指数的长期收益。因此，所谓知己知彼，百战不殆，在股市中首先不是研究公司到底有多好，而是研究你到底在和谁打擂台。</w:t>
      </w:r>
    </w:p>
    <w:p w14:paraId="0DDCFDA2" w14:textId="712328E2" w:rsidR="007C2458" w:rsidRDefault="007C2458">
      <w:pPr>
        <w:pStyle w:val="11"/>
        <w:ind w:firstLine="480"/>
        <w:jc w:val="both"/>
      </w:pPr>
      <w:r>
        <w:rPr>
          <w:rFonts w:ascii="宋体" w:hAnsi="宋体" w:hint="eastAsia"/>
        </w:rPr>
        <w:t>作为散户，既然已经知道自己在信息、速度、资金和心理纪律上处于弱势，就不应把自己想象成可以凭感觉战胜市场的天才，而应首先判断市场中谁更可能长期获胜。根据前文分析，机构并不直接创造生产力，却掌握交易媒介、信息传播、资金调度和流动性控制的关键位置。它们类似赌场中的庄家：赌场本身不生产财富，只负责组织赌局和分配存量财富；但赌场要覆盖成本并获取利润，就必然设计出对自己有利的规则与概率结构。对应到股市中，机构的优势不在于每一笔交易都一定正确，而在于它们长期拥有更高胜率、更低成本和更强纠错能力。因此，散户若想提高胜算，最重要的不是与机构对抗，而是尽可能站在机构的角度思考问题，理解机构如何构造一个能够收割散户的</w:t>
      </w:r>
      <w:r w:rsidR="00CF2E8B">
        <w:rPr>
          <w:rFonts w:ascii="宋体" w:hAnsi="宋体" w:hint="eastAsia"/>
        </w:rPr>
        <w:t>必胜</w:t>
      </w:r>
      <w:r>
        <w:rPr>
          <w:rFonts w:ascii="宋体" w:hAnsi="宋体" w:hint="eastAsia"/>
        </w:rPr>
        <w:t>策略，并避免自己成为这个策略的目标。</w:t>
      </w:r>
    </w:p>
    <w:p w14:paraId="4FC22E57" w14:textId="07127990" w:rsidR="008E155B" w:rsidRDefault="008E155B">
      <w:pPr>
        <w:pStyle w:val="11"/>
        <w:ind w:firstLine="480"/>
        <w:jc w:val="both"/>
      </w:pPr>
      <w:r>
        <w:rPr>
          <w:rFonts w:ascii="宋体" w:hAnsi="宋体" w:hint="eastAsia"/>
        </w:rPr>
        <w:lastRenderedPageBreak/>
        <w:t>但是，站在机构角度思考，并不意味着散户可以完美照搬机构的交易行为。散户没有机构的资金规模、信息渠道、交易速度、风控系统和政策资源，因此不可能真正像机构一样建仓、洗盘、对冲和撤退。散户真正能够学习的，不是机构的具体动作，而是机构制定策略时的思维方式：始终假定强势资金会为自己设计更高胜率、更低成本、更容易反复兑现的结构，并以“机构必然会设计出对自己有利的策略”作为判断市场行为的重要依据。一个更形象的比喻是“鲸鱼与藤壶”。机构以及国家发展的长期趋势，像是庞大的鲸鱼；普通散户则像附着在鲸鱼身上的藤壶。藤壶永远无法像鲸鱼一样具备逆流而动的强大能力，但它可以依附在鲸鱼创造出的顺流中生存。散户亦是如此：最合理的策略不是幻想自己成为鲸鱼，而是在不违背历史规律和市场规律的前提下，识别市场中真正具备势能的一方，顺势而为，跟随强势资金与长期大势所创造的流向，才有可能在波涛汹涌的市场大海中生存并实现盈利。当然，鲸鱼也会犯错；任何机构和资金集团最终都无法对抗更大的历史洋流。因此，散户不能盲目迷信机构，更不能只研究机构本身，而应当在判断产业趋势、政策方向、生产力变化和市场规律的基础上，选择跟随那些既拥有市场势力、又没有逆历史潮流而动的力量。</w:t>
      </w:r>
    </w:p>
    <w:p w14:paraId="4ECEAF04" w14:textId="77777777" w:rsidR="007C2458" w:rsidRDefault="007C2458">
      <w:pPr>
        <w:pStyle w:val="11"/>
        <w:spacing w:before="180" w:after="80"/>
        <w:ind w:firstLine="480"/>
        <w:jc w:val="both"/>
      </w:pPr>
      <w:r>
        <w:rPr>
          <w:rFonts w:ascii="宋体" w:hAnsi="宋体" w:hint="eastAsia"/>
          <w:color w:val="2F5496"/>
        </w:rPr>
        <w:t>（二）先识别交易主体：谁持仓、谁交易、谁提供媒介</w:t>
      </w:r>
    </w:p>
    <w:p w14:paraId="0DD68001" w14:textId="77777777" w:rsidR="007C2458" w:rsidRDefault="007C2458">
      <w:pPr>
        <w:pStyle w:val="11"/>
        <w:ind w:firstLine="480"/>
        <w:jc w:val="both"/>
      </w:pPr>
      <w:r>
        <w:rPr>
          <w:rFonts w:ascii="宋体" w:hAnsi="宋体" w:hint="eastAsia"/>
        </w:rPr>
        <w:t>具体交易之前，第一步不是看形态，也不是听消息，而是识别交易主体。你必须知道</w:t>
      </w:r>
      <w:proofErr w:type="gramStart"/>
      <w:r>
        <w:rPr>
          <w:rFonts w:ascii="宋体" w:hAnsi="宋体" w:hint="eastAsia"/>
        </w:rPr>
        <w:t>一只股票</w:t>
      </w:r>
      <w:proofErr w:type="gramEnd"/>
      <w:r>
        <w:rPr>
          <w:rFonts w:ascii="宋体" w:hAnsi="宋体" w:hint="eastAsia"/>
        </w:rPr>
        <w:t>中大致有哪些人：长期产业资本、控股股东、公募基金、私募基金、外资、量化资金、游资、融资盘、普通散户，以及做市商或券商通道资金。不同主体的持仓期限、收益目标、风险约束和交易方式完全不同。长期产业资本关心控制权和产业协同，不会轻易因为短期波动改变持仓；公募基金受排名和赎回压力影响，容易在风格切换时集中调仓；私募和游资更注重短期弹性，偏好题材、流动性和筹码集中度；量化资金则更多根据统计信号、波动率和流动性自动交易；散户通常信息滞后、纪律较弱，容易在情绪高点或低点集中进出。只有先判断当前价格主要由哪类主体推动，才可能判断这场博弈的真实对手是谁。</w:t>
      </w:r>
    </w:p>
    <w:p w14:paraId="03CE32C4" w14:textId="77777777" w:rsidR="007C2458" w:rsidRDefault="007C2458">
      <w:pPr>
        <w:pStyle w:val="11"/>
        <w:ind w:firstLine="480"/>
        <w:jc w:val="both"/>
      </w:pPr>
      <w:r>
        <w:rPr>
          <w:rFonts w:ascii="宋体" w:hAnsi="宋体" w:hint="eastAsia"/>
        </w:rPr>
        <w:t>第二步，是识别持仓结构与交易媒介。持仓高度集中但成交量很低，说明少数主体掌握筹码，价格可能被较小资金推动；持仓分散且换手率极高，说明短线资金和散户正在频繁换手，价格更容易受情绪支配。融资余额快速上升，意味着杠杆资金正在涌入，未来一旦下跌，强制平仓和止损会放大波动；期权、期货、融券、股指产品和场外衍生品的存在，则说明机构不仅可以通过现货获利，还可以通过波动率、方向性押注和跨市场对冲获利。换言之，散户看到的往往只是股票价格本身，机构看到的却是由现货、杠杆、衍生品、流动性和情绪共同组成的完整交易结构。</w:t>
      </w:r>
    </w:p>
    <w:p w14:paraId="37CCAA50" w14:textId="77777777" w:rsidR="007C2458" w:rsidRDefault="007C2458">
      <w:pPr>
        <w:pStyle w:val="11"/>
        <w:spacing w:before="180" w:after="80"/>
        <w:ind w:firstLine="480"/>
        <w:jc w:val="both"/>
      </w:pPr>
      <w:r>
        <w:rPr>
          <w:rFonts w:ascii="宋体" w:hAnsi="宋体" w:hint="eastAsia"/>
          <w:color w:val="2F5496"/>
        </w:rPr>
        <w:t>（三）识别最容易被机构利用的交易产品</w:t>
      </w:r>
    </w:p>
    <w:p w14:paraId="5FBDC87E" w14:textId="77777777" w:rsidR="007C2458" w:rsidRDefault="007C2458">
      <w:pPr>
        <w:pStyle w:val="11"/>
        <w:ind w:firstLine="480"/>
        <w:jc w:val="both"/>
      </w:pPr>
      <w:r>
        <w:rPr>
          <w:rFonts w:ascii="宋体" w:hAnsi="宋体" w:hint="eastAsia"/>
        </w:rPr>
        <w:t>并非所有交易产品都同样适合散户参与。越是高杠杆、高波动、强制止损、信息复杂、定价不透明的产品，越容易成为机构利用散户情绪和流动性缺陷的工具。第一类是高杠杆产品，例如融资融券、期货和带杠杆的结构化产品。它们放大收益的同时也放大</w:t>
      </w:r>
      <w:r>
        <w:rPr>
          <w:rFonts w:ascii="宋体" w:hAnsi="宋体" w:hint="eastAsia"/>
        </w:rPr>
        <w:lastRenderedPageBreak/>
        <w:t>亏损，并使散户在价格短暂偏离时被迫离场，而机构恰恰可以利用这种强制出清机制在低位接筹或在高位反向平仓。第二类是高度题材化、流动性有限的小盘股和概念股。它们的基本面背书较弱，价格更依赖片面信心，容易被资金推动形成示范效应，吸引散户追高后再集中出货。第三类是期权、涡轮、牛熊证等非线性衍生品。它们不仅赌方向，还赌时间、波动率和路径，普通散户即使判断方向正确，也可能因为时间价值损耗或波动率变化而亏损。第四类是成交清淡、信息披露不足或做市主导的市场品种。在这类产品中，价格看似连续，实际流动性很薄，机构通过报价和撤单即可明显影响散户的成交价格。</w:t>
      </w:r>
    </w:p>
    <w:p w14:paraId="36E8E544" w14:textId="77777777" w:rsidR="007C2458" w:rsidRDefault="007C2458">
      <w:pPr>
        <w:pStyle w:val="11"/>
        <w:ind w:firstLine="480"/>
        <w:jc w:val="both"/>
      </w:pPr>
      <w:r>
        <w:rPr>
          <w:rFonts w:ascii="宋体" w:hAnsi="宋体" w:hint="eastAsia"/>
        </w:rPr>
        <w:t>因此，散户在选择交易产品时，应优先回避那些必须同时战胜方向、时间、杠杆、流动性和机构报价机制的品种。一个可操作的原则是：如果你无法清楚说明谁是你的对手盘、对方为什么会亏、你为什么比对方更能承受波动，那么这笔交易就不应该做。真正适合普通投资者的，往往不是最刺激、最容易暴富的产品，而是背后有充分实物资产支撑、信息较透明、社会一致信心较强、交易机制较简单的产品。</w:t>
      </w:r>
    </w:p>
    <w:p w14:paraId="3EF6FA42" w14:textId="77777777" w:rsidR="007C2458" w:rsidRDefault="007C2458">
      <w:pPr>
        <w:pStyle w:val="11"/>
        <w:spacing w:before="180" w:after="80"/>
        <w:ind w:firstLine="480"/>
        <w:jc w:val="both"/>
      </w:pPr>
      <w:r>
        <w:rPr>
          <w:rFonts w:ascii="宋体" w:hAnsi="宋体" w:hint="eastAsia"/>
          <w:color w:val="2F5496"/>
        </w:rPr>
        <w:t>（四）交易原则：站在机构视角，避免成为被收割的一方</w:t>
      </w:r>
    </w:p>
    <w:p w14:paraId="11CA7E18" w14:textId="77777777" w:rsidR="007C2458" w:rsidRDefault="007C2458">
      <w:pPr>
        <w:pStyle w:val="11"/>
        <w:ind w:firstLine="480"/>
        <w:jc w:val="both"/>
      </w:pPr>
      <w:r>
        <w:rPr>
          <w:rFonts w:ascii="宋体" w:hAnsi="宋体" w:hint="eastAsia"/>
        </w:rPr>
        <w:t>如果机构的优势在于制造信心、诱导交易并反向兑现，那么散户的交易原则就应当反过来设计。第一，不在情绪最热、共识最拥挤的时候追高，因为这往往意味着片面信心已经扩散到散户层面，机构可能正在寻找退出流动性。第二，不在恐慌最强、流动性最差的时候被迫卖出，因为这往往正是机构利用止损盘和杠杆盘集中出清的时点。第三，不参与自己无法解释盈利来源的交易。如果一笔交易的上涨理由只是别人都会买，那么你必须进一步追问：别人为什么会继续买，谁会成为最后接盘者，机构是否已经提前布局。第四，把仓位、止损和持有期限写成规则，而不是交给临场情绪决定。散户无法控制市场，但至少可以控制自己不在机构最希望你交易的时候交易。</w:t>
      </w:r>
    </w:p>
    <w:p w14:paraId="7C52B416" w14:textId="77777777" w:rsidR="007C2458" w:rsidRDefault="007C2458">
      <w:pPr>
        <w:pStyle w:val="11"/>
        <w:ind w:firstLine="480"/>
        <w:jc w:val="both"/>
      </w:pPr>
      <w:r>
        <w:rPr>
          <w:rFonts w:ascii="宋体" w:hAnsi="宋体" w:hint="eastAsia"/>
        </w:rPr>
        <w:t>最稳妥的策略，是把交易分为两类：一类是长期站在社会一致信心一边，利用生产力增长和基本面改善带来的估值支撑，持有优质资产、行业龙头或宽基指数；另一类是短期识别片面信心造成的偏差，但只在自己确实能判断对手盘结构、资金路径和退出位置时参与。前者追求长期胜率，后者追求少数高把握机会。对普通散户而言，前者应当是主体，后者只能作为补充。如果一个策略要求你在信息、速度和资金上同时战胜机构，那么它从一开始就不适合散户。</w:t>
      </w:r>
    </w:p>
    <w:p w14:paraId="2A4FBC82" w14:textId="77777777" w:rsidR="007C2458" w:rsidRDefault="007C2458">
      <w:pPr>
        <w:pStyle w:val="11"/>
        <w:spacing w:before="180" w:after="80"/>
        <w:ind w:firstLine="480"/>
        <w:jc w:val="both"/>
      </w:pPr>
      <w:r>
        <w:rPr>
          <w:rFonts w:ascii="宋体" w:hAnsi="宋体" w:hint="eastAsia"/>
          <w:color w:val="2F5496"/>
        </w:rPr>
        <w:t>（五）结语：交易不是预测价格，而是判断信心由谁提供</w:t>
      </w:r>
    </w:p>
    <w:p w14:paraId="6181BD08" w14:textId="77777777" w:rsidR="007C2458" w:rsidRDefault="007C2458">
      <w:pPr>
        <w:pStyle w:val="11"/>
        <w:ind w:firstLine="480"/>
        <w:jc w:val="both"/>
      </w:pPr>
      <w:r>
        <w:rPr>
          <w:rFonts w:ascii="宋体" w:hAnsi="宋体" w:hint="eastAsia"/>
        </w:rPr>
        <w:t>归根结底，具体交易指导可以压缩成一句话：不要只问</w:t>
      </w:r>
      <w:proofErr w:type="gramStart"/>
      <w:r>
        <w:rPr>
          <w:rFonts w:ascii="宋体" w:hAnsi="宋体" w:hint="eastAsia"/>
        </w:rPr>
        <w:t>这只股票</w:t>
      </w:r>
      <w:proofErr w:type="gramEnd"/>
      <w:r>
        <w:rPr>
          <w:rFonts w:ascii="宋体" w:hAnsi="宋体" w:hint="eastAsia"/>
        </w:rPr>
        <w:t>会不会涨，而要问是谁在让它涨、谁在相信它会涨、谁有能力继续推高它、谁又会在最后承担亏损。股市不是一个孤立判断企业价值的场所，而是一个由不同交易主体围绕信心、信息和流动性展开的擂台。散户若想在这个擂台上生存，就必须先承认自己的弱势，再研究优势方的打法，最后选择要么与社会一致信心同行，要么在极少数能够看清对手盘的时刻参与局</w:t>
      </w:r>
      <w:r>
        <w:rPr>
          <w:rFonts w:ascii="宋体" w:hAnsi="宋体" w:hint="eastAsia"/>
        </w:rPr>
        <w:lastRenderedPageBreak/>
        <w:t>部信心的定价偏差。除此之外的多数交易，往往不是投资，而是在机构搭好的牌桌上替别人支付成本。</w:t>
      </w:r>
    </w:p>
    <w:p w14:paraId="4EA40145" w14:textId="77777777" w:rsidR="007C2458" w:rsidRDefault="007C2458"/>
    <w:p w14:paraId="52A1451C" w14:textId="77777777" w:rsidR="0057405C" w:rsidRPr="0057405C" w:rsidRDefault="0057405C"/>
    <w:sectPr w:rsidR="0057405C" w:rsidRPr="0057405C" w:rsidSect="00460725">
      <w:pgSz w:w="11906" w:h="16838"/>
      <w:pgMar w:top="1440" w:right="1440" w:bottom="1440" w:left="144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5D3FE" w14:textId="77777777" w:rsidR="009F5FAF" w:rsidRDefault="009F5FAF" w:rsidP="002955B1">
      <w:pPr>
        <w:spacing w:after="0" w:line="240" w:lineRule="auto"/>
      </w:pPr>
      <w:r>
        <w:separator/>
      </w:r>
    </w:p>
  </w:endnote>
  <w:endnote w:type="continuationSeparator" w:id="0">
    <w:p w14:paraId="6FD8A245" w14:textId="77777777" w:rsidR="009F5FAF" w:rsidRDefault="009F5FAF" w:rsidP="002955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ZWAdobeF">
    <w:panose1 w:val="00000000000000000000"/>
    <w:charset w:val="00"/>
    <w:family w:val="auto"/>
    <w:pitch w:val="variable"/>
    <w:sig w:usb0="20002A8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D48E3" w14:textId="77777777" w:rsidR="009F5FAF" w:rsidRDefault="009F5FAF" w:rsidP="002955B1">
      <w:pPr>
        <w:spacing w:after="0" w:line="240" w:lineRule="auto"/>
      </w:pPr>
      <w:r>
        <w:separator/>
      </w:r>
    </w:p>
  </w:footnote>
  <w:footnote w:type="continuationSeparator" w:id="0">
    <w:p w14:paraId="6B9DE8F7" w14:textId="77777777" w:rsidR="009F5FAF" w:rsidRDefault="009F5FAF" w:rsidP="002955B1">
      <w:pPr>
        <w:spacing w:after="0" w:line="240" w:lineRule="auto"/>
      </w:pPr>
      <w:r>
        <w:continuationSeparator/>
      </w:r>
    </w:p>
  </w:footnote>
  <w:footnote w:id="1">
    <w:p w14:paraId="691FABB7" w14:textId="77777777" w:rsidR="005E1313" w:rsidRPr="00887BB9" w:rsidRDefault="005E1313" w:rsidP="005E1313">
      <w:pPr>
        <w:pStyle w:val="af0"/>
      </w:pPr>
      <w:r>
        <w:rPr>
          <w:rStyle w:val="af2"/>
        </w:rPr>
        <w:t>*</w:t>
      </w:r>
      <w:r>
        <w:t xml:space="preserve"> </w:t>
      </w:r>
      <w:r>
        <w:t>赵东逸，北京大学国家发展研究院。电子邮箱：</w:t>
      </w:r>
      <w:hyperlink r:id="rId1" w:history="1">
        <w:r w:rsidRPr="00693402">
          <w:rPr>
            <w:rStyle w:val="af3"/>
          </w:rPr>
          <w:t>dyzhao2022@nsd.pku.edu.cn</w:t>
        </w:r>
      </w:hyperlink>
    </w:p>
  </w:footnote>
  <w:footnote w:id="2">
    <w:p w14:paraId="70F583E7" w14:textId="3AEBE4A9" w:rsidR="002955B1" w:rsidRDefault="002955B1">
      <w:pPr>
        <w:pStyle w:val="af0"/>
      </w:pPr>
      <w:r>
        <w:rPr>
          <w:rStyle w:val="af2"/>
        </w:rPr>
        <w:footnoteRef/>
      </w:r>
      <w:r>
        <w:t xml:space="preserve"> </w:t>
      </w:r>
      <w:r>
        <w:rPr>
          <w:rFonts w:hint="eastAsia"/>
        </w:rPr>
        <w:t>这个理论的背后有一个重要的假设：即这个国家的生产力是不断增长的，且他的股市能够较为准确的反应国家实际的生产力，而非沦为</w:t>
      </w:r>
      <w:r w:rsidR="00356CE1">
        <w:rPr>
          <w:rFonts w:hint="eastAsia"/>
        </w:rPr>
        <w:t>国家</w:t>
      </w:r>
      <w:r>
        <w:rPr>
          <w:rFonts w:hint="eastAsia"/>
        </w:rPr>
        <w:t>行政命令的</w:t>
      </w:r>
      <w:r w:rsidR="006A0767">
        <w:rPr>
          <w:rFonts w:hint="eastAsia"/>
        </w:rPr>
        <w:t>傀儡</w:t>
      </w:r>
      <w:r>
        <w:rPr>
          <w:rFonts w:hint="eastAsia"/>
        </w:rPr>
        <w:t>和</w:t>
      </w:r>
      <w:r w:rsidR="00915027">
        <w:rPr>
          <w:rFonts w:hint="eastAsia"/>
        </w:rPr>
        <w:t>上市公司的套利工具。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6C47FFE"/>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2E667216"/>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DCF2CF4E"/>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46FE0D0E"/>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19621460"/>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680AE746"/>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5460652A"/>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96B88E24"/>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5942907E"/>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21FC1B72"/>
    <w:lvl w:ilvl="0">
      <w:start w:val="1"/>
      <w:numFmt w:val="bullet"/>
      <w:pStyle w:val="a0"/>
      <w:lvlText w:val=""/>
      <w:lvlJc w:val="left"/>
      <w:pPr>
        <w:tabs>
          <w:tab w:val="num" w:pos="360"/>
        </w:tabs>
        <w:ind w:left="360" w:hangingChars="200" w:hanging="360"/>
      </w:pPr>
      <w:rPr>
        <w:rFonts w:ascii="Wingdings" w:hAnsi="Wingdings" w:hint="default"/>
      </w:rPr>
    </w:lvl>
  </w:abstractNum>
  <w:num w:numId="1" w16cid:durableId="587495175">
    <w:abstractNumId w:val="8"/>
  </w:num>
  <w:num w:numId="2" w16cid:durableId="403185589">
    <w:abstractNumId w:val="3"/>
  </w:num>
  <w:num w:numId="3" w16cid:durableId="917130544">
    <w:abstractNumId w:val="2"/>
  </w:num>
  <w:num w:numId="4" w16cid:durableId="2065055441">
    <w:abstractNumId w:val="1"/>
  </w:num>
  <w:num w:numId="5" w16cid:durableId="2058893450">
    <w:abstractNumId w:val="0"/>
  </w:num>
  <w:num w:numId="6" w16cid:durableId="262882845">
    <w:abstractNumId w:val="9"/>
  </w:num>
  <w:num w:numId="7" w16cid:durableId="762454700">
    <w:abstractNumId w:val="7"/>
  </w:num>
  <w:num w:numId="8" w16cid:durableId="1648778093">
    <w:abstractNumId w:val="6"/>
  </w:num>
  <w:num w:numId="9" w16cid:durableId="591551748">
    <w:abstractNumId w:val="5"/>
  </w:num>
  <w:num w:numId="10" w16cid:durableId="643391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C64"/>
    <w:rsid w:val="00003F4A"/>
    <w:rsid w:val="00004B05"/>
    <w:rsid w:val="00013ADA"/>
    <w:rsid w:val="00017C88"/>
    <w:rsid w:val="000244B2"/>
    <w:rsid w:val="00024536"/>
    <w:rsid w:val="000363D7"/>
    <w:rsid w:val="00041751"/>
    <w:rsid w:val="00041EFE"/>
    <w:rsid w:val="00066033"/>
    <w:rsid w:val="0006746D"/>
    <w:rsid w:val="000765FB"/>
    <w:rsid w:val="00077DB4"/>
    <w:rsid w:val="00082E5F"/>
    <w:rsid w:val="00083152"/>
    <w:rsid w:val="00094495"/>
    <w:rsid w:val="000A4B6A"/>
    <w:rsid w:val="000C6928"/>
    <w:rsid w:val="000E01A5"/>
    <w:rsid w:val="000E6230"/>
    <w:rsid w:val="000F7F9A"/>
    <w:rsid w:val="001153A7"/>
    <w:rsid w:val="00122C82"/>
    <w:rsid w:val="00131289"/>
    <w:rsid w:val="001355BA"/>
    <w:rsid w:val="0018027B"/>
    <w:rsid w:val="00185215"/>
    <w:rsid w:val="001864E5"/>
    <w:rsid w:val="00194C8D"/>
    <w:rsid w:val="001960A2"/>
    <w:rsid w:val="001A32CA"/>
    <w:rsid w:val="001A5F96"/>
    <w:rsid w:val="001B27C0"/>
    <w:rsid w:val="001D7D71"/>
    <w:rsid w:val="001E7588"/>
    <w:rsid w:val="00205F15"/>
    <w:rsid w:val="00210C0C"/>
    <w:rsid w:val="0029161B"/>
    <w:rsid w:val="0029258C"/>
    <w:rsid w:val="002955B1"/>
    <w:rsid w:val="002A28F7"/>
    <w:rsid w:val="002A4B1F"/>
    <w:rsid w:val="002B121D"/>
    <w:rsid w:val="002C5651"/>
    <w:rsid w:val="002E02F6"/>
    <w:rsid w:val="002E0D32"/>
    <w:rsid w:val="002F3094"/>
    <w:rsid w:val="003054D5"/>
    <w:rsid w:val="003308EB"/>
    <w:rsid w:val="00334DC9"/>
    <w:rsid w:val="00351519"/>
    <w:rsid w:val="003550D2"/>
    <w:rsid w:val="00356CE1"/>
    <w:rsid w:val="003712EC"/>
    <w:rsid w:val="003A4C5B"/>
    <w:rsid w:val="003B577A"/>
    <w:rsid w:val="00410B0E"/>
    <w:rsid w:val="00416AD6"/>
    <w:rsid w:val="0042029E"/>
    <w:rsid w:val="00432534"/>
    <w:rsid w:val="004346C2"/>
    <w:rsid w:val="00460725"/>
    <w:rsid w:val="004749EA"/>
    <w:rsid w:val="00475068"/>
    <w:rsid w:val="00496423"/>
    <w:rsid w:val="004A57E2"/>
    <w:rsid w:val="004B63B6"/>
    <w:rsid w:val="004C10F4"/>
    <w:rsid w:val="004D45E8"/>
    <w:rsid w:val="004D7D05"/>
    <w:rsid w:val="004E7364"/>
    <w:rsid w:val="004F5501"/>
    <w:rsid w:val="004F6A20"/>
    <w:rsid w:val="005066E5"/>
    <w:rsid w:val="0052078F"/>
    <w:rsid w:val="00521527"/>
    <w:rsid w:val="00527790"/>
    <w:rsid w:val="0057405C"/>
    <w:rsid w:val="0058061E"/>
    <w:rsid w:val="00581123"/>
    <w:rsid w:val="005A15CD"/>
    <w:rsid w:val="005B4845"/>
    <w:rsid w:val="005E1313"/>
    <w:rsid w:val="005E1AC8"/>
    <w:rsid w:val="00627D58"/>
    <w:rsid w:val="00631AFF"/>
    <w:rsid w:val="00634626"/>
    <w:rsid w:val="006A0767"/>
    <w:rsid w:val="00722565"/>
    <w:rsid w:val="0074755D"/>
    <w:rsid w:val="00777FD1"/>
    <w:rsid w:val="0079619F"/>
    <w:rsid w:val="007A0DAE"/>
    <w:rsid w:val="007A7CCC"/>
    <w:rsid w:val="007B61F1"/>
    <w:rsid w:val="007C2458"/>
    <w:rsid w:val="007D0FB3"/>
    <w:rsid w:val="007D63CE"/>
    <w:rsid w:val="0080596E"/>
    <w:rsid w:val="00825F07"/>
    <w:rsid w:val="0083719C"/>
    <w:rsid w:val="00837611"/>
    <w:rsid w:val="00844394"/>
    <w:rsid w:val="00873FCA"/>
    <w:rsid w:val="008834B9"/>
    <w:rsid w:val="008A1CF7"/>
    <w:rsid w:val="008A3A7D"/>
    <w:rsid w:val="008A6096"/>
    <w:rsid w:val="008B5649"/>
    <w:rsid w:val="008B6838"/>
    <w:rsid w:val="008C3E6B"/>
    <w:rsid w:val="008E155B"/>
    <w:rsid w:val="008F2AC2"/>
    <w:rsid w:val="008F72FA"/>
    <w:rsid w:val="009002EC"/>
    <w:rsid w:val="00907462"/>
    <w:rsid w:val="00915027"/>
    <w:rsid w:val="00926A93"/>
    <w:rsid w:val="0093031C"/>
    <w:rsid w:val="00937038"/>
    <w:rsid w:val="009452CB"/>
    <w:rsid w:val="0095664E"/>
    <w:rsid w:val="009A35A9"/>
    <w:rsid w:val="009A3927"/>
    <w:rsid w:val="009E2199"/>
    <w:rsid w:val="009F5FAF"/>
    <w:rsid w:val="009F6B62"/>
    <w:rsid w:val="00A0174F"/>
    <w:rsid w:val="00A25EEB"/>
    <w:rsid w:val="00A5469E"/>
    <w:rsid w:val="00A768B7"/>
    <w:rsid w:val="00AC2245"/>
    <w:rsid w:val="00AC4415"/>
    <w:rsid w:val="00AD2AFC"/>
    <w:rsid w:val="00B031B2"/>
    <w:rsid w:val="00B20C0E"/>
    <w:rsid w:val="00B22FD8"/>
    <w:rsid w:val="00B26CB5"/>
    <w:rsid w:val="00B337CF"/>
    <w:rsid w:val="00B4578B"/>
    <w:rsid w:val="00B551B1"/>
    <w:rsid w:val="00C01ECA"/>
    <w:rsid w:val="00C052FD"/>
    <w:rsid w:val="00C05861"/>
    <w:rsid w:val="00C06060"/>
    <w:rsid w:val="00C07C50"/>
    <w:rsid w:val="00C1098B"/>
    <w:rsid w:val="00C122B4"/>
    <w:rsid w:val="00C158CF"/>
    <w:rsid w:val="00C260C7"/>
    <w:rsid w:val="00C321BC"/>
    <w:rsid w:val="00C37752"/>
    <w:rsid w:val="00C550F6"/>
    <w:rsid w:val="00C73978"/>
    <w:rsid w:val="00CC33CF"/>
    <w:rsid w:val="00CD190D"/>
    <w:rsid w:val="00CF2E8B"/>
    <w:rsid w:val="00D00297"/>
    <w:rsid w:val="00D04015"/>
    <w:rsid w:val="00D22B18"/>
    <w:rsid w:val="00D33BE6"/>
    <w:rsid w:val="00D375B8"/>
    <w:rsid w:val="00D434AA"/>
    <w:rsid w:val="00D62DF1"/>
    <w:rsid w:val="00D90707"/>
    <w:rsid w:val="00DA4A51"/>
    <w:rsid w:val="00DA4F78"/>
    <w:rsid w:val="00DB2413"/>
    <w:rsid w:val="00DC2200"/>
    <w:rsid w:val="00DC3EE6"/>
    <w:rsid w:val="00E17488"/>
    <w:rsid w:val="00E339A4"/>
    <w:rsid w:val="00E3559C"/>
    <w:rsid w:val="00E360FF"/>
    <w:rsid w:val="00E44E83"/>
    <w:rsid w:val="00E70D6F"/>
    <w:rsid w:val="00E76F7D"/>
    <w:rsid w:val="00E91B77"/>
    <w:rsid w:val="00EC28C5"/>
    <w:rsid w:val="00EC5CC1"/>
    <w:rsid w:val="00ED3145"/>
    <w:rsid w:val="00EE3DFA"/>
    <w:rsid w:val="00EE443D"/>
    <w:rsid w:val="00EE5FB9"/>
    <w:rsid w:val="00EF47B1"/>
    <w:rsid w:val="00EF55F5"/>
    <w:rsid w:val="00F01095"/>
    <w:rsid w:val="00F0712B"/>
    <w:rsid w:val="00F15B93"/>
    <w:rsid w:val="00F4747E"/>
    <w:rsid w:val="00F55F8F"/>
    <w:rsid w:val="00F56D89"/>
    <w:rsid w:val="00F74194"/>
    <w:rsid w:val="00F77274"/>
    <w:rsid w:val="00F83106"/>
    <w:rsid w:val="00F86DC7"/>
    <w:rsid w:val="00FC562F"/>
    <w:rsid w:val="00FE3C64"/>
    <w:rsid w:val="00FF1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406BFB"/>
  <w15:chartTrackingRefBased/>
  <w15:docId w15:val="{30F8A4F5-1AAC-4862-B615-16C820BF4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pPr>
  </w:style>
  <w:style w:type="paragraph" w:styleId="1">
    <w:name w:val="heading 1"/>
    <w:basedOn w:val="a1"/>
    <w:next w:val="a1"/>
    <w:link w:val="10"/>
    <w:uiPriority w:val="9"/>
    <w:qFormat/>
    <w:rsid w:val="00FE3C6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1">
    <w:name w:val="heading 2"/>
    <w:basedOn w:val="a1"/>
    <w:next w:val="a1"/>
    <w:link w:val="22"/>
    <w:uiPriority w:val="9"/>
    <w:unhideWhenUsed/>
    <w:qFormat/>
    <w:rsid w:val="00FE3C6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1">
    <w:name w:val="heading 3"/>
    <w:basedOn w:val="a1"/>
    <w:next w:val="a1"/>
    <w:link w:val="32"/>
    <w:uiPriority w:val="9"/>
    <w:semiHidden/>
    <w:unhideWhenUsed/>
    <w:qFormat/>
    <w:rsid w:val="00FE3C6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1">
    <w:name w:val="heading 4"/>
    <w:basedOn w:val="a1"/>
    <w:next w:val="a1"/>
    <w:link w:val="42"/>
    <w:uiPriority w:val="9"/>
    <w:semiHidden/>
    <w:unhideWhenUsed/>
    <w:qFormat/>
    <w:rsid w:val="00FE3C64"/>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1">
    <w:name w:val="heading 5"/>
    <w:basedOn w:val="a1"/>
    <w:next w:val="a1"/>
    <w:link w:val="52"/>
    <w:uiPriority w:val="9"/>
    <w:semiHidden/>
    <w:unhideWhenUsed/>
    <w:qFormat/>
    <w:rsid w:val="00FE3C64"/>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1"/>
    <w:next w:val="a1"/>
    <w:link w:val="60"/>
    <w:uiPriority w:val="9"/>
    <w:semiHidden/>
    <w:unhideWhenUsed/>
    <w:qFormat/>
    <w:rsid w:val="00FE3C64"/>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1"/>
    <w:next w:val="a1"/>
    <w:link w:val="70"/>
    <w:uiPriority w:val="9"/>
    <w:semiHidden/>
    <w:unhideWhenUsed/>
    <w:qFormat/>
    <w:rsid w:val="00FE3C6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FE3C6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FE3C64"/>
    <w:pPr>
      <w:keepNext/>
      <w:keepLines/>
      <w:spacing w:after="0"/>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FE3C64"/>
    <w:rPr>
      <w:rFonts w:asciiTheme="majorHAnsi" w:eastAsiaTheme="majorEastAsia" w:hAnsiTheme="majorHAnsi" w:cstheme="majorBidi"/>
      <w:color w:val="2F5496" w:themeColor="accent1" w:themeShade="BF"/>
      <w:sz w:val="48"/>
      <w:szCs w:val="48"/>
    </w:rPr>
  </w:style>
  <w:style w:type="character" w:customStyle="1" w:styleId="22">
    <w:name w:val="标题 2 字符"/>
    <w:basedOn w:val="a2"/>
    <w:link w:val="21"/>
    <w:uiPriority w:val="9"/>
    <w:rsid w:val="00FE3C64"/>
    <w:rPr>
      <w:rFonts w:asciiTheme="majorHAnsi" w:eastAsiaTheme="majorEastAsia" w:hAnsiTheme="majorHAnsi" w:cstheme="majorBidi"/>
      <w:color w:val="2F5496" w:themeColor="accent1" w:themeShade="BF"/>
      <w:sz w:val="40"/>
      <w:szCs w:val="40"/>
    </w:rPr>
  </w:style>
  <w:style w:type="character" w:customStyle="1" w:styleId="32">
    <w:name w:val="标题 3 字符"/>
    <w:basedOn w:val="a2"/>
    <w:link w:val="31"/>
    <w:uiPriority w:val="9"/>
    <w:semiHidden/>
    <w:rsid w:val="00FE3C64"/>
    <w:rPr>
      <w:rFonts w:asciiTheme="majorHAnsi" w:eastAsiaTheme="majorEastAsia" w:hAnsiTheme="majorHAnsi" w:cstheme="majorBidi"/>
      <w:color w:val="2F5496" w:themeColor="accent1" w:themeShade="BF"/>
      <w:sz w:val="32"/>
      <w:szCs w:val="32"/>
    </w:rPr>
  </w:style>
  <w:style w:type="character" w:customStyle="1" w:styleId="42">
    <w:name w:val="标题 4 字符"/>
    <w:basedOn w:val="a2"/>
    <w:link w:val="41"/>
    <w:uiPriority w:val="9"/>
    <w:semiHidden/>
    <w:rsid w:val="00FE3C64"/>
    <w:rPr>
      <w:rFonts w:asciiTheme="minorHAnsi" w:eastAsiaTheme="minorEastAsia" w:hAnsiTheme="minorHAnsi" w:cstheme="majorBidi"/>
      <w:color w:val="2F5496" w:themeColor="accent1" w:themeShade="BF"/>
      <w:sz w:val="28"/>
      <w:szCs w:val="28"/>
    </w:rPr>
  </w:style>
  <w:style w:type="character" w:customStyle="1" w:styleId="52">
    <w:name w:val="标题 5 字符"/>
    <w:basedOn w:val="a2"/>
    <w:link w:val="51"/>
    <w:uiPriority w:val="9"/>
    <w:semiHidden/>
    <w:rsid w:val="00FE3C64"/>
    <w:rPr>
      <w:rFonts w:asciiTheme="minorHAnsi" w:eastAsiaTheme="minorEastAsia" w:hAnsiTheme="minorHAnsi" w:cstheme="majorBidi"/>
      <w:color w:val="2F5496" w:themeColor="accent1" w:themeShade="BF"/>
    </w:rPr>
  </w:style>
  <w:style w:type="character" w:customStyle="1" w:styleId="60">
    <w:name w:val="标题 6 字符"/>
    <w:basedOn w:val="a2"/>
    <w:link w:val="6"/>
    <w:uiPriority w:val="9"/>
    <w:semiHidden/>
    <w:rsid w:val="00FE3C64"/>
    <w:rPr>
      <w:rFonts w:asciiTheme="minorHAnsi" w:eastAsiaTheme="minorEastAsia" w:hAnsiTheme="minorHAnsi" w:cstheme="majorBidi"/>
      <w:b/>
      <w:bCs/>
      <w:color w:val="2F5496" w:themeColor="accent1" w:themeShade="BF"/>
    </w:rPr>
  </w:style>
  <w:style w:type="character" w:customStyle="1" w:styleId="70">
    <w:name w:val="标题 7 字符"/>
    <w:basedOn w:val="a2"/>
    <w:link w:val="7"/>
    <w:uiPriority w:val="9"/>
    <w:semiHidden/>
    <w:rsid w:val="00FE3C64"/>
    <w:rPr>
      <w:rFonts w:asciiTheme="minorHAnsi" w:eastAsiaTheme="minorEastAsia" w:hAnsiTheme="minorHAnsi" w:cstheme="majorBidi"/>
      <w:b/>
      <w:bCs/>
      <w:color w:val="595959" w:themeColor="text1" w:themeTint="A6"/>
    </w:rPr>
  </w:style>
  <w:style w:type="character" w:customStyle="1" w:styleId="80">
    <w:name w:val="标题 8 字符"/>
    <w:basedOn w:val="a2"/>
    <w:link w:val="8"/>
    <w:uiPriority w:val="9"/>
    <w:semiHidden/>
    <w:rsid w:val="00FE3C64"/>
    <w:rPr>
      <w:rFonts w:asciiTheme="minorHAnsi" w:eastAsiaTheme="minorEastAsia" w:hAnsiTheme="minorHAnsi" w:cstheme="majorBidi"/>
      <w:color w:val="595959" w:themeColor="text1" w:themeTint="A6"/>
    </w:rPr>
  </w:style>
  <w:style w:type="character" w:customStyle="1" w:styleId="90">
    <w:name w:val="标题 9 字符"/>
    <w:basedOn w:val="a2"/>
    <w:link w:val="9"/>
    <w:uiPriority w:val="9"/>
    <w:semiHidden/>
    <w:rsid w:val="00FE3C64"/>
    <w:rPr>
      <w:rFonts w:asciiTheme="minorHAnsi" w:eastAsiaTheme="majorEastAsia" w:hAnsiTheme="minorHAnsi" w:cstheme="majorBidi"/>
      <w:color w:val="595959" w:themeColor="text1" w:themeTint="A6"/>
    </w:rPr>
  </w:style>
  <w:style w:type="paragraph" w:styleId="a5">
    <w:name w:val="Title"/>
    <w:basedOn w:val="a1"/>
    <w:next w:val="a1"/>
    <w:link w:val="a6"/>
    <w:uiPriority w:val="10"/>
    <w:qFormat/>
    <w:rsid w:val="00FE3C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FE3C64"/>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FE3C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FE3C64"/>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FE3C64"/>
    <w:pPr>
      <w:spacing w:before="160"/>
      <w:jc w:val="center"/>
    </w:pPr>
    <w:rPr>
      <w:i/>
      <w:iCs/>
      <w:color w:val="404040" w:themeColor="text1" w:themeTint="BF"/>
    </w:rPr>
  </w:style>
  <w:style w:type="character" w:customStyle="1" w:styleId="aa">
    <w:name w:val="引用 字符"/>
    <w:basedOn w:val="a2"/>
    <w:link w:val="a9"/>
    <w:uiPriority w:val="29"/>
    <w:rsid w:val="00FE3C64"/>
    <w:rPr>
      <w:i/>
      <w:iCs/>
      <w:color w:val="404040" w:themeColor="text1" w:themeTint="BF"/>
    </w:rPr>
  </w:style>
  <w:style w:type="paragraph" w:styleId="ab">
    <w:name w:val="List Paragraph"/>
    <w:basedOn w:val="a1"/>
    <w:uiPriority w:val="34"/>
    <w:qFormat/>
    <w:rsid w:val="00FE3C64"/>
    <w:pPr>
      <w:ind w:left="720"/>
      <w:contextualSpacing/>
    </w:pPr>
  </w:style>
  <w:style w:type="character" w:styleId="ac">
    <w:name w:val="Intense Emphasis"/>
    <w:basedOn w:val="a2"/>
    <w:uiPriority w:val="21"/>
    <w:qFormat/>
    <w:rsid w:val="00FE3C64"/>
    <w:rPr>
      <w:i/>
      <w:iCs/>
      <w:color w:val="2F5496" w:themeColor="accent1" w:themeShade="BF"/>
    </w:rPr>
  </w:style>
  <w:style w:type="paragraph" w:styleId="ad">
    <w:name w:val="Intense Quote"/>
    <w:basedOn w:val="a1"/>
    <w:next w:val="a1"/>
    <w:link w:val="ae"/>
    <w:uiPriority w:val="30"/>
    <w:qFormat/>
    <w:rsid w:val="00FE3C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2"/>
    <w:link w:val="ad"/>
    <w:uiPriority w:val="30"/>
    <w:rsid w:val="00FE3C64"/>
    <w:rPr>
      <w:i/>
      <w:iCs/>
      <w:color w:val="2F5496" w:themeColor="accent1" w:themeShade="BF"/>
    </w:rPr>
  </w:style>
  <w:style w:type="character" w:styleId="af">
    <w:name w:val="Intense Reference"/>
    <w:basedOn w:val="a2"/>
    <w:uiPriority w:val="32"/>
    <w:qFormat/>
    <w:rsid w:val="00FE3C64"/>
    <w:rPr>
      <w:b/>
      <w:bCs/>
      <w:smallCaps/>
      <w:color w:val="2F5496" w:themeColor="accent1" w:themeShade="BF"/>
      <w:spacing w:val="5"/>
    </w:rPr>
  </w:style>
  <w:style w:type="paragraph" w:customStyle="1" w:styleId="11">
    <w:name w:val="正文1"/>
    <w:basedOn w:val="a1"/>
    <w:pPr>
      <w:widowControl/>
      <w:spacing w:line="276" w:lineRule="auto"/>
    </w:pPr>
    <w:rPr>
      <w:kern w:val="2"/>
      <w14:ligatures w14:val="standardContextual"/>
    </w:rPr>
  </w:style>
  <w:style w:type="paragraph" w:styleId="af0">
    <w:name w:val="footnote text"/>
    <w:basedOn w:val="a1"/>
    <w:link w:val="af1"/>
    <w:uiPriority w:val="99"/>
    <w:semiHidden/>
    <w:unhideWhenUsed/>
    <w:rsid w:val="002955B1"/>
    <w:pPr>
      <w:snapToGrid w:val="0"/>
    </w:pPr>
    <w:rPr>
      <w:sz w:val="18"/>
      <w:szCs w:val="18"/>
    </w:rPr>
  </w:style>
  <w:style w:type="character" w:customStyle="1" w:styleId="af1">
    <w:name w:val="脚注文本 字符"/>
    <w:basedOn w:val="a2"/>
    <w:link w:val="af0"/>
    <w:uiPriority w:val="99"/>
    <w:semiHidden/>
    <w:rsid w:val="002955B1"/>
    <w:rPr>
      <w:sz w:val="18"/>
      <w:szCs w:val="18"/>
    </w:rPr>
  </w:style>
  <w:style w:type="character" w:styleId="af2">
    <w:name w:val="footnote reference"/>
    <w:basedOn w:val="a2"/>
    <w:uiPriority w:val="99"/>
    <w:semiHidden/>
    <w:unhideWhenUsed/>
    <w:rsid w:val="002955B1"/>
    <w:rPr>
      <w:vertAlign w:val="superscript"/>
    </w:rPr>
  </w:style>
  <w:style w:type="character" w:styleId="af3">
    <w:name w:val="Hyperlink"/>
    <w:basedOn w:val="a2"/>
    <w:uiPriority w:val="99"/>
    <w:unhideWhenUsed/>
    <w:rsid w:val="00B031B2"/>
    <w:rPr>
      <w:color w:val="0563C1" w:themeColor="hyperlink"/>
      <w:u w:val="single"/>
    </w:rPr>
  </w:style>
  <w:style w:type="paragraph" w:styleId="HTML">
    <w:name w:val="HTML Address"/>
    <w:basedOn w:val="a1"/>
    <w:link w:val="HTML0"/>
    <w:uiPriority w:val="99"/>
    <w:semiHidden/>
    <w:unhideWhenUsed/>
    <w:rsid w:val="007B61F1"/>
    <w:rPr>
      <w:i/>
      <w:iCs/>
    </w:rPr>
  </w:style>
  <w:style w:type="character" w:customStyle="1" w:styleId="HTML0">
    <w:name w:val="HTML 地址 字符"/>
    <w:basedOn w:val="a2"/>
    <w:link w:val="HTML"/>
    <w:uiPriority w:val="99"/>
    <w:semiHidden/>
    <w:rsid w:val="007B61F1"/>
    <w:rPr>
      <w:i/>
      <w:iCs/>
    </w:rPr>
  </w:style>
  <w:style w:type="paragraph" w:styleId="HTML1">
    <w:name w:val="HTML Preformatted"/>
    <w:basedOn w:val="a1"/>
    <w:link w:val="HTML2"/>
    <w:uiPriority w:val="99"/>
    <w:semiHidden/>
    <w:unhideWhenUsed/>
    <w:rsid w:val="007B61F1"/>
    <w:rPr>
      <w:rFonts w:ascii="Courier New" w:hAnsi="Courier New" w:cs="Courier New"/>
      <w:sz w:val="20"/>
      <w:szCs w:val="20"/>
    </w:rPr>
  </w:style>
  <w:style w:type="character" w:customStyle="1" w:styleId="HTML2">
    <w:name w:val="HTML 预设格式 字符"/>
    <w:basedOn w:val="a2"/>
    <w:link w:val="HTML1"/>
    <w:uiPriority w:val="99"/>
    <w:semiHidden/>
    <w:rsid w:val="007B61F1"/>
    <w:rPr>
      <w:rFonts w:ascii="Courier New" w:hAnsi="Courier New" w:cs="Courier New"/>
      <w:sz w:val="20"/>
      <w:szCs w:val="20"/>
    </w:rPr>
  </w:style>
  <w:style w:type="paragraph" w:styleId="TOC1">
    <w:name w:val="toc 1"/>
    <w:basedOn w:val="a1"/>
    <w:next w:val="a1"/>
    <w:autoRedefine/>
    <w:uiPriority w:val="39"/>
    <w:semiHidden/>
    <w:unhideWhenUsed/>
    <w:rsid w:val="007B61F1"/>
  </w:style>
  <w:style w:type="paragraph" w:styleId="TOC2">
    <w:name w:val="toc 2"/>
    <w:basedOn w:val="a1"/>
    <w:next w:val="a1"/>
    <w:autoRedefine/>
    <w:uiPriority w:val="39"/>
    <w:semiHidden/>
    <w:unhideWhenUsed/>
    <w:rsid w:val="007B61F1"/>
    <w:pPr>
      <w:ind w:leftChars="200" w:left="420"/>
    </w:pPr>
  </w:style>
  <w:style w:type="paragraph" w:styleId="TOC3">
    <w:name w:val="toc 3"/>
    <w:basedOn w:val="a1"/>
    <w:next w:val="a1"/>
    <w:autoRedefine/>
    <w:uiPriority w:val="39"/>
    <w:semiHidden/>
    <w:unhideWhenUsed/>
    <w:rsid w:val="007B61F1"/>
    <w:pPr>
      <w:ind w:leftChars="400" w:left="840"/>
    </w:pPr>
  </w:style>
  <w:style w:type="paragraph" w:styleId="TOC4">
    <w:name w:val="toc 4"/>
    <w:basedOn w:val="a1"/>
    <w:next w:val="a1"/>
    <w:autoRedefine/>
    <w:uiPriority w:val="39"/>
    <w:semiHidden/>
    <w:unhideWhenUsed/>
    <w:rsid w:val="007B61F1"/>
    <w:pPr>
      <w:ind w:leftChars="600" w:left="1260"/>
    </w:pPr>
  </w:style>
  <w:style w:type="paragraph" w:styleId="TOC5">
    <w:name w:val="toc 5"/>
    <w:basedOn w:val="a1"/>
    <w:next w:val="a1"/>
    <w:autoRedefine/>
    <w:uiPriority w:val="39"/>
    <w:semiHidden/>
    <w:unhideWhenUsed/>
    <w:rsid w:val="007B61F1"/>
    <w:pPr>
      <w:ind w:leftChars="800" w:left="1680"/>
    </w:pPr>
  </w:style>
  <w:style w:type="paragraph" w:styleId="TOC6">
    <w:name w:val="toc 6"/>
    <w:basedOn w:val="a1"/>
    <w:next w:val="a1"/>
    <w:autoRedefine/>
    <w:uiPriority w:val="39"/>
    <w:semiHidden/>
    <w:unhideWhenUsed/>
    <w:rsid w:val="007B61F1"/>
    <w:pPr>
      <w:ind w:leftChars="1000" w:left="2100"/>
    </w:pPr>
  </w:style>
  <w:style w:type="paragraph" w:styleId="TOC7">
    <w:name w:val="toc 7"/>
    <w:basedOn w:val="a1"/>
    <w:next w:val="a1"/>
    <w:autoRedefine/>
    <w:uiPriority w:val="39"/>
    <w:semiHidden/>
    <w:unhideWhenUsed/>
    <w:rsid w:val="007B61F1"/>
    <w:pPr>
      <w:ind w:leftChars="1200" w:left="2520"/>
    </w:pPr>
  </w:style>
  <w:style w:type="paragraph" w:styleId="TOC8">
    <w:name w:val="toc 8"/>
    <w:basedOn w:val="a1"/>
    <w:next w:val="a1"/>
    <w:autoRedefine/>
    <w:uiPriority w:val="39"/>
    <w:semiHidden/>
    <w:unhideWhenUsed/>
    <w:rsid w:val="007B61F1"/>
    <w:pPr>
      <w:ind w:leftChars="1400" w:left="2940"/>
    </w:pPr>
  </w:style>
  <w:style w:type="paragraph" w:styleId="TOC9">
    <w:name w:val="toc 9"/>
    <w:basedOn w:val="a1"/>
    <w:next w:val="a1"/>
    <w:autoRedefine/>
    <w:uiPriority w:val="39"/>
    <w:semiHidden/>
    <w:unhideWhenUsed/>
    <w:rsid w:val="007B61F1"/>
    <w:pPr>
      <w:ind w:leftChars="1600" w:left="3360"/>
    </w:pPr>
  </w:style>
  <w:style w:type="paragraph" w:styleId="TOC">
    <w:name w:val="TOC Heading"/>
    <w:basedOn w:val="1"/>
    <w:next w:val="a1"/>
    <w:uiPriority w:val="39"/>
    <w:semiHidden/>
    <w:unhideWhenUsed/>
    <w:qFormat/>
    <w:rsid w:val="007B61F1"/>
    <w:pPr>
      <w:spacing w:before="340" w:after="330" w:line="578" w:lineRule="auto"/>
      <w:outlineLvl w:val="9"/>
    </w:pPr>
    <w:rPr>
      <w:rFonts w:ascii="Times New Roman" w:eastAsia="宋体" w:hAnsi="Times New Roman" w:cs="Times New Roman"/>
      <w:b/>
      <w:bCs/>
      <w:color w:val="auto"/>
      <w:kern w:val="44"/>
      <w:sz w:val="44"/>
      <w:szCs w:val="44"/>
    </w:rPr>
  </w:style>
  <w:style w:type="paragraph" w:styleId="af4">
    <w:name w:val="Salutation"/>
    <w:basedOn w:val="a1"/>
    <w:next w:val="a1"/>
    <w:link w:val="af5"/>
    <w:uiPriority w:val="99"/>
    <w:semiHidden/>
    <w:unhideWhenUsed/>
    <w:rsid w:val="007B61F1"/>
  </w:style>
  <w:style w:type="character" w:customStyle="1" w:styleId="af5">
    <w:name w:val="称呼 字符"/>
    <w:basedOn w:val="a2"/>
    <w:link w:val="af4"/>
    <w:uiPriority w:val="99"/>
    <w:semiHidden/>
    <w:rsid w:val="007B61F1"/>
  </w:style>
  <w:style w:type="paragraph" w:styleId="af6">
    <w:name w:val="Plain Text"/>
    <w:basedOn w:val="a1"/>
    <w:link w:val="af7"/>
    <w:uiPriority w:val="99"/>
    <w:semiHidden/>
    <w:unhideWhenUsed/>
    <w:rsid w:val="007B61F1"/>
    <w:rPr>
      <w:rFonts w:asciiTheme="minorEastAsia" w:eastAsiaTheme="minorEastAsia" w:hAnsi="Courier New" w:cs="Courier New"/>
    </w:rPr>
  </w:style>
  <w:style w:type="character" w:customStyle="1" w:styleId="af7">
    <w:name w:val="纯文本 字符"/>
    <w:basedOn w:val="a2"/>
    <w:link w:val="af6"/>
    <w:uiPriority w:val="99"/>
    <w:semiHidden/>
    <w:rsid w:val="007B61F1"/>
    <w:rPr>
      <w:rFonts w:asciiTheme="minorEastAsia" w:eastAsiaTheme="minorEastAsia" w:hAnsi="Courier New" w:cs="Courier New"/>
    </w:rPr>
  </w:style>
  <w:style w:type="paragraph" w:styleId="af8">
    <w:name w:val="E-mail Signature"/>
    <w:basedOn w:val="a1"/>
    <w:link w:val="af9"/>
    <w:uiPriority w:val="99"/>
    <w:semiHidden/>
    <w:unhideWhenUsed/>
    <w:rsid w:val="007B61F1"/>
  </w:style>
  <w:style w:type="character" w:customStyle="1" w:styleId="af9">
    <w:name w:val="电子邮件签名 字符"/>
    <w:basedOn w:val="a2"/>
    <w:link w:val="af8"/>
    <w:uiPriority w:val="99"/>
    <w:semiHidden/>
    <w:rsid w:val="007B61F1"/>
  </w:style>
  <w:style w:type="paragraph" w:styleId="afa">
    <w:name w:val="macro"/>
    <w:link w:val="afb"/>
    <w:uiPriority w:val="99"/>
    <w:semiHidden/>
    <w:unhideWhenUsed/>
    <w:rsid w:val="007B61F1"/>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240" w:lineRule="auto"/>
    </w:pPr>
    <w:rPr>
      <w:rFonts w:ascii="Courier New" w:hAnsi="Courier New" w:cs="Courier New"/>
    </w:rPr>
  </w:style>
  <w:style w:type="character" w:customStyle="1" w:styleId="afb">
    <w:name w:val="宏文本 字符"/>
    <w:basedOn w:val="a2"/>
    <w:link w:val="afa"/>
    <w:uiPriority w:val="99"/>
    <w:semiHidden/>
    <w:rsid w:val="007B61F1"/>
    <w:rPr>
      <w:rFonts w:ascii="Courier New" w:hAnsi="Courier New" w:cs="Courier New"/>
    </w:rPr>
  </w:style>
  <w:style w:type="paragraph" w:styleId="afc">
    <w:name w:val="envelope return"/>
    <w:basedOn w:val="a1"/>
    <w:uiPriority w:val="99"/>
    <w:semiHidden/>
    <w:unhideWhenUsed/>
    <w:rsid w:val="007B61F1"/>
    <w:pPr>
      <w:snapToGrid w:val="0"/>
    </w:pPr>
    <w:rPr>
      <w:rFonts w:asciiTheme="majorHAnsi" w:eastAsiaTheme="majorEastAsia" w:hAnsiTheme="majorHAnsi" w:cstheme="majorBidi"/>
    </w:rPr>
  </w:style>
  <w:style w:type="paragraph" w:styleId="afd">
    <w:name w:val="Closing"/>
    <w:basedOn w:val="a1"/>
    <w:link w:val="afe"/>
    <w:uiPriority w:val="99"/>
    <w:semiHidden/>
    <w:unhideWhenUsed/>
    <w:rsid w:val="007B61F1"/>
    <w:pPr>
      <w:ind w:leftChars="2100" w:left="100"/>
    </w:pPr>
  </w:style>
  <w:style w:type="character" w:customStyle="1" w:styleId="afe">
    <w:name w:val="结束语 字符"/>
    <w:basedOn w:val="a2"/>
    <w:link w:val="afd"/>
    <w:uiPriority w:val="99"/>
    <w:semiHidden/>
    <w:rsid w:val="007B61F1"/>
  </w:style>
  <w:style w:type="paragraph" w:styleId="aff">
    <w:name w:val="List"/>
    <w:basedOn w:val="a1"/>
    <w:uiPriority w:val="99"/>
    <w:semiHidden/>
    <w:unhideWhenUsed/>
    <w:rsid w:val="007B61F1"/>
    <w:pPr>
      <w:ind w:left="200" w:hangingChars="200" w:hanging="200"/>
      <w:contextualSpacing/>
    </w:pPr>
  </w:style>
  <w:style w:type="paragraph" w:styleId="23">
    <w:name w:val="List 2"/>
    <w:basedOn w:val="a1"/>
    <w:uiPriority w:val="99"/>
    <w:semiHidden/>
    <w:unhideWhenUsed/>
    <w:rsid w:val="007B61F1"/>
    <w:pPr>
      <w:ind w:leftChars="200" w:left="100" w:hangingChars="200" w:hanging="200"/>
      <w:contextualSpacing/>
    </w:pPr>
  </w:style>
  <w:style w:type="paragraph" w:styleId="33">
    <w:name w:val="List 3"/>
    <w:basedOn w:val="a1"/>
    <w:uiPriority w:val="99"/>
    <w:semiHidden/>
    <w:unhideWhenUsed/>
    <w:rsid w:val="007B61F1"/>
    <w:pPr>
      <w:ind w:leftChars="400" w:left="100" w:hangingChars="200" w:hanging="200"/>
      <w:contextualSpacing/>
    </w:pPr>
  </w:style>
  <w:style w:type="paragraph" w:styleId="43">
    <w:name w:val="List 4"/>
    <w:basedOn w:val="a1"/>
    <w:uiPriority w:val="99"/>
    <w:semiHidden/>
    <w:unhideWhenUsed/>
    <w:rsid w:val="007B61F1"/>
    <w:pPr>
      <w:ind w:leftChars="600" w:left="100" w:hangingChars="200" w:hanging="200"/>
      <w:contextualSpacing/>
    </w:pPr>
  </w:style>
  <w:style w:type="paragraph" w:styleId="53">
    <w:name w:val="List 5"/>
    <w:basedOn w:val="a1"/>
    <w:uiPriority w:val="99"/>
    <w:semiHidden/>
    <w:unhideWhenUsed/>
    <w:rsid w:val="007B61F1"/>
    <w:pPr>
      <w:ind w:leftChars="800" w:left="100" w:hangingChars="200" w:hanging="200"/>
      <w:contextualSpacing/>
    </w:pPr>
  </w:style>
  <w:style w:type="paragraph" w:styleId="a">
    <w:name w:val="List Number"/>
    <w:basedOn w:val="a1"/>
    <w:uiPriority w:val="99"/>
    <w:semiHidden/>
    <w:unhideWhenUsed/>
    <w:rsid w:val="007B61F1"/>
    <w:pPr>
      <w:numPr>
        <w:numId w:val="1"/>
      </w:numPr>
      <w:contextualSpacing/>
    </w:pPr>
  </w:style>
  <w:style w:type="paragraph" w:styleId="2">
    <w:name w:val="List Number 2"/>
    <w:basedOn w:val="a1"/>
    <w:uiPriority w:val="99"/>
    <w:semiHidden/>
    <w:unhideWhenUsed/>
    <w:rsid w:val="007B61F1"/>
    <w:pPr>
      <w:numPr>
        <w:numId w:val="2"/>
      </w:numPr>
      <w:contextualSpacing/>
    </w:pPr>
  </w:style>
  <w:style w:type="paragraph" w:styleId="3">
    <w:name w:val="List Number 3"/>
    <w:basedOn w:val="a1"/>
    <w:uiPriority w:val="99"/>
    <w:semiHidden/>
    <w:unhideWhenUsed/>
    <w:rsid w:val="007B61F1"/>
    <w:pPr>
      <w:numPr>
        <w:numId w:val="3"/>
      </w:numPr>
      <w:contextualSpacing/>
    </w:pPr>
  </w:style>
  <w:style w:type="paragraph" w:styleId="4">
    <w:name w:val="List Number 4"/>
    <w:basedOn w:val="a1"/>
    <w:uiPriority w:val="99"/>
    <w:semiHidden/>
    <w:unhideWhenUsed/>
    <w:rsid w:val="007B61F1"/>
    <w:pPr>
      <w:numPr>
        <w:numId w:val="4"/>
      </w:numPr>
      <w:contextualSpacing/>
    </w:pPr>
  </w:style>
  <w:style w:type="paragraph" w:styleId="5">
    <w:name w:val="List Number 5"/>
    <w:basedOn w:val="a1"/>
    <w:uiPriority w:val="99"/>
    <w:semiHidden/>
    <w:unhideWhenUsed/>
    <w:rsid w:val="007B61F1"/>
    <w:pPr>
      <w:numPr>
        <w:numId w:val="5"/>
      </w:numPr>
      <w:contextualSpacing/>
    </w:pPr>
  </w:style>
  <w:style w:type="paragraph" w:styleId="aff0">
    <w:name w:val="List Continue"/>
    <w:basedOn w:val="a1"/>
    <w:uiPriority w:val="99"/>
    <w:semiHidden/>
    <w:unhideWhenUsed/>
    <w:rsid w:val="007B61F1"/>
    <w:pPr>
      <w:spacing w:after="120"/>
      <w:ind w:leftChars="200" w:left="420"/>
      <w:contextualSpacing/>
    </w:pPr>
  </w:style>
  <w:style w:type="paragraph" w:styleId="24">
    <w:name w:val="List Continue 2"/>
    <w:basedOn w:val="a1"/>
    <w:uiPriority w:val="99"/>
    <w:semiHidden/>
    <w:unhideWhenUsed/>
    <w:rsid w:val="007B61F1"/>
    <w:pPr>
      <w:spacing w:after="120"/>
      <w:ind w:leftChars="400" w:left="840"/>
      <w:contextualSpacing/>
    </w:pPr>
  </w:style>
  <w:style w:type="paragraph" w:styleId="34">
    <w:name w:val="List Continue 3"/>
    <w:basedOn w:val="a1"/>
    <w:uiPriority w:val="99"/>
    <w:semiHidden/>
    <w:unhideWhenUsed/>
    <w:rsid w:val="007B61F1"/>
    <w:pPr>
      <w:spacing w:after="120"/>
      <w:ind w:leftChars="600" w:left="1260"/>
      <w:contextualSpacing/>
    </w:pPr>
  </w:style>
  <w:style w:type="paragraph" w:styleId="44">
    <w:name w:val="List Continue 4"/>
    <w:basedOn w:val="a1"/>
    <w:uiPriority w:val="99"/>
    <w:semiHidden/>
    <w:unhideWhenUsed/>
    <w:rsid w:val="007B61F1"/>
    <w:pPr>
      <w:spacing w:after="120"/>
      <w:ind w:leftChars="800" w:left="1680"/>
      <w:contextualSpacing/>
    </w:pPr>
  </w:style>
  <w:style w:type="paragraph" w:styleId="54">
    <w:name w:val="List Continue 5"/>
    <w:basedOn w:val="a1"/>
    <w:uiPriority w:val="99"/>
    <w:semiHidden/>
    <w:unhideWhenUsed/>
    <w:rsid w:val="007B61F1"/>
    <w:pPr>
      <w:spacing w:after="120"/>
      <w:ind w:leftChars="1000" w:left="2100"/>
      <w:contextualSpacing/>
    </w:pPr>
  </w:style>
  <w:style w:type="paragraph" w:styleId="a0">
    <w:name w:val="List Bullet"/>
    <w:basedOn w:val="a1"/>
    <w:uiPriority w:val="99"/>
    <w:semiHidden/>
    <w:unhideWhenUsed/>
    <w:rsid w:val="007B61F1"/>
    <w:pPr>
      <w:numPr>
        <w:numId w:val="6"/>
      </w:numPr>
      <w:contextualSpacing/>
    </w:pPr>
  </w:style>
  <w:style w:type="paragraph" w:styleId="20">
    <w:name w:val="List Bullet 2"/>
    <w:basedOn w:val="a1"/>
    <w:uiPriority w:val="99"/>
    <w:semiHidden/>
    <w:unhideWhenUsed/>
    <w:rsid w:val="007B61F1"/>
    <w:pPr>
      <w:numPr>
        <w:numId w:val="7"/>
      </w:numPr>
      <w:contextualSpacing/>
    </w:pPr>
  </w:style>
  <w:style w:type="paragraph" w:styleId="30">
    <w:name w:val="List Bullet 3"/>
    <w:basedOn w:val="a1"/>
    <w:uiPriority w:val="99"/>
    <w:semiHidden/>
    <w:unhideWhenUsed/>
    <w:rsid w:val="007B61F1"/>
    <w:pPr>
      <w:numPr>
        <w:numId w:val="8"/>
      </w:numPr>
      <w:contextualSpacing/>
    </w:pPr>
  </w:style>
  <w:style w:type="paragraph" w:styleId="40">
    <w:name w:val="List Bullet 4"/>
    <w:basedOn w:val="a1"/>
    <w:uiPriority w:val="99"/>
    <w:semiHidden/>
    <w:unhideWhenUsed/>
    <w:rsid w:val="007B61F1"/>
    <w:pPr>
      <w:numPr>
        <w:numId w:val="9"/>
      </w:numPr>
      <w:contextualSpacing/>
    </w:pPr>
  </w:style>
  <w:style w:type="paragraph" w:styleId="50">
    <w:name w:val="List Bullet 5"/>
    <w:basedOn w:val="a1"/>
    <w:uiPriority w:val="99"/>
    <w:semiHidden/>
    <w:unhideWhenUsed/>
    <w:rsid w:val="007B61F1"/>
    <w:pPr>
      <w:numPr>
        <w:numId w:val="10"/>
      </w:numPr>
      <w:contextualSpacing/>
    </w:pPr>
  </w:style>
  <w:style w:type="paragraph" w:styleId="aff1">
    <w:name w:val="Balloon Text"/>
    <w:basedOn w:val="a1"/>
    <w:link w:val="aff2"/>
    <w:uiPriority w:val="99"/>
    <w:semiHidden/>
    <w:unhideWhenUsed/>
    <w:rsid w:val="007B61F1"/>
    <w:pPr>
      <w:spacing w:after="0" w:line="240" w:lineRule="auto"/>
    </w:pPr>
    <w:rPr>
      <w:sz w:val="18"/>
      <w:szCs w:val="18"/>
    </w:rPr>
  </w:style>
  <w:style w:type="character" w:customStyle="1" w:styleId="aff2">
    <w:name w:val="批注框文本 字符"/>
    <w:basedOn w:val="a2"/>
    <w:link w:val="aff1"/>
    <w:uiPriority w:val="99"/>
    <w:semiHidden/>
    <w:rsid w:val="007B61F1"/>
    <w:rPr>
      <w:sz w:val="18"/>
      <w:szCs w:val="18"/>
    </w:rPr>
  </w:style>
  <w:style w:type="paragraph" w:styleId="aff3">
    <w:name w:val="annotation text"/>
    <w:basedOn w:val="a1"/>
    <w:link w:val="aff4"/>
    <w:uiPriority w:val="99"/>
    <w:semiHidden/>
    <w:unhideWhenUsed/>
    <w:rsid w:val="007B61F1"/>
  </w:style>
  <w:style w:type="character" w:customStyle="1" w:styleId="aff4">
    <w:name w:val="批注文字 字符"/>
    <w:basedOn w:val="a2"/>
    <w:link w:val="aff3"/>
    <w:uiPriority w:val="99"/>
    <w:semiHidden/>
    <w:rsid w:val="007B61F1"/>
  </w:style>
  <w:style w:type="paragraph" w:styleId="aff5">
    <w:name w:val="annotation subject"/>
    <w:basedOn w:val="aff3"/>
    <w:next w:val="aff3"/>
    <w:link w:val="aff6"/>
    <w:uiPriority w:val="99"/>
    <w:semiHidden/>
    <w:unhideWhenUsed/>
    <w:rsid w:val="007B61F1"/>
    <w:rPr>
      <w:b/>
      <w:bCs/>
    </w:rPr>
  </w:style>
  <w:style w:type="character" w:customStyle="1" w:styleId="aff6">
    <w:name w:val="批注主题 字符"/>
    <w:basedOn w:val="aff4"/>
    <w:link w:val="aff5"/>
    <w:uiPriority w:val="99"/>
    <w:semiHidden/>
    <w:rsid w:val="007B61F1"/>
    <w:rPr>
      <w:b/>
      <w:bCs/>
    </w:rPr>
  </w:style>
  <w:style w:type="paragraph" w:styleId="aff7">
    <w:name w:val="Normal (Web)"/>
    <w:basedOn w:val="a1"/>
    <w:uiPriority w:val="99"/>
    <w:semiHidden/>
    <w:unhideWhenUsed/>
    <w:rsid w:val="007B61F1"/>
  </w:style>
  <w:style w:type="paragraph" w:styleId="aff8">
    <w:name w:val="Signature"/>
    <w:basedOn w:val="a1"/>
    <w:link w:val="aff9"/>
    <w:uiPriority w:val="99"/>
    <w:semiHidden/>
    <w:unhideWhenUsed/>
    <w:rsid w:val="007B61F1"/>
    <w:pPr>
      <w:ind w:leftChars="2100" w:left="100"/>
    </w:pPr>
  </w:style>
  <w:style w:type="character" w:customStyle="1" w:styleId="aff9">
    <w:name w:val="签名 字符"/>
    <w:basedOn w:val="a2"/>
    <w:link w:val="aff8"/>
    <w:uiPriority w:val="99"/>
    <w:semiHidden/>
    <w:rsid w:val="007B61F1"/>
  </w:style>
  <w:style w:type="paragraph" w:styleId="affa">
    <w:name w:val="Date"/>
    <w:basedOn w:val="a1"/>
    <w:next w:val="a1"/>
    <w:link w:val="affb"/>
    <w:uiPriority w:val="99"/>
    <w:semiHidden/>
    <w:unhideWhenUsed/>
    <w:rsid w:val="007B61F1"/>
    <w:pPr>
      <w:ind w:leftChars="2500" w:left="100"/>
    </w:pPr>
  </w:style>
  <w:style w:type="character" w:customStyle="1" w:styleId="affb">
    <w:name w:val="日期 字符"/>
    <w:basedOn w:val="a2"/>
    <w:link w:val="affa"/>
    <w:uiPriority w:val="99"/>
    <w:semiHidden/>
    <w:rsid w:val="007B61F1"/>
  </w:style>
  <w:style w:type="paragraph" w:styleId="affc">
    <w:name w:val="envelope address"/>
    <w:basedOn w:val="a1"/>
    <w:uiPriority w:val="99"/>
    <w:semiHidden/>
    <w:unhideWhenUsed/>
    <w:rsid w:val="007B61F1"/>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affd">
    <w:name w:val="Bibliography"/>
    <w:basedOn w:val="a1"/>
    <w:next w:val="a1"/>
    <w:uiPriority w:val="37"/>
    <w:semiHidden/>
    <w:unhideWhenUsed/>
    <w:rsid w:val="007B61F1"/>
  </w:style>
  <w:style w:type="paragraph" w:styleId="12">
    <w:name w:val="index 1"/>
    <w:basedOn w:val="a1"/>
    <w:next w:val="a1"/>
    <w:autoRedefine/>
    <w:uiPriority w:val="99"/>
    <w:semiHidden/>
    <w:unhideWhenUsed/>
    <w:rsid w:val="007B61F1"/>
  </w:style>
  <w:style w:type="paragraph" w:styleId="25">
    <w:name w:val="index 2"/>
    <w:basedOn w:val="a1"/>
    <w:next w:val="a1"/>
    <w:autoRedefine/>
    <w:uiPriority w:val="99"/>
    <w:semiHidden/>
    <w:unhideWhenUsed/>
    <w:rsid w:val="007B61F1"/>
    <w:pPr>
      <w:ind w:leftChars="200" w:left="200"/>
    </w:pPr>
  </w:style>
  <w:style w:type="paragraph" w:styleId="35">
    <w:name w:val="index 3"/>
    <w:basedOn w:val="a1"/>
    <w:next w:val="a1"/>
    <w:autoRedefine/>
    <w:uiPriority w:val="99"/>
    <w:semiHidden/>
    <w:unhideWhenUsed/>
    <w:rsid w:val="007B61F1"/>
    <w:pPr>
      <w:ind w:leftChars="400" w:left="400"/>
    </w:pPr>
  </w:style>
  <w:style w:type="paragraph" w:styleId="45">
    <w:name w:val="index 4"/>
    <w:basedOn w:val="a1"/>
    <w:next w:val="a1"/>
    <w:autoRedefine/>
    <w:uiPriority w:val="99"/>
    <w:semiHidden/>
    <w:unhideWhenUsed/>
    <w:rsid w:val="007B61F1"/>
    <w:pPr>
      <w:ind w:leftChars="600" w:left="600"/>
    </w:pPr>
  </w:style>
  <w:style w:type="paragraph" w:styleId="55">
    <w:name w:val="index 5"/>
    <w:basedOn w:val="a1"/>
    <w:next w:val="a1"/>
    <w:autoRedefine/>
    <w:uiPriority w:val="99"/>
    <w:semiHidden/>
    <w:unhideWhenUsed/>
    <w:rsid w:val="007B61F1"/>
    <w:pPr>
      <w:ind w:leftChars="800" w:left="800"/>
    </w:pPr>
  </w:style>
  <w:style w:type="paragraph" w:styleId="61">
    <w:name w:val="index 6"/>
    <w:basedOn w:val="a1"/>
    <w:next w:val="a1"/>
    <w:autoRedefine/>
    <w:uiPriority w:val="99"/>
    <w:semiHidden/>
    <w:unhideWhenUsed/>
    <w:rsid w:val="007B61F1"/>
    <w:pPr>
      <w:ind w:leftChars="1000" w:left="1000"/>
    </w:pPr>
  </w:style>
  <w:style w:type="paragraph" w:styleId="71">
    <w:name w:val="index 7"/>
    <w:basedOn w:val="a1"/>
    <w:next w:val="a1"/>
    <w:autoRedefine/>
    <w:uiPriority w:val="99"/>
    <w:semiHidden/>
    <w:unhideWhenUsed/>
    <w:rsid w:val="007B61F1"/>
    <w:pPr>
      <w:ind w:leftChars="1200" w:left="1200"/>
    </w:pPr>
  </w:style>
  <w:style w:type="paragraph" w:styleId="81">
    <w:name w:val="index 8"/>
    <w:basedOn w:val="a1"/>
    <w:next w:val="a1"/>
    <w:autoRedefine/>
    <w:uiPriority w:val="99"/>
    <w:semiHidden/>
    <w:unhideWhenUsed/>
    <w:rsid w:val="007B61F1"/>
    <w:pPr>
      <w:ind w:leftChars="1400" w:left="1400"/>
    </w:pPr>
  </w:style>
  <w:style w:type="paragraph" w:styleId="91">
    <w:name w:val="index 9"/>
    <w:basedOn w:val="a1"/>
    <w:next w:val="a1"/>
    <w:autoRedefine/>
    <w:uiPriority w:val="99"/>
    <w:semiHidden/>
    <w:unhideWhenUsed/>
    <w:rsid w:val="007B61F1"/>
    <w:pPr>
      <w:ind w:leftChars="1600" w:left="1600"/>
    </w:pPr>
  </w:style>
  <w:style w:type="paragraph" w:styleId="affe">
    <w:name w:val="index heading"/>
    <w:basedOn w:val="a1"/>
    <w:next w:val="12"/>
    <w:uiPriority w:val="99"/>
    <w:semiHidden/>
    <w:unhideWhenUsed/>
    <w:rsid w:val="007B61F1"/>
    <w:rPr>
      <w:rFonts w:asciiTheme="majorHAnsi" w:eastAsiaTheme="majorEastAsia" w:hAnsiTheme="majorHAnsi" w:cstheme="majorBidi"/>
      <w:b/>
      <w:bCs/>
    </w:rPr>
  </w:style>
  <w:style w:type="paragraph" w:styleId="afff">
    <w:name w:val="caption"/>
    <w:basedOn w:val="a1"/>
    <w:next w:val="a1"/>
    <w:uiPriority w:val="35"/>
    <w:semiHidden/>
    <w:unhideWhenUsed/>
    <w:qFormat/>
    <w:rsid w:val="007B61F1"/>
    <w:rPr>
      <w:rFonts w:asciiTheme="majorHAnsi" w:eastAsia="黑体" w:hAnsiTheme="majorHAnsi" w:cstheme="majorBidi"/>
      <w:sz w:val="20"/>
      <w:szCs w:val="20"/>
    </w:rPr>
  </w:style>
  <w:style w:type="paragraph" w:styleId="afff0">
    <w:name w:val="table of figures"/>
    <w:basedOn w:val="a1"/>
    <w:next w:val="a1"/>
    <w:uiPriority w:val="99"/>
    <w:semiHidden/>
    <w:unhideWhenUsed/>
    <w:rsid w:val="007B61F1"/>
    <w:pPr>
      <w:ind w:leftChars="200" w:left="200" w:hangingChars="200" w:hanging="200"/>
    </w:pPr>
  </w:style>
  <w:style w:type="paragraph" w:styleId="afff1">
    <w:name w:val="endnote text"/>
    <w:basedOn w:val="a1"/>
    <w:link w:val="afff2"/>
    <w:uiPriority w:val="99"/>
    <w:semiHidden/>
    <w:unhideWhenUsed/>
    <w:rsid w:val="007B61F1"/>
    <w:pPr>
      <w:snapToGrid w:val="0"/>
    </w:pPr>
  </w:style>
  <w:style w:type="character" w:customStyle="1" w:styleId="afff2">
    <w:name w:val="尾注文本 字符"/>
    <w:basedOn w:val="a2"/>
    <w:link w:val="afff1"/>
    <w:uiPriority w:val="99"/>
    <w:semiHidden/>
    <w:rsid w:val="007B61F1"/>
  </w:style>
  <w:style w:type="paragraph" w:styleId="afff3">
    <w:name w:val="Block Text"/>
    <w:basedOn w:val="a1"/>
    <w:uiPriority w:val="99"/>
    <w:semiHidden/>
    <w:unhideWhenUsed/>
    <w:rsid w:val="007B61F1"/>
    <w:pPr>
      <w:spacing w:after="120"/>
      <w:ind w:leftChars="700" w:left="1440" w:rightChars="700" w:right="1440"/>
    </w:pPr>
  </w:style>
  <w:style w:type="paragraph" w:styleId="afff4">
    <w:name w:val="Document Map"/>
    <w:basedOn w:val="a1"/>
    <w:link w:val="afff5"/>
    <w:uiPriority w:val="99"/>
    <w:semiHidden/>
    <w:unhideWhenUsed/>
    <w:rsid w:val="007B61F1"/>
    <w:rPr>
      <w:rFonts w:ascii="Microsoft YaHei UI" w:eastAsia="Microsoft YaHei UI"/>
      <w:sz w:val="18"/>
      <w:szCs w:val="18"/>
    </w:rPr>
  </w:style>
  <w:style w:type="character" w:customStyle="1" w:styleId="afff5">
    <w:name w:val="文档结构图 字符"/>
    <w:basedOn w:val="a2"/>
    <w:link w:val="afff4"/>
    <w:uiPriority w:val="99"/>
    <w:semiHidden/>
    <w:rsid w:val="007B61F1"/>
    <w:rPr>
      <w:rFonts w:ascii="Microsoft YaHei UI" w:eastAsia="Microsoft YaHei UI"/>
      <w:sz w:val="18"/>
      <w:szCs w:val="18"/>
    </w:rPr>
  </w:style>
  <w:style w:type="paragraph" w:styleId="afff6">
    <w:name w:val="No Spacing"/>
    <w:uiPriority w:val="1"/>
    <w:qFormat/>
    <w:rsid w:val="007B61F1"/>
    <w:pPr>
      <w:widowControl w:val="0"/>
      <w:spacing w:after="0" w:line="240" w:lineRule="auto"/>
    </w:pPr>
  </w:style>
  <w:style w:type="paragraph" w:styleId="afff7">
    <w:name w:val="Message Header"/>
    <w:basedOn w:val="a1"/>
    <w:link w:val="afff8"/>
    <w:uiPriority w:val="99"/>
    <w:semiHidden/>
    <w:unhideWhenUsed/>
    <w:rsid w:val="007B61F1"/>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character" w:customStyle="1" w:styleId="afff8">
    <w:name w:val="信息标题 字符"/>
    <w:basedOn w:val="a2"/>
    <w:link w:val="afff7"/>
    <w:uiPriority w:val="99"/>
    <w:semiHidden/>
    <w:rsid w:val="007B61F1"/>
    <w:rPr>
      <w:rFonts w:asciiTheme="majorHAnsi" w:eastAsiaTheme="majorEastAsia" w:hAnsiTheme="majorHAnsi" w:cstheme="majorBidi"/>
      <w:shd w:val="pct20" w:color="auto" w:fill="auto"/>
    </w:rPr>
  </w:style>
  <w:style w:type="paragraph" w:styleId="afff9">
    <w:name w:val="footer"/>
    <w:basedOn w:val="a1"/>
    <w:link w:val="afffa"/>
    <w:uiPriority w:val="99"/>
    <w:unhideWhenUsed/>
    <w:rsid w:val="007B61F1"/>
    <w:pPr>
      <w:tabs>
        <w:tab w:val="center" w:pos="4153"/>
        <w:tab w:val="right" w:pos="8306"/>
      </w:tabs>
      <w:snapToGrid w:val="0"/>
      <w:spacing w:line="240" w:lineRule="auto"/>
    </w:pPr>
    <w:rPr>
      <w:sz w:val="18"/>
      <w:szCs w:val="18"/>
    </w:rPr>
  </w:style>
  <w:style w:type="character" w:customStyle="1" w:styleId="afffa">
    <w:name w:val="页脚 字符"/>
    <w:basedOn w:val="a2"/>
    <w:link w:val="afff9"/>
    <w:uiPriority w:val="99"/>
    <w:rsid w:val="007B61F1"/>
    <w:rPr>
      <w:sz w:val="18"/>
      <w:szCs w:val="18"/>
    </w:rPr>
  </w:style>
  <w:style w:type="paragraph" w:styleId="afffb">
    <w:name w:val="header"/>
    <w:basedOn w:val="a1"/>
    <w:link w:val="afffc"/>
    <w:uiPriority w:val="99"/>
    <w:unhideWhenUsed/>
    <w:rsid w:val="007B61F1"/>
    <w:pPr>
      <w:tabs>
        <w:tab w:val="center" w:pos="4153"/>
        <w:tab w:val="right" w:pos="8306"/>
      </w:tabs>
      <w:snapToGrid w:val="0"/>
      <w:spacing w:line="240" w:lineRule="auto"/>
      <w:jc w:val="center"/>
    </w:pPr>
    <w:rPr>
      <w:sz w:val="18"/>
      <w:szCs w:val="18"/>
    </w:rPr>
  </w:style>
  <w:style w:type="character" w:customStyle="1" w:styleId="afffc">
    <w:name w:val="页眉 字符"/>
    <w:basedOn w:val="a2"/>
    <w:link w:val="afffb"/>
    <w:uiPriority w:val="99"/>
    <w:rsid w:val="007B61F1"/>
    <w:rPr>
      <w:sz w:val="18"/>
      <w:szCs w:val="18"/>
    </w:rPr>
  </w:style>
  <w:style w:type="paragraph" w:styleId="afffd">
    <w:name w:val="table of authorities"/>
    <w:basedOn w:val="a1"/>
    <w:next w:val="a1"/>
    <w:uiPriority w:val="99"/>
    <w:semiHidden/>
    <w:unhideWhenUsed/>
    <w:rsid w:val="007B61F1"/>
    <w:pPr>
      <w:ind w:leftChars="200" w:left="420"/>
    </w:pPr>
  </w:style>
  <w:style w:type="paragraph" w:styleId="afffe">
    <w:name w:val="toa heading"/>
    <w:basedOn w:val="a1"/>
    <w:next w:val="a1"/>
    <w:uiPriority w:val="99"/>
    <w:semiHidden/>
    <w:unhideWhenUsed/>
    <w:rsid w:val="007B61F1"/>
    <w:pPr>
      <w:spacing w:before="120"/>
    </w:pPr>
    <w:rPr>
      <w:rFonts w:asciiTheme="majorHAnsi" w:eastAsiaTheme="majorEastAsia" w:hAnsiTheme="majorHAnsi" w:cstheme="majorBidi"/>
    </w:rPr>
  </w:style>
  <w:style w:type="paragraph" w:styleId="affff">
    <w:name w:val="Normal Indent"/>
    <w:basedOn w:val="a1"/>
    <w:uiPriority w:val="99"/>
    <w:semiHidden/>
    <w:unhideWhenUsed/>
    <w:rsid w:val="007B61F1"/>
    <w:pPr>
      <w:ind w:firstLineChars="200" w:firstLine="420"/>
    </w:pPr>
  </w:style>
  <w:style w:type="paragraph" w:styleId="affff0">
    <w:name w:val="Body Text"/>
    <w:basedOn w:val="a1"/>
    <w:link w:val="affff1"/>
    <w:uiPriority w:val="99"/>
    <w:semiHidden/>
    <w:unhideWhenUsed/>
    <w:rsid w:val="007B61F1"/>
    <w:pPr>
      <w:spacing w:after="120"/>
    </w:pPr>
  </w:style>
  <w:style w:type="character" w:customStyle="1" w:styleId="affff1">
    <w:name w:val="正文文本 字符"/>
    <w:basedOn w:val="a2"/>
    <w:link w:val="affff0"/>
    <w:uiPriority w:val="99"/>
    <w:semiHidden/>
    <w:rsid w:val="007B61F1"/>
  </w:style>
  <w:style w:type="paragraph" w:styleId="26">
    <w:name w:val="Body Text 2"/>
    <w:basedOn w:val="a1"/>
    <w:link w:val="27"/>
    <w:uiPriority w:val="99"/>
    <w:semiHidden/>
    <w:unhideWhenUsed/>
    <w:rsid w:val="007B61F1"/>
    <w:pPr>
      <w:spacing w:after="120" w:line="480" w:lineRule="auto"/>
    </w:pPr>
  </w:style>
  <w:style w:type="character" w:customStyle="1" w:styleId="27">
    <w:name w:val="正文文本 2 字符"/>
    <w:basedOn w:val="a2"/>
    <w:link w:val="26"/>
    <w:uiPriority w:val="99"/>
    <w:semiHidden/>
    <w:rsid w:val="007B61F1"/>
  </w:style>
  <w:style w:type="paragraph" w:styleId="36">
    <w:name w:val="Body Text 3"/>
    <w:basedOn w:val="a1"/>
    <w:link w:val="37"/>
    <w:uiPriority w:val="99"/>
    <w:semiHidden/>
    <w:unhideWhenUsed/>
    <w:rsid w:val="007B61F1"/>
    <w:pPr>
      <w:spacing w:after="120"/>
    </w:pPr>
    <w:rPr>
      <w:sz w:val="16"/>
      <w:szCs w:val="16"/>
    </w:rPr>
  </w:style>
  <w:style w:type="character" w:customStyle="1" w:styleId="37">
    <w:name w:val="正文文本 3 字符"/>
    <w:basedOn w:val="a2"/>
    <w:link w:val="36"/>
    <w:uiPriority w:val="99"/>
    <w:semiHidden/>
    <w:rsid w:val="007B61F1"/>
    <w:rPr>
      <w:sz w:val="16"/>
      <w:szCs w:val="16"/>
    </w:rPr>
  </w:style>
  <w:style w:type="paragraph" w:styleId="affff2">
    <w:name w:val="Body Text First Indent"/>
    <w:basedOn w:val="affff0"/>
    <w:link w:val="affff3"/>
    <w:uiPriority w:val="99"/>
    <w:semiHidden/>
    <w:unhideWhenUsed/>
    <w:rsid w:val="007B61F1"/>
    <w:pPr>
      <w:ind w:firstLineChars="100" w:firstLine="420"/>
    </w:pPr>
  </w:style>
  <w:style w:type="character" w:customStyle="1" w:styleId="affff3">
    <w:name w:val="正文文本首行缩进 字符"/>
    <w:basedOn w:val="affff1"/>
    <w:link w:val="affff2"/>
    <w:uiPriority w:val="99"/>
    <w:semiHidden/>
    <w:rsid w:val="007B61F1"/>
  </w:style>
  <w:style w:type="paragraph" w:styleId="affff4">
    <w:name w:val="Body Text Indent"/>
    <w:basedOn w:val="a1"/>
    <w:link w:val="affff5"/>
    <w:uiPriority w:val="99"/>
    <w:semiHidden/>
    <w:unhideWhenUsed/>
    <w:rsid w:val="007B61F1"/>
    <w:pPr>
      <w:spacing w:after="120"/>
      <w:ind w:leftChars="200" w:left="420"/>
    </w:pPr>
  </w:style>
  <w:style w:type="character" w:customStyle="1" w:styleId="affff5">
    <w:name w:val="正文文本缩进 字符"/>
    <w:basedOn w:val="a2"/>
    <w:link w:val="affff4"/>
    <w:uiPriority w:val="99"/>
    <w:semiHidden/>
    <w:rsid w:val="007B61F1"/>
  </w:style>
  <w:style w:type="paragraph" w:styleId="28">
    <w:name w:val="Body Text First Indent 2"/>
    <w:basedOn w:val="affff4"/>
    <w:link w:val="29"/>
    <w:uiPriority w:val="99"/>
    <w:semiHidden/>
    <w:unhideWhenUsed/>
    <w:rsid w:val="007B61F1"/>
    <w:pPr>
      <w:ind w:firstLineChars="200" w:firstLine="420"/>
    </w:pPr>
  </w:style>
  <w:style w:type="character" w:customStyle="1" w:styleId="29">
    <w:name w:val="正文文本首行缩进 2 字符"/>
    <w:basedOn w:val="affff5"/>
    <w:link w:val="28"/>
    <w:uiPriority w:val="99"/>
    <w:semiHidden/>
    <w:rsid w:val="007B61F1"/>
  </w:style>
  <w:style w:type="paragraph" w:styleId="2a">
    <w:name w:val="Body Text Indent 2"/>
    <w:basedOn w:val="a1"/>
    <w:link w:val="2b"/>
    <w:uiPriority w:val="99"/>
    <w:semiHidden/>
    <w:unhideWhenUsed/>
    <w:rsid w:val="007B61F1"/>
    <w:pPr>
      <w:spacing w:after="120" w:line="480" w:lineRule="auto"/>
      <w:ind w:leftChars="200" w:left="420"/>
    </w:pPr>
  </w:style>
  <w:style w:type="character" w:customStyle="1" w:styleId="2b">
    <w:name w:val="正文文本缩进 2 字符"/>
    <w:basedOn w:val="a2"/>
    <w:link w:val="2a"/>
    <w:uiPriority w:val="99"/>
    <w:semiHidden/>
    <w:rsid w:val="007B61F1"/>
  </w:style>
  <w:style w:type="paragraph" w:styleId="38">
    <w:name w:val="Body Text Indent 3"/>
    <w:basedOn w:val="a1"/>
    <w:link w:val="39"/>
    <w:uiPriority w:val="99"/>
    <w:semiHidden/>
    <w:unhideWhenUsed/>
    <w:rsid w:val="007B61F1"/>
    <w:pPr>
      <w:spacing w:after="120"/>
      <w:ind w:leftChars="200" w:left="420"/>
    </w:pPr>
    <w:rPr>
      <w:sz w:val="16"/>
      <w:szCs w:val="16"/>
    </w:rPr>
  </w:style>
  <w:style w:type="character" w:customStyle="1" w:styleId="39">
    <w:name w:val="正文文本缩进 3 字符"/>
    <w:basedOn w:val="a2"/>
    <w:link w:val="38"/>
    <w:uiPriority w:val="99"/>
    <w:semiHidden/>
    <w:rsid w:val="007B61F1"/>
    <w:rPr>
      <w:sz w:val="16"/>
      <w:szCs w:val="16"/>
    </w:rPr>
  </w:style>
  <w:style w:type="paragraph" w:styleId="affff6">
    <w:name w:val="Note Heading"/>
    <w:basedOn w:val="a1"/>
    <w:next w:val="a1"/>
    <w:link w:val="affff7"/>
    <w:uiPriority w:val="99"/>
    <w:semiHidden/>
    <w:unhideWhenUsed/>
    <w:rsid w:val="007B61F1"/>
    <w:pPr>
      <w:jc w:val="center"/>
    </w:pPr>
  </w:style>
  <w:style w:type="character" w:customStyle="1" w:styleId="affff7">
    <w:name w:val="注释标题 字符"/>
    <w:basedOn w:val="a2"/>
    <w:link w:val="affff6"/>
    <w:uiPriority w:val="99"/>
    <w:semiHidden/>
    <w:rsid w:val="007B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mailto:dyzhao2022@nsd.pku.edu.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7C59D-802C-409C-B0E5-46209EA38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890</TotalTime>
  <Pages>15</Pages>
  <Words>2445</Words>
  <Characters>13943</Characters>
  <Application>Microsoft Office Word</Application>
  <DocSecurity>0</DocSecurity>
  <Lines>116</Lines>
  <Paragraphs>32</Paragraphs>
  <ScaleCrop>false</ScaleCrop>
  <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Elliott</dc:creator>
  <cp:keywords/>
  <dc:description/>
  <cp:lastModifiedBy>Zhao Elliott</cp:lastModifiedBy>
  <cp:revision>77</cp:revision>
  <cp:lastPrinted>2026-08-19T06:21:00Z</cp:lastPrinted>
  <dcterms:created xsi:type="dcterms:W3CDTF">2026-08-18T15:28:00Z</dcterms:created>
  <dcterms:modified xsi:type="dcterms:W3CDTF">2026-08-19T06:28:00Z</dcterms:modified>
</cp:coreProperties>
</file>