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Hasta Bilgi Yönetim Sistemi (HBYS) Tedarik Sözleşmesi</w:t>
      </w:r>
    </w:p>
    <w:p>
      <w:r>
        <w:t>Tarih: 25.07.2025</w:t>
      </w:r>
    </w:p>
    <w:p>
      <w:pPr>
        <w:pStyle w:val="Heading1"/>
      </w:pPr>
      <w:r>
        <w:t>Taraflar</w:t>
      </w:r>
    </w:p>
    <w:p>
      <w:r>
        <w:t>Alıcı: Özel Hastane Grubu</w:t>
      </w:r>
    </w:p>
    <w:p>
      <w:r>
        <w:t>Tedarikçi/Satıcı: HBYS Yazılım Sağlayıcısı</w:t>
      </w:r>
    </w:p>
    <w:p>
      <w:pPr>
        <w:pStyle w:val="Heading1"/>
      </w:pPr>
      <w:r>
        <w:t>Sözleşme Bölümleri</w:t>
      </w:r>
    </w:p>
    <w:p>
      <w:pPr>
        <w:pStyle w:val="Heading2"/>
      </w:pPr>
      <w:r>
        <w:t>1. Tanımlar ve Taraflar</w:t>
      </w:r>
    </w:p>
    <w:p>
      <w:r>
        <w:t>Bu sözleşmede, 'Alıcı' Özel Hastane Grubu’nu, 'Tedarikçi' HBYS Yazılım Sağlayıcısı’nı ifade etmektedir. Tarafların unvanları, adresleri ve iletişim bilgileri sözleşmede detaylı şekilde yer almaktadır.</w:t>
      </w:r>
    </w:p>
    <w:p>
      <w:pPr>
        <w:pStyle w:val="Heading2"/>
      </w:pPr>
      <w:r>
        <w:t>2. Hizmet/Konu Tanımı</w:t>
      </w:r>
    </w:p>
    <w:p>
      <w:r>
        <w:t>Node.js tabanlı, modüler Hasta Bilgi Yönetim Sistemi (HBYS) yazılımının 4 lokasyonda kurulumu, canlıya alınması, entegrasyon, eğitim, destek ve bakımı ile ilgili hizmetleri kapsar. Proje randevu, laboratuvar, e-reçete ve faturalandırma modüllerinin geliştirilmesi, mobil uyum, offline çalışma, KVKK/GDPR uyumlu mimari, otomatik yedekleme ve felaket kurtarma planlarını da içerir.</w:t>
      </w:r>
    </w:p>
    <w:p>
      <w:pPr>
        <w:pStyle w:val="Heading2"/>
      </w:pPr>
      <w:r>
        <w:t>3. Süre, Teslimat ve Garanti</w:t>
      </w:r>
    </w:p>
    <w:p>
      <w:r>
        <w:t>Proje teslim süresi 4 ay olup, teslim tarihi 2024-11-01’dir. Teslimatlar, her modülün tamamlanmasını takiben fazlar halinde gerçekleştirilecektir. Yıllık bakım, destek ve garanti hizmetleri sözleşmeye dahildir. Sistem, stres ve penetrasyon testlerinden geçirilmiş olarak anahtar teslim sunulacaktır.</w:t>
      </w:r>
    </w:p>
    <w:p>
      <w:pPr>
        <w:pStyle w:val="Heading2"/>
      </w:pPr>
      <w:r>
        <w:t>4. Ücretlendirme ve Ödeme</w:t>
      </w:r>
    </w:p>
    <w:p>
      <w:r>
        <w:t>Toplam proje bedeli 2.500.000 TL (KDV dahil) olup, ödemeler modül-bazlı teslimatlar sonrası belirlenen takvime göre yapılacaktır. Fiyat; randevu, e-reçete, laboratuvar ve faturalandırma modüllerini ve kurulum, entegrasyon, eğitim ve dokümantasyonu kapsamaktadır.</w:t>
      </w:r>
    </w:p>
    <w:p>
      <w:pPr>
        <w:pStyle w:val="Heading2"/>
      </w:pPr>
      <w:r>
        <w:t>5. Fikri Mülkiyet ve Haklar</w:t>
      </w:r>
    </w:p>
    <w:p>
      <w:r>
        <w:t>Sözleşme kapsamında geliştirilen HBYS yazılımının kaynak kodu ve dokümantasyonu üzerinde; kullanım hakkı ve lisansı alıcıya verilmiştir. Tedarikçi, önceden geliştirdiği genel amaçlı modüller üzerindeki telif haklarını saklı tutar. Proje çıktılarına ilişkin fikri mülkiyet transferi, ödeme tamamlandığında alıcıya devredilecektir. Sağlık verisine erişim, veri koruma hükümlerine uygun şekilde düzenlenir.</w:t>
      </w:r>
    </w:p>
    <w:p>
      <w:pPr>
        <w:pStyle w:val="Heading2"/>
      </w:pPr>
      <w:r>
        <w:t>6. Yasal Uyum ve Gizlilik</w:t>
      </w:r>
    </w:p>
    <w:p>
      <w:r>
        <w:t>Tüm çalışmalar, KVKK ve GDPR ile tam uyumlu şekilde yürütülecek, kişisel sağlık verilerinin korunmasına yönelik teknik ve idari önlemler alınacaktır. Taraflar, süreç boyunca öğrendikleri tüm ticari ve teknik bilgileri üçüncü kişilerle paylaşamazlar. Gizlilik yükümlülüğü projenin bitiminden sonra da 5 yıl süreyle geçerlidir.</w:t>
      </w:r>
    </w:p>
    <w:p>
      <w:pPr>
        <w:pStyle w:val="Heading2"/>
      </w:pPr>
      <w:r>
        <w:t>7. Alt Yüklenici ve Üçüncü Taraflar</w:t>
      </w:r>
    </w:p>
    <w:p>
      <w:r>
        <w:t>Tedarikçi, proje kapsamında alt yüklenici kullanabilir, ancak bunun için alıcının yazılı onayını almak zorundadır. Alt yüklenici veya üçüncü taraflar ile yapılan işlerde, ana sözleşme hükümlerine tam uyum sağlanması zorunludur.</w:t>
      </w:r>
    </w:p>
    <w:p>
      <w:pPr>
        <w:pStyle w:val="Heading2"/>
      </w:pPr>
      <w:r>
        <w:t>8. Riskler ve Fesih</w:t>
      </w:r>
    </w:p>
    <w:p>
      <w:r>
        <w:t>KVKK/GDPR ihlali, teslimata uyulmaması veya işin sözleşmede belirtilen şartlara uygun yürütülmemesi halinde alıcı, yazılı uyarı sonrası sözleşmeyi tek taraflı olarak feshedebilir. Fesih halinde, yürütülen iş için oransal ödeme yapılır. Yedekleme, veri bütünlüğü ve performans riskleri tespit edilip önleyici aksiyon alınacaktır. Proje kapanışı, devir-teslim tutanağı ve nihai kabul ile gerçekleşir.</w:t>
      </w:r>
    </w:p>
    <w:p>
      <w:pPr>
        <w:pStyle w:val="Heading2"/>
      </w:pPr>
      <w:r>
        <w:t>9. Gerekçelendirme Notları</w:t>
      </w:r>
    </w:p>
    <w:p>
      <w:r>
        <w:t>Her madde, taraflar arasındaki sorumluluk, hak ve yükümlülükleri açıkça belirlemek, yasal ve teknik riskleri önlemek, olası ihtilaflara önceden çözüm oluşturmak için sözleşmede yer almaktadır. Yasal uyum ve veri güvenliği maddeleri sağlık sektörü regülasyonları gereği zorunlu olup, teslimat ve garanti hükümleri işin eksiksiz ve zamanında tamamlanmasını güvence altına alır.</w:t>
      </w:r>
    </w:p>
    <w:p>
      <w:pPr>
        <w:pStyle w:val="Heading1"/>
      </w:pPr>
      <w:r>
        <w:t>İmzalar</w:t>
      </w:r>
    </w:p>
    <w:p>
      <w:r>
        <w:t>Alıcı: Özel Hastane Grubu</w:t>
      </w:r>
    </w:p>
    <w:p>
      <w:r>
        <w:t>İmza: _________ | Kaşe: Kaşe | Tarih: _/_/2025</w:t>
      </w:r>
    </w:p>
    <w:p/>
    <w:p/>
    <w:p/>
    <w:p/>
    <w:p/>
    <w:p/>
    <w:p>
      <w:r>
        <w:t>Tedarikçi/Satıcı: HBYS Yazılım Sağlayıcısı</w:t>
      </w:r>
    </w:p>
    <w:p>
      <w:r>
        <w:t>İmza: _________ | Kaşe: Kaşe | Tarih: _/_/2025</w:t>
      </w:r>
    </w:p>
    <w:p/>
    <w:p/>
    <w:p/>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