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Kredi Başvuru Süreç Otomasyonu Geliştirme Projesi Sözleşmesi</w:t>
      </w:r>
    </w:p>
    <w:p>
      <w:r>
        <w:t>Tarih: 25.07.2025</w:t>
      </w:r>
    </w:p>
    <w:p>
      <w:pPr>
        <w:pStyle w:val="Heading1"/>
      </w:pPr>
      <w:r>
        <w:t>Taraflar</w:t>
      </w:r>
    </w:p>
    <w:p>
      <w:r>
        <w:t>Alıcı: BANKA ADI</w:t>
      </w:r>
    </w:p>
    <w:p>
      <w:r>
        <w:t>Tedarikçi/Satıcı: Tedarikçi/Satıcı Adı</w:t>
      </w:r>
    </w:p>
    <w:p>
      <w:pPr>
        <w:pStyle w:val="Heading1"/>
      </w:pPr>
      <w:r>
        <w:t>Sözleşme Bölümleri</w:t>
      </w:r>
    </w:p>
    <w:p>
      <w:pPr>
        <w:pStyle w:val="Heading2"/>
      </w:pPr>
      <w:r>
        <w:t>1. Tanımlar ve Taraflar</w:t>
      </w:r>
    </w:p>
    <w:p>
      <w:r>
        <w:t>Bu sözleşme, Kredi Başvuru Süreç Otomasyonu Geliştirme Projesi kapsamında BANKA ADI (alıcı) ile Tedarikçi/Satıcı Adı (tedarikçi) arasında, tarafların rollerini ve projeye ilişkin yükümlülüklerini tanımlamak üzere imzalanmaktadır.</w:t>
      </w:r>
    </w:p>
    <w:p>
      <w:pPr>
        <w:pStyle w:val="Heading2"/>
      </w:pPr>
      <w:r>
        <w:t>2. Hizmet/Konu Tanımı</w:t>
      </w:r>
    </w:p>
    <w:p>
      <w:r>
        <w:t>Sözleşmenin konusu, banka tarafından yürütülen kredi başvuru ve değerlendirme süreçlerini tamamen dijitalleştirmek, otomasyon sağlamak ve kullanıcı rolleri üzerinden kontrollü erişimleri yöneten web tabanlı bir platformun dış kaynak (tedarikçi) tarafından analiz, tasarım, geliştirme, test, devreye alma ve bakım dahil uçtan uca gerçekleştirilmesidir.</w:t>
      </w:r>
    </w:p>
    <w:p>
      <w:pPr>
        <w:pStyle w:val="Heading2"/>
      </w:pPr>
      <w:r>
        <w:t>3. Süre, Teslimat ve Garanti</w:t>
      </w:r>
    </w:p>
    <w:p>
      <w:r>
        <w:t>Proje teslim süresi 3 aydır ve proje teslimi en geç 2024-10-15 tarihinde tamamlanacaktır. Teslimat kapsamı, testlerin en az %80 başarı oranı ile tamamlanmasını ve sistemin canlıya alınmasını içerir. Tedarikçi teslimden sonra bakım ve destek sağlayacaktır. Sistem ISO 27001, KVKK ve GDPR uyumlu olacak; yüksek erişilebilirlik, ölçeklenebilirlik ve yedekleme desteği sağlanacaktır.</w:t>
      </w:r>
    </w:p>
    <w:p>
      <w:pPr>
        <w:pStyle w:val="Heading2"/>
      </w:pPr>
      <w:r>
        <w:t>4. Ücretlendirme ve Ödeme</w:t>
      </w:r>
    </w:p>
    <w:p>
      <w:r>
        <w:t>Sözleşmeye konu işlerin toplam bedeli 1.000.000 TL (KDV hariç) olarak belirlenmiştir. Ödeme takvimi, belirlenen proje aşamalarının tamamlanmasına ve teslimat gereksinimlerinin yerine getirilmesine bağlı olarak gerçekleştirilecektir.</w:t>
      </w:r>
    </w:p>
    <w:p>
      <w:pPr>
        <w:pStyle w:val="Heading2"/>
      </w:pPr>
      <w:r>
        <w:t>5. Fikri Mülkiyet ve Haklar</w:t>
      </w:r>
    </w:p>
    <w:p>
      <w:r>
        <w:t>Proje kapsamında geliştirilen yazılım, kodlar, dokümantasyon ve tüm çıktılar bankanın (alıcı) mülkiyetine geçer. Tedarikçi, açıkça belirtilmediği sürece kaynak kodu üzerinde herhangi bir hak iddia edemez. Üçüncü parti bileşenler açıkça listelenecek ve kullanım hakları belirtilecektir.</w:t>
      </w:r>
    </w:p>
    <w:p>
      <w:pPr>
        <w:pStyle w:val="Heading2"/>
      </w:pPr>
      <w:r>
        <w:t>6. Yasal Uyum ve Gizlilik</w:t>
      </w:r>
    </w:p>
    <w:p>
      <w:r>
        <w:t>Proje, ISO 27001, KVKK ve GDPR mevzuatı ile tam uyumluluk sağlayacaktır. Tüm taraflar, müşteri verisi ve ilgili tüm proje bilgilerini gizli tutacaktır. Yasal zorunluluklar dışında herhangi bir bilgi üçüncü kişiler ile paylaşılmayacaktır.</w:t>
      </w:r>
    </w:p>
    <w:p>
      <w:pPr>
        <w:pStyle w:val="Heading2"/>
      </w:pPr>
      <w:r>
        <w:t>7. Alt Yüklenici ve Üçüncü Taraflar</w:t>
      </w:r>
    </w:p>
    <w:p>
      <w:r>
        <w:t>Tedarikçi, projede alt yüklenici veya üçüncü taraf bileşen kullanacaksa bunları önceden yazılı olarak bildirmek ve alıcı ile mutabık kalmak zorundadır. Kullanılan tüm harici teknolojiler ve hizmetler açıkça sayılmalı ve uyumluluklarından tedarikçi sorumludur.</w:t>
      </w:r>
    </w:p>
    <w:p>
      <w:pPr>
        <w:pStyle w:val="Heading2"/>
      </w:pPr>
      <w:r>
        <w:t>8. Riskler ve Fesih</w:t>
      </w:r>
    </w:p>
    <w:p>
      <w:r>
        <w:t>Proje süresinin kısalığı, entegrasyon karmaşıklığı ve yüksek güvenlik gereklilikleri gibi risklerin yönetimi tedarikçiye aittir. Sözleşme yükümlülüklerinin ihlali, teslimatların tamamlanmaması veya yasal/mevzuata aykırı bir durum halinde taraflardan biri sözleşmeyi tek taraflı olarak feshedebilir. Fesih halinde teslim edilen işler için ödeme hesaplanır ve kalan işler için herhangi bir sorumluluk doğmaz. Proje kapanışı ve devir teslim için yazılı tutanak düzenlenecektir.</w:t>
      </w:r>
    </w:p>
    <w:p>
      <w:pPr>
        <w:pStyle w:val="Heading2"/>
      </w:pPr>
      <w:r>
        <w:t>9. Gerekçelendirme Notları</w:t>
      </w:r>
    </w:p>
    <w:p>
      <w:r>
        <w:t>1. Tarafların ve rollerinin netleştirilmesi projede sorumlulukların şeffaf olmasını sağlar. 2. Hizmet tanımı, kapsam belirsizliğini engeller. 3. Süre, teslimat ve garanti maddeleri, projede hedeflenen tamamlanma takvimi ve kaliteyi güvence altına alır. 4. Ücret ve ödeme planı, mali uyumu sağlar ve taraflar arasındaki iş ilişkisini düzenler. 5. Fikri mülkiyetin düzenlenmesi, tarafların yasal haklarının korunmasını ve ileride anlaşmazlıkların önlenmesini temin eder. 6. Yasal uyum ve gizlilik, regulasyon zorunlulukları ve müşteri güvenliği için gereklidir. 7. Alt yüklenici maddesi, projede dış kaynak kullanımında şeffaflığı sağlar. 8. Risk ve fesih hükümleri, projede çıkabilecek pürüzlere karşı çözüm yönlendirir ve tarafları korur.</w:t>
      </w:r>
    </w:p>
    <w:p>
      <w:pPr>
        <w:pStyle w:val="Heading1"/>
      </w:pPr>
      <w:r>
        <w:t>İmzalar</w:t>
      </w:r>
    </w:p>
    <w:p>
      <w:r>
        <w:t>Alıcı: BANKA ADI</w:t>
      </w:r>
    </w:p>
    <w:p>
      <w:r>
        <w:t>İmza: _________ | Kaşe: Kaşe | Tarih: _/_/2025</w:t>
      </w:r>
    </w:p>
    <w:p/>
    <w:p/>
    <w:p/>
    <w:p/>
    <w:p/>
    <w:p/>
    <w:p>
      <w:r>
        <w:t>Tedarikçi/Satıcı: Tedarikçi/Satıcı Adı</w:t>
      </w:r>
    </w:p>
    <w:p>
      <w:r>
        <w:t>İmza: _________ | Kaşe: Kaşe | Tarih: _/_/2025</w:t>
      </w:r>
    </w:p>
    <w:p/>
    <w:p/>
    <w:p/>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