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01 – Vorabklärung</w:t>
      </w:r>
    </w:p>
    <w:p>
      <w:pPr>
        <w:jc w:val="center"/>
      </w:pPr>
      <w:r>
        <w:rPr>
          <w:i/>
          <w:color w:val="5A5A5A"/>
        </w:rPr>
        <w:t>Antworten zur Prüfung der Planungsdialog-Folien</w:t>
      </w:r>
    </w:p>
    <w:p>
      <w:pPr>
        <w:pStyle w:val="Heading1"/>
      </w:pPr>
      <w:r>
        <w:t>1. Folienidentität</w:t>
      </w:r>
    </w:p>
    <w:p>
      <w:pPr>
        <w:keepLines/>
      </w:pPr>
      <w:r>
        <w:rPr>
          <w:b/>
          <w:color w:val="00843D"/>
        </w:rPr>
        <w:t xml:space="preserve">[BELEGT] </w:t>
      </w:r>
      <w:r>
        <w:t>Folien 3 und 67: (b) dieselbe Tabelle mit anderem Berichtsstand.</w:t>
      </w:r>
      <w:r>
        <w:rPr>
          <w:i/>
          <w:color w:val="6E6E6E"/>
          <w:sz w:val="16"/>
        </w:rPr>
        <w:t xml:space="preserve"> Quelle: Folien 3 und 67</w:t>
      </w:r>
    </w:p>
    <w:p>
      <w:pPr>
        <w:pStyle w:val="ListBullet"/>
      </w:pPr>
      <w:r>
        <w:t>Beschriftung: Folie 3 bezeichnet die Darstellung als „Produktionskosten (Deltas gegen PLAN per Mai in TEUR)“, Folie 67 als „Produktionskosten (Deltas per Mrz in TEUR)“.</w:t>
      </w:r>
    </w:p>
    <w:p>
      <w:pPr>
        <w:pStyle w:val="ListBullet"/>
      </w:pPr>
      <w:r>
        <w:t>Spaltenkopf: Die Gliederung nach Hessen, RN, Pfalz, RMS und BT ist gleich.</w:t>
      </w:r>
    </w:p>
    <w:p>
      <w:pPr>
        <w:pStyle w:val="ListBullet"/>
      </w:pPr>
      <w:r>
        <w:t>Zeilengliederung: Die Kennzahlengliederung ist gleich. Unterschiede bestehen bei Berichtsmonat, Erläuterungen und Fußnoten.</w:t>
      </w:r>
    </w:p>
    <w:p>
      <w:r>
        <w:rPr>
          <w:b/>
        </w:rPr>
        <w:t>Zeilengliederung Folie 67:</w:t>
      </w:r>
    </w:p>
    <w:p>
      <w:pPr>
        <w:spacing w:after="0" w:line="240" w:lineRule="auto"/>
        <w:ind w:left="397" w:right="397"/>
        <w:shd w:fill="F3F4F6"/>
      </w:pPr>
      <w:r>
        <w:rPr>
          <w:rFonts w:ascii="Consolas" w:hAnsi="Consolas"/>
          <w:sz w:val="18"/>
        </w:rPr>
        <w:t>Fahrzeuge</w:t>
      </w:r>
    </w:p>
    <w:p>
      <w:pPr>
        <w:spacing w:after="0" w:line="240" w:lineRule="auto"/>
        <w:ind w:left="397" w:right="397"/>
        <w:shd w:fill="F3F4F6"/>
      </w:pPr>
      <w:r>
        <w:rPr>
          <w:rFonts w:ascii="Consolas" w:hAnsi="Consolas"/>
          <w:sz w:val="18"/>
        </w:rPr>
        <w:t xml:space="preserve">  Fahrzeugkosten</w:t>
      </w:r>
    </w:p>
    <w:p>
      <w:pPr>
        <w:spacing w:after="0" w:line="240" w:lineRule="auto"/>
        <w:ind w:left="397" w:right="397"/>
        <w:shd w:fill="F3F4F6"/>
      </w:pPr>
      <w:r>
        <w:rPr>
          <w:rFonts w:ascii="Consolas" w:hAnsi="Consolas"/>
          <w:sz w:val="18"/>
        </w:rPr>
        <w:t xml:space="preserve">    dv. Energie</w:t>
      </w:r>
    </w:p>
    <w:p>
      <w:pPr>
        <w:spacing w:after="0" w:line="240" w:lineRule="auto"/>
        <w:ind w:left="397" w:right="397"/>
        <w:shd w:fill="F3F4F6"/>
      </w:pPr>
      <w:r>
        <w:rPr>
          <w:rFonts w:ascii="Consolas" w:hAnsi="Consolas"/>
          <w:sz w:val="18"/>
        </w:rPr>
        <w:t xml:space="preserve">    dv. FZI/Externe</w:t>
      </w:r>
    </w:p>
    <w:p>
      <w:pPr>
        <w:spacing w:after="0" w:line="240" w:lineRule="auto"/>
        <w:ind w:left="397" w:right="397"/>
        <w:shd w:fill="F3F4F6"/>
      </w:pPr>
      <w:r>
        <w:rPr>
          <w:rFonts w:ascii="Consolas" w:hAnsi="Consolas"/>
          <w:sz w:val="18"/>
        </w:rPr>
        <w:t xml:space="preserve">  Werkstatt- und Lagerkosten</w:t>
      </w:r>
    </w:p>
    <w:p>
      <w:pPr>
        <w:spacing w:after="0" w:line="240" w:lineRule="auto"/>
        <w:ind w:left="397" w:right="397"/>
        <w:shd w:fill="F3F4F6"/>
      </w:pPr>
      <w:r>
        <w:rPr>
          <w:rFonts w:ascii="Consolas" w:hAnsi="Consolas"/>
          <w:sz w:val="18"/>
        </w:rPr>
        <w:t xml:space="preserve">    dv. Personalaufwand IH</w:t>
      </w:r>
    </w:p>
    <w:p>
      <w:pPr>
        <w:spacing w:after="0" w:line="240" w:lineRule="auto"/>
        <w:ind w:left="397" w:right="397"/>
        <w:shd w:fill="F3F4F6"/>
      </w:pPr>
      <w:r>
        <w:rPr>
          <w:rFonts w:ascii="Consolas" w:hAnsi="Consolas"/>
          <w:sz w:val="18"/>
        </w:rPr>
        <w:t xml:space="preserve">  AAR-Aufträge</w:t>
      </w:r>
    </w:p>
    <w:p>
      <w:pPr>
        <w:spacing w:after="0" w:line="240" w:lineRule="auto"/>
        <w:ind w:left="397" w:right="397"/>
        <w:shd w:fill="F3F4F6"/>
      </w:pPr>
      <w:r>
        <w:rPr>
          <w:rFonts w:ascii="Consolas" w:hAnsi="Consolas"/>
          <w:sz w:val="18"/>
        </w:rPr>
        <w:t xml:space="preserve">    dv. IH (eingekaufte Leistungen)</w:t>
      </w:r>
    </w:p>
    <w:p>
      <w:pPr>
        <w:spacing w:after="0" w:line="240" w:lineRule="auto"/>
        <w:ind w:left="397" w:right="397"/>
        <w:shd w:fill="F3F4F6"/>
      </w:pPr>
      <w:r>
        <w:rPr>
          <w:rFonts w:ascii="Consolas" w:hAnsi="Consolas"/>
          <w:sz w:val="18"/>
        </w:rPr>
        <w:t xml:space="preserve">    dv. Fahrzeugmaterial</w:t>
      </w:r>
    </w:p>
    <w:p>
      <w:pPr>
        <w:spacing w:after="0" w:line="240" w:lineRule="auto"/>
        <w:ind w:left="397" w:right="397"/>
        <w:shd w:fill="F3F4F6"/>
      </w:pPr>
      <w:r>
        <w:rPr>
          <w:rFonts w:ascii="Consolas" w:hAnsi="Consolas"/>
          <w:sz w:val="18"/>
        </w:rPr>
        <w:t xml:space="preserve">  Reinigung</w:t>
      </w:r>
    </w:p>
    <w:p>
      <w:pPr>
        <w:pStyle w:val="Heading1"/>
      </w:pPr>
      <w:r>
        <w:t>2. Folie 66, Ebene unter den Kostenblöcken</w:t>
      </w:r>
    </w:p>
    <w:p>
      <w:pPr>
        <w:keepLines/>
      </w:pPr>
      <w:r>
        <w:rPr>
          <w:b/>
          <w:color w:val="00843D"/>
        </w:rPr>
        <w:t xml:space="preserve">[BELEGT] </w:t>
      </w:r>
      <w:r>
        <w:t>Folie 66</w:t>
      </w:r>
      <w:r>
        <w:rPr>
          <w:i/>
          <w:color w:val="6E6E6E"/>
          <w:sz w:val="16"/>
        </w:rPr>
        <w:t xml:space="preserve"> Quelle: Folie 66</w:t>
      </w:r>
    </w:p>
    <w:p>
      <w:pPr>
        <w:spacing w:after="0" w:line="240" w:lineRule="auto"/>
        <w:ind w:left="397" w:right="397"/>
        <w:shd w:fill="F3F4F6"/>
      </w:pPr>
      <w:r>
        <w:rPr>
          <w:rFonts w:ascii="Consolas" w:hAnsi="Consolas"/>
          <w:sz w:val="18"/>
        </w:rPr>
        <w:t>Produktionskosten</w:t>
      </w:r>
    </w:p>
    <w:p>
      <w:pPr>
        <w:spacing w:after="0" w:line="240" w:lineRule="auto"/>
        <w:ind w:left="397" w:right="397"/>
        <w:shd w:fill="F3F4F6"/>
      </w:pPr>
      <w:r>
        <w:rPr>
          <w:rFonts w:ascii="Consolas" w:hAnsi="Consolas"/>
          <w:sz w:val="18"/>
        </w:rPr>
        <w:t xml:space="preserve">  Betrieb</w:t>
      </w:r>
    </w:p>
    <w:p>
      <w:pPr>
        <w:spacing w:after="0" w:line="240" w:lineRule="auto"/>
        <w:ind w:left="397" w:right="397"/>
        <w:shd w:fill="F3F4F6"/>
      </w:pPr>
      <w:r>
        <w:rPr>
          <w:rFonts w:ascii="Consolas" w:hAnsi="Consolas"/>
          <w:sz w:val="18"/>
        </w:rPr>
        <w:t xml:space="preserve">  Fahrzeuge</w:t>
      </w:r>
    </w:p>
    <w:p>
      <w:pPr>
        <w:spacing w:after="0" w:line="240" w:lineRule="auto"/>
        <w:ind w:left="397" w:right="397"/>
        <w:shd w:fill="F3F4F6"/>
      </w:pPr>
      <w:r>
        <w:rPr>
          <w:rFonts w:ascii="Consolas" w:hAnsi="Consolas"/>
          <w:sz w:val="18"/>
        </w:rPr>
        <w:t xml:space="preserve">    Fahrzeugkosten (KB 91–93)</w:t>
      </w:r>
    </w:p>
    <w:p>
      <w:pPr>
        <w:spacing w:after="0" w:line="240" w:lineRule="auto"/>
        <w:ind w:left="397" w:right="397"/>
        <w:shd w:fill="F3F4F6"/>
      </w:pPr>
      <w:r>
        <w:rPr>
          <w:rFonts w:ascii="Consolas" w:hAnsi="Consolas"/>
          <w:sz w:val="18"/>
        </w:rPr>
        <w:t xml:space="preserve">      davon Energie</w:t>
      </w:r>
    </w:p>
    <w:p>
      <w:pPr>
        <w:spacing w:after="0" w:line="240" w:lineRule="auto"/>
        <w:ind w:left="397" w:right="397"/>
        <w:shd w:fill="F3F4F6"/>
      </w:pPr>
      <w:r>
        <w:rPr>
          <w:rFonts w:ascii="Consolas" w:hAnsi="Consolas"/>
          <w:sz w:val="18"/>
        </w:rPr>
        <w:t xml:space="preserve">      davon FZI</w:t>
      </w:r>
    </w:p>
    <w:p>
      <w:pPr>
        <w:spacing w:after="0" w:line="240" w:lineRule="auto"/>
        <w:ind w:left="397" w:right="397"/>
        <w:shd w:fill="F3F4F6"/>
      </w:pPr>
      <w:r>
        <w:rPr>
          <w:rFonts w:ascii="Consolas" w:hAnsi="Consolas"/>
          <w:sz w:val="18"/>
        </w:rPr>
        <w:t xml:space="preserve">    Werkstatt- und Lagerkosten (FB 40 / KB 188)</w:t>
      </w:r>
    </w:p>
    <w:p>
      <w:pPr>
        <w:spacing w:after="0" w:line="240" w:lineRule="auto"/>
        <w:ind w:left="397" w:right="397"/>
        <w:shd w:fill="F3F4F6"/>
      </w:pPr>
      <w:r>
        <w:rPr>
          <w:rFonts w:ascii="Consolas" w:hAnsi="Consolas"/>
          <w:sz w:val="18"/>
        </w:rPr>
        <w:t xml:space="preserve">      davon Personalaufwand IH (FB 40)</w:t>
      </w:r>
    </w:p>
    <w:p>
      <w:pPr>
        <w:spacing w:after="0" w:line="240" w:lineRule="auto"/>
        <w:ind w:left="397" w:right="397"/>
        <w:shd w:fill="F3F4F6"/>
      </w:pPr>
      <w:r>
        <w:rPr>
          <w:rFonts w:ascii="Consolas" w:hAnsi="Consolas"/>
          <w:sz w:val="18"/>
        </w:rPr>
        <w:t xml:space="preserve">    AAR-Aufträge (FB 45)</w:t>
      </w:r>
    </w:p>
    <w:p>
      <w:pPr>
        <w:spacing w:after="0" w:line="240" w:lineRule="auto"/>
        <w:ind w:left="397" w:right="397"/>
        <w:shd w:fill="F3F4F6"/>
      </w:pPr>
      <w:r>
        <w:rPr>
          <w:rFonts w:ascii="Consolas" w:hAnsi="Consolas"/>
          <w:sz w:val="18"/>
        </w:rPr>
        <w:t xml:space="preserve">      davon IH (eingekaufte Leistungen)</w:t>
      </w:r>
    </w:p>
    <w:p>
      <w:pPr>
        <w:spacing w:after="0" w:line="240" w:lineRule="auto"/>
        <w:ind w:left="397" w:right="397"/>
        <w:shd w:fill="F3F4F6"/>
      </w:pPr>
      <w:r>
        <w:rPr>
          <w:rFonts w:ascii="Consolas" w:hAnsi="Consolas"/>
          <w:sz w:val="18"/>
        </w:rPr>
        <w:t xml:space="preserve">      davon Fahrzeugmaterial</w:t>
      </w:r>
    </w:p>
    <w:p>
      <w:pPr>
        <w:spacing w:after="0" w:line="240" w:lineRule="auto"/>
        <w:ind w:left="397" w:right="397"/>
        <w:shd w:fill="F3F4F6"/>
      </w:pPr>
      <w:r>
        <w:rPr>
          <w:rFonts w:ascii="Consolas" w:hAnsi="Consolas"/>
          <w:sz w:val="18"/>
        </w:rPr>
        <w:t xml:space="preserve">    Reinigung (KB 117)</w:t>
      </w:r>
    </w:p>
    <w:p>
      <w:pPr>
        <w:spacing w:after="0" w:line="240" w:lineRule="auto"/>
        <w:ind w:left="397" w:right="397"/>
        <w:shd w:fill="F3F4F6"/>
      </w:pPr>
      <w:r>
        <w:rPr>
          <w:rFonts w:ascii="Consolas" w:hAnsi="Consolas"/>
          <w:sz w:val="18"/>
        </w:rPr>
        <w:t xml:space="preserve">  Rest</w:t>
      </w:r>
    </w:p>
    <w:p>
      <w:pPr>
        <w:keepLines/>
      </w:pPr>
      <w:r>
        <w:rPr>
          <w:b/>
          <w:color w:val="5B5FC7"/>
        </w:rPr>
        <w:t xml:space="preserve">[ABGELEITET] </w:t>
      </w:r>
      <w:r>
        <w:t>Folie 3 ist ein Auszug aus der Produktionskostengliederung von Folie 66.</w:t>
      </w:r>
      <w:r>
        <w:rPr>
          <w:i/>
          <w:color w:val="6E6E6E"/>
          <w:sz w:val="16"/>
        </w:rPr>
        <w:t xml:space="preserve"> Quellen: Folien 3 und 66</w:t>
      </w:r>
    </w:p>
    <w:p>
      <w:pPr>
        <w:ind w:left="283"/>
      </w:pPr>
      <w:r>
        <w:t>Herleitung: Folie 3 übernimmt den Block „Fahrzeuge“ mit dessen Kostenblöcken und Unterpositionen, lässt jedoch „Betrieb“, „Rest“ sowie die Konten- beziehungsweise Bereichsschlüssel weg und zeigt ausschließlich die Abweichung gegen Plan.</w:t>
      </w:r>
    </w:p>
    <w:p>
      <w:pPr>
        <w:pStyle w:val="Heading1"/>
      </w:pPr>
      <w:r>
        <w:t>3. Organisationsebenen</w:t>
      </w:r>
    </w:p>
    <w:p>
      <w:pPr>
        <w:pStyle w:val="Heading2"/>
      </w:pPr>
      <w:r>
        <w:t>Werk</w:t>
      </w:r>
    </w:p>
    <w:p>
      <w:pPr>
        <w:keepLines/>
      </w:pPr>
      <w:r>
        <w:rPr>
          <w:b/>
          <w:color w:val="666666"/>
        </w:rPr>
        <w:t xml:space="preserve">[UNBEKANNT] </w:t>
      </w:r>
      <w:r>
        <w:t>Ob „Werk“ dieselbe Ebene wie „Standort“ bezeichnet oder über beziehungsweise unter „Standort“ liegt, wird nicht festgelegt. Der Begriff erscheint auf den Folien 4, 6, 16, 17, 18, 24, 31, 36, 43, 47, 48, 56 und 57. „Standort“ erscheint auf keiner vorliegenden Folie.</w:t>
      </w:r>
      <w:r>
        <w:rPr>
          <w:i/>
          <w:color w:val="6E6E6E"/>
          <w:sz w:val="16"/>
        </w:rPr>
        <w:t xml:space="preserve"> Quelle: Präsentation, Folienabgleich</w:t>
      </w:r>
    </w:p>
    <w:p>
      <w:pPr>
        <w:pStyle w:val="Heading2"/>
      </w:pPr>
      <w:r>
        <w:t>Werkstatt</w:t>
      </w:r>
    </w:p>
    <w:p>
      <w:pPr>
        <w:keepLines/>
      </w:pPr>
      <w:r>
        <w:rPr>
          <w:b/>
          <w:color w:val="666666"/>
        </w:rPr>
        <w:t xml:space="preserve">[UNBEKANNT] </w:t>
      </w:r>
      <w:r>
        <w:t>Ob „Werkstatt“ dieselbe Ebene wie „Standort“ bezeichnet oder über beziehungsweise unter „Standort“ liegt, wird nicht festgelegt. Der Begriff erscheint auf den Folien 1, 3, 4, 22, 23, 34, 45, 60, 62 und 67. „Standort“ erscheint auf keiner vorliegenden Folie.</w:t>
      </w:r>
      <w:r>
        <w:rPr>
          <w:i/>
          <w:color w:val="6E6E6E"/>
          <w:sz w:val="16"/>
        </w:rPr>
        <w:t xml:space="preserve"> Quelle: Präsentation, Folienabgleich</w:t>
      </w:r>
    </w:p>
    <w:p>
      <w:pPr>
        <w:pStyle w:val="Heading2"/>
      </w:pPr>
      <w:r>
        <w:t>Werkstattbereich</w:t>
      </w:r>
    </w:p>
    <w:p>
      <w:pPr>
        <w:keepLines/>
      </w:pPr>
      <w:r>
        <w:rPr>
          <w:b/>
          <w:color w:val="666666"/>
        </w:rPr>
        <w:t xml:space="preserve">[UNBEKANNT] </w:t>
      </w:r>
      <w:r>
        <w:t>Der Begriff erscheint auf keiner vorliegenden Folie. Eine Einordnung gegenüber „Standort“ ist daher nicht möglich.</w:t>
      </w:r>
      <w:r>
        <w:rPr>
          <w:i/>
          <w:color w:val="6E6E6E"/>
          <w:sz w:val="16"/>
        </w:rPr>
        <w:t xml:space="preserve"> Quelle: Präsentation, Folienabgleich</w:t>
      </w:r>
    </w:p>
    <w:p>
      <w:pPr>
        <w:pStyle w:val="Heading1"/>
      </w:pPr>
      <w:r>
        <w:t>4. Begriffe</w:t>
      </w:r>
    </w:p>
    <w:p>
      <w:pPr>
        <w:pStyle w:val="Heading2"/>
      </w:pPr>
      <w:r>
        <w:t>Plan gegenüber Plan PLR25</w:t>
      </w:r>
    </w:p>
    <w:p>
      <w:pPr>
        <w:keepLines/>
      </w:pPr>
      <w:r>
        <w:rPr>
          <w:b/>
          <w:color w:val="666666"/>
        </w:rPr>
        <w:t xml:space="preserve">[UNBEKANNT] </w:t>
      </w:r>
      <w:r>
        <w:t>Die Folien zur Anlageninstandhaltung zeigen „Plan PLR25“ und „Plan 2026“ als getrennte Reihen, erklären aber weder die fachliche Abgrenzung noch den Entstehungs- oder Gültigkeitsstand von „Plan PLR25“.</w:t>
      </w:r>
      <w:r>
        <w:rPr>
          <w:i/>
          <w:color w:val="6E6E6E"/>
          <w:sz w:val="16"/>
        </w:rPr>
        <w:t xml:space="preserve"> Quelle: Folien 16–18, 31, 43, 56–57</w:t>
      </w:r>
    </w:p>
    <w:p>
      <w:pPr>
        <w:pStyle w:val="Heading2"/>
      </w:pPr>
      <w:r>
        <w:t>Optimus-Prognose</w:t>
      </w:r>
    </w:p>
    <w:p>
      <w:pPr>
        <w:keepLines/>
      </w:pPr>
      <w:r>
        <w:rPr>
          <w:b/>
          <w:color w:val="666666"/>
        </w:rPr>
        <w:t xml:space="preserve">[UNBEKANNT] </w:t>
      </w:r>
      <w:r>
        <w:t>„Optimus-Prognose“ erscheint als eigene Reihe bei den Materialdarstellungen auf den Folien 12 bis 14, 30, 42, 54 und 55. Was sie fachlich bezeichnet und wie sie entsteht, wird nicht erklärt.</w:t>
      </w:r>
      <w:r>
        <w:rPr>
          <w:i/>
          <w:color w:val="6E6E6E"/>
          <w:sz w:val="16"/>
        </w:rPr>
        <w:t xml:space="preserve"> Quelle: Folien 12–14, 30, 42, 54–55</w:t>
      </w:r>
    </w:p>
    <w:p>
      <w:pPr>
        <w:pStyle w:val="Heading2"/>
      </w:pPr>
      <w:r>
        <w:t>IS020 bei den Befundarbeiten</w:t>
      </w:r>
    </w:p>
    <w:p>
      <w:pPr>
        <w:keepLines/>
      </w:pPr>
      <w:r>
        <w:rPr>
          <w:b/>
          <w:color w:val="00843D"/>
        </w:rPr>
        <w:t xml:space="preserve">[BELEGT] </w:t>
      </w:r>
      <w:r>
        <w:t>„IS020“ bezeichnet auf Folie 9 den dargestellten Mittelverbrauch für Befundarbeiten. Eine weitergehende Definition des Schlüssels steht nicht auf der Folie.</w:t>
      </w:r>
      <w:r>
        <w:rPr>
          <w:i/>
          <w:color w:val="6E6E6E"/>
          <w:sz w:val="16"/>
        </w:rPr>
        <w:t xml:space="preserve"> Quelle: Folie 9</w:t>
      </w:r>
    </w:p>
    <w:p>
      <w:pPr>
        <w:pStyle w:val="Heading2"/>
      </w:pPr>
      <w:r>
        <w:t>Liste 1 und Liste 2 beim Fahrzeugmaterial</w:t>
      </w:r>
    </w:p>
    <w:p>
      <w:pPr>
        <w:keepLines/>
      </w:pPr>
      <w:r>
        <w:rPr>
          <w:b/>
          <w:color w:val="5B5FC7"/>
        </w:rPr>
        <w:t xml:space="preserve">[ABGELEITET] </w:t>
      </w:r>
      <w:r>
        <w:t>„Liste 1“ ist der Materialbetrachtung auf Komponentenebene KT1 beziehungsweise der Plan-Ist-Prognose zugeordnet; „Liste 2“ bezeichnet die ergänzende Top-Material- beziehungsweise Ist-Auswertung einzelner Materialtreiber. Herleitung: Folie 7 trennt die Effekte nach Liste 1 und Liste 2, während die Materialfolien den Komponentenblock KT1 und einen ausdrücklich als „Liste 2 Top Material“ oder „Liste 2 IST Auswertung“ bezeichneten Detailnachweis gegenüberstellen.</w:t>
      </w:r>
      <w:r>
        <w:rPr>
          <w:i/>
          <w:color w:val="6E6E6E"/>
          <w:sz w:val="16"/>
        </w:rPr>
        <w:t xml:space="preserve"> Quelle: Folien 7, 12–14, 30, 42, 54–55</w:t>
      </w:r>
    </w:p>
    <w:p>
      <w:pPr>
        <w:pStyle w:val="Heading2"/>
      </w:pPr>
      <w:r>
        <w:t>C-Pauschale gegenüber A&amp;B-Projekten</w:t>
      </w:r>
    </w:p>
    <w:p>
      <w:pPr>
        <w:keepLines/>
      </w:pPr>
      <w:r>
        <w:rPr>
          <w:b/>
          <w:color w:val="666666"/>
        </w:rPr>
        <w:t xml:space="preserve">[UNBEKANNT] </w:t>
      </w:r>
      <w:r>
        <w:t>Die Anlagen-IH-Folien stellen „A&amp;B Projekte“ und „C-Pauschale“ als getrennte Kostenblöcke dar, enthalten aber keine Definition oder Abgrenzungsregel.</w:t>
      </w:r>
      <w:r>
        <w:rPr>
          <w:i/>
          <w:color w:val="6E6E6E"/>
          <w:sz w:val="16"/>
        </w:rPr>
        <w:t xml:space="preserve"> Quelle: Folien 16–18, 31, 43, 56–57</w:t>
      </w:r>
    </w:p>
    <w:p>
      <w:pPr>
        <w:pStyle w:val="Heading2"/>
      </w:pPr>
      <w:r>
        <w:t>Ist-Verrechnung gegenüber Ist</w:t>
      </w:r>
    </w:p>
    <w:p>
      <w:pPr>
        <w:keepLines/>
      </w:pPr>
      <w:r>
        <w:rPr>
          <w:b/>
          <w:color w:val="5B5FC7"/>
        </w:rPr>
        <w:t xml:space="preserve">[ABGELEITET] </w:t>
      </w:r>
      <w:r>
        <w:t>„Ist-Verrechnung“ bezeichnet in den Materialfolien die verrechneten Ist-Beträge der Komponentenbetrachtung; „IST“ bezeichnet den ausgewiesenen tatsächlichen Jahresverbrauch beim Lagermaterial. Herleitung: Die beiden Bezeichnungen werden auf denselben Folien unterschiedlichen Materialdiagrammen zugeordnet. Eine allgemeine systemische Definition steht nicht auf den Folien.</w:t>
      </w:r>
      <w:r>
        <w:rPr>
          <w:i/>
          <w:color w:val="6E6E6E"/>
          <w:sz w:val="16"/>
        </w:rPr>
        <w:t xml:space="preserve"> Quelle: Materialfolien</w:t>
      </w:r>
    </w:p>
    <w:p>
      <w:pPr>
        <w:pStyle w:val="Heading2"/>
      </w:pPr>
      <w:r>
        <w:t>Forecast-Reihe bei der Anlageninstandhaltung</w:t>
      </w:r>
    </w:p>
    <w:p>
      <w:pPr>
        <w:keepLines/>
      </w:pPr>
      <w:r>
        <w:rPr>
          <w:b/>
          <w:color w:val="00843D"/>
        </w:rPr>
        <w:t xml:space="preserve">[BELEGT] </w:t>
      </w:r>
      <w:r>
        <w:t>Eine separat als „Forecast“ oder „Prognose“ bezeichnete Datenreihe ist nicht vorhanden. Die Diagramme tragen zwar „Plan-Ist – Forecast“ im Titel, die sichtbaren Reihen heißen jedoch ausschließlich „Plan PLR25“, „Plan 2026“ und „IST 2026“.</w:t>
      </w:r>
      <w:r>
        <w:rPr>
          <w:i/>
          <w:color w:val="6E6E6E"/>
          <w:sz w:val="16"/>
        </w:rPr>
        <w:t xml:space="preserve"> Quelle: Folien zur Anlageninstandhaltung</w:t>
      </w:r>
    </w:p>
    <w:p>
      <w:pPr>
        <w:pStyle w:val="Heading2"/>
      </w:pPr>
      <w:r>
        <w:t>Richtung der Plan-Ist-Abweichung</w:t>
      </w:r>
    </w:p>
    <w:p>
      <w:pPr>
        <w:keepLines/>
      </w:pPr>
      <w:r>
        <w:rPr>
          <w:b/>
          <w:color w:val="5B5FC7"/>
        </w:rPr>
        <w:t xml:space="preserve">[ABGELEITET] </w:t>
      </w:r>
      <w:r>
        <w:t>Die Abweichung ist als Ist minus Plan dargestellt. Ein positiver Wert bedeutet bei den als negative Aufwendungen dargestellten Kosten jedoch nicht automatisch eine Planüberschreitung, sondern kann eine geringere Belastung als geplant anzeigen. Herleitung: Die Delta-Spalte auf Folie 66 entspricht rechnerisch der Differenz Ist minus Plan; die farbliche Bewertung berücksichtigt zusätzlich die Kostenzeichenlogik.</w:t>
      </w:r>
      <w:r>
        <w:rPr>
          <w:i/>
          <w:color w:val="6E6E6E"/>
          <w:sz w:val="16"/>
        </w:rPr>
        <w:t xml:space="preserve"> Quelle: Folie 66</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BATCH 01 · Vorabklärung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EC001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C3C3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8282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BATCH 01 – Vorabklärung: Antworten</dc:title>
  <dc:subject>Prüfung der Planungsdialog-Folien</dc:subject>
  <dc:creator>Leopold Heinrich</dc:creator>
  <keywords/>
  <dc:description>generated by python-docx</dc:description>
  <lastModifiedBy>Leopold Heinrich</lastModifiedBy>
  <revision>1</revision>
  <dcterms:created xsi:type="dcterms:W3CDTF">2026-08-25T13:07:28.0679483Z</dcterms:created>
  <dcterms:modified xsi:type="dcterms:W3CDTF">2026-08-25T13:07:28.0679483Z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ac9f92-1d4e-4aae-b975-a9900684008d_Enabled">
    <vt:lpwstr>true</vt:lpwstr>
  </property>
  <property fmtid="{D5CDD505-2E9C-101B-9397-08002B2CF9AE}" pid="3" name="MSIP_Label_3dac9f92-1d4e-4aae-b975-a9900684008d_SetDate">
    <vt:lpwstr>2026-08-25T13:07:28Z</vt:lpwstr>
  </property>
  <property fmtid="{D5CDD505-2E9C-101B-9397-08002B2CF9AE}" pid="4" name="MSIP_Label_3dac9f92-1d4e-4aae-b975-a9900684008d_Method">
    <vt:lpwstr>Standard</vt:lpwstr>
  </property>
  <property fmtid="{D5CDD505-2E9C-101B-9397-08002B2CF9AE}" pid="5" name="MSIP_Label_3dac9f92-1d4e-4aae-b975-a9900684008d_Name">
    <vt:lpwstr>DB Intern</vt:lpwstr>
  </property>
  <property fmtid="{D5CDD505-2E9C-101B-9397-08002B2CF9AE}" pid="6" name="MSIP_Label_3dac9f92-1d4e-4aae-b975-a9900684008d_SiteId">
    <vt:lpwstr>a1a72d9c-49e6-4f6d-9af6-5aafa1183bfd</vt:lpwstr>
  </property>
  <property fmtid="{D5CDD505-2E9C-101B-9397-08002B2CF9AE}" pid="7" name="MSIP_Label_3dac9f92-1d4e-4aae-b975-a9900684008d_ActionId">
    <vt:lpwstr>688fce5b-fc4c-49a6-8ac8-5cc18d709a25</vt:lpwstr>
  </property>
  <property fmtid="{D5CDD505-2E9C-101B-9397-08002B2CF9AE}" pid="8" name="MSIP_Label_3dac9f92-1d4e-4aae-b975-a9900684008d_ContentBits">
    <vt:lpwstr>0</vt:lpwstr>
  </property>
</Properties>
</file>