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73E8"/>
          <w:spacing w:val="200"/>
          <w:sz w:val="24"/>
          <w:szCs w:val="24"/>
        </w:rPr>
        <w:t xml:space="preserve">DEEP RESEARCH</w:t>
      </w:r>
    </w:p>
    <w:p>
      <w:pPr>
        <w:spacing w:after="100"/>
        <w:jc w:val="center"/>
      </w:pPr>
      <w:r>
        <w:rPr>
          <w:rFonts w:ascii="Arial" w:cs="Arial" w:eastAsia="Arial" w:hAnsi="Arial"/>
          <w:b/>
          <w:bCs/>
          <w:color w:val="1C1C1C"/>
          <w:sz w:val="60"/>
          <w:szCs w:val="60"/>
        </w:rPr>
        <w:t xml:space="preserve">Propr</w:t>
      </w:r>
    </w:p>
    <w:p>
      <w:pPr>
        <w:spacing w:after="80"/>
        <w:jc w:val="center"/>
      </w:pPr>
      <w:r>
        <w:rPr>
          <w:rFonts w:ascii="Arial" w:cs="Arial" w:eastAsia="Arial" w:hAnsi="Arial"/>
          <w:color w:val="666666"/>
          <w:sz w:val="26"/>
          <w:szCs w:val="26"/>
        </w:rPr>
        <w:t xml:space="preserve">The On-Chain Prop Trading Firm on Hyperliquid</w:t>
      </w:r>
    </w:p>
    <w:p>
      <w:pPr>
        <w:spacing w:after="600"/>
        <w:jc w:val="center"/>
      </w:pPr>
      <w:r>
        <w:rPr>
          <w:rFonts w:ascii="Arial" w:cs="Arial" w:eastAsia="Arial" w:hAnsi="Arial"/>
          <w:color w:val="1A73E8"/>
          <w:sz w:val="22"/>
          <w:szCs w:val="22"/>
        </w:rPr>
        <w:t xml:space="preserve">propr.xyz</w:t>
      </w:r>
    </w:p>
    <w:p>
      <w:pPr>
        <w:pBdr>
          <w:top w:val="single" w:color="1A73E8" w:sz="2"/>
        </w:pBdr>
        <w:spacing w:after="200" w:before="200"/>
        <w:jc w:val="center"/>
      </w:pPr>
    </w:p>
    <w:p>
      <w:pPr>
        <w:spacing w:after="80"/>
        <w:jc w:val="center"/>
      </w:pPr>
      <w:r>
        <w:rPr>
          <w:rFonts w:ascii="Arial" w:cs="Arial" w:eastAsia="Arial" w:hAnsi="Arial"/>
          <w:color w:val="666666"/>
          <w:sz w:val="20"/>
          <w:szCs w:val="20"/>
        </w:rPr>
        <w:t xml:space="preserve">Prepared: March 6, 2026</w:t>
      </w:r>
    </w:p>
    <w:p>
      <w:pPr>
        <w:jc w:val="center"/>
      </w:pPr>
      <w:r>
        <w:rPr>
          <w:rFonts w:ascii="Arial" w:cs="Arial" w:eastAsia="Arial" w:hAnsi="Arial"/>
          <w:color w:val="666666"/>
          <w:sz w:val="20"/>
          <w:szCs w:val="20"/>
        </w:rPr>
        <w:t xml:space="preserve">Built by XBorg  |  Backed by SwissBorg  |  Powered by Hyperliquid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C1C1C"/>
          <w:sz w:val="32"/>
          <w:szCs w:val="32"/>
        </w:rPr>
        <w:t xml:space="preserve">Executive Summary</w:t>
      </w:r>
    </w:p>
    <w:p>
      <w:pPr>
        <w:spacing w:after="180"/>
      </w:pPr>
      <w:r>
        <w:rPr>
          <w:rFonts w:ascii="Arial" w:cs="Arial" w:eastAsia="Arial" w:hAnsi="Arial"/>
          <w:color w:val="333333"/>
          <w:sz w:val="21"/>
          <w:szCs w:val="21"/>
        </w:rPr>
        <w:t xml:space="preserve">Propr is a crypto-native proprietary trading firm built by XBorg and backed by SwissBorg. It enables traders to access capital and trade 270+ perpetual futures across crypto, equities, and FX on Hyperliquid, with all execution happening on-chain for full transparency and verifiability. The platform launched in Q1 2026 and has already paid out $1.2M to funded traders with average payout processing under 48 hours.</w:t>
      </w:r>
    </w:p>
    <w:p>
      <w:pPr>
        <w:spacing w:after="180"/>
      </w:pPr>
      <w:r>
        <w:rPr>
          <w:rFonts w:ascii="Arial" w:cs="Arial" w:eastAsia="Arial" w:hAnsi="Arial"/>
          <w:color w:val="333333"/>
          <w:sz w:val="21"/>
          <w:szCs w:val="21"/>
        </w:rPr>
        <w:t xml:space="preserve">The core thesis is simple: the $20B+ prop trading industry is broken by opaque rules, hidden fees, and payout delays. Propr aims to fix this by building on Hyperliquid’s fully on-chain order book, publishing a public rule changelog, and offering on-demand withdrawals with no hidden constraints. It is also developing an AI-powered backtesting tool (Backtestr.xyz) and a trading agent framework, positioning it at the intersection of prop trading and autonomous trading infrastructure.</w:t>
      </w:r>
    </w:p>
    <w:p>
      <w:pPr>
        <w:spacing w:after="180"/>
      </w:pPr>
      <w:r>
        <w:rPr>
          <w:rFonts w:ascii="Arial" w:cs="Arial" w:eastAsia="Arial" w:hAnsi="Arial"/>
          <w:color w:val="333333"/>
          <w:sz w:val="21"/>
          <w:szCs w:val="21"/>
        </w:rPr>
        <w:t xml:space="preserve">Propr is planning a $PROPR token launch with a $1.5M seed round at $17.5M FDV, with 13% of supply airdropped to XBG stakers at TGE (estimated August 2026). This research covers the product, business model, competitive positioning, token economics, and key risks.</w:t>
      </w:r>
    </w:p>
    <w:p>
      <w:pPr>
        <w:pStyle w:val="Heading1"/>
        <w:spacing w:after="200" w:before="360"/>
      </w:pPr>
      <w:r>
        <w:rPr>
          <w:rFonts w:ascii="Arial" w:cs="Arial" w:eastAsia="Arial" w:hAnsi="Arial"/>
          <w:b/>
          <w:bCs/>
          <w:color w:val="1C1C1C"/>
          <w:sz w:val="32"/>
          <w:szCs w:val="32"/>
        </w:rPr>
        <w:t xml:space="preserve">Product Overview</w:t>
      </w:r>
    </w:p>
    <w:p>
      <w:pPr>
        <w:pStyle w:val="Heading2"/>
        <w:spacing w:after="160" w:before="280"/>
      </w:pPr>
      <w:r>
        <w:rPr>
          <w:rFonts w:ascii="Arial" w:cs="Arial" w:eastAsia="Arial" w:hAnsi="Arial"/>
          <w:b/>
          <w:bCs/>
          <w:color w:val="1A73E8"/>
          <w:sz w:val="26"/>
          <w:szCs w:val="26"/>
        </w:rPr>
        <w:t xml:space="preserve">Core Product: Challenge-Based Prop Funding</w:t>
      </w:r>
    </w:p>
    <w:p>
      <w:pPr>
        <w:spacing w:after="180"/>
      </w:pPr>
      <w:r>
        <w:rPr>
          <w:rFonts w:ascii="Arial" w:cs="Arial" w:eastAsia="Arial" w:hAnsi="Arial"/>
          <w:color w:val="333333"/>
          <w:sz w:val="21"/>
          <w:szCs w:val="21"/>
        </w:rPr>
        <w:t xml:space="preserve">Propr follows the standard prop firm challenge model but with key differentiators rooted in on-chain transparency and trader-friendly rules. The flow is straightforward: traders purchase a challenge tier, meet the profit target while respecting risk limits, and upon passing are granted a funded account to trade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Bronze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Silver</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Profit Split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Consistency Rules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Profit Caps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Time Limit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Trading Style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r>
    </w:tbl>
    <w:p>
      <w:pPr>
        <w:spacing w:after="180"/>
      </w:pPr>
    </w:p>
    <w:p>
      <w:pPr>
        <w:spacing w:after="180"/>
      </w:pPr>
      <w:r>
        <w:rPr>
          <w:rFonts w:ascii="Arial" w:cs="Arial" w:eastAsia="Arial" w:hAnsi="Arial"/>
          <w:color w:val="333333"/>
          <w:sz w:val="21"/>
          <w:szCs w:val="21"/>
        </w:rPr>
        <w:t xml:space="preserve">Key differentiators from traditional prop firms include: no consistency rules, no profit caps, no time limits, any trading style permitted, and a public rule changelog so traders can verify if rules have ever changed.</w:t>
      </w:r>
    </w:p>
    <w:p>
      <w:pPr>
        <w:pStyle w:val="Heading2"/>
        <w:spacing w:after="160" w:before="280"/>
      </w:pPr>
      <w:r>
        <w:rPr>
          <w:rFonts w:ascii="Arial" w:cs="Arial" w:eastAsia="Arial" w:hAnsi="Arial"/>
          <w:b/>
          <w:bCs/>
          <w:color w:val="1A73E8"/>
          <w:sz w:val="26"/>
          <w:szCs w:val="26"/>
        </w:rPr>
        <w:t xml:space="preserve">Asset Universe</w:t>
      </w:r>
    </w:p>
    <w:p>
      <w:pPr>
        <w:spacing w:after="180"/>
      </w:pPr>
      <w:r>
        <w:rPr>
          <w:rFonts w:ascii="Arial" w:cs="Arial" w:eastAsia="Arial" w:hAnsi="Arial"/>
          <w:color w:val="333333"/>
          <w:sz w:val="21"/>
          <w:szCs w:val="21"/>
        </w:rPr>
        <w:t xml:space="preserve">Propr offers access to 270+ assets through Hyperliquid, spanning three major categories: crypto perps (BTC, ETH, SOL, and dozens of altcoins), equity perps (AAPL, TSLA, SPX, and other major names), and FX perps. All from a single terminal and account, which is unusual for a prop firm and a direct consequence of Hyperliquid’s broad asset listing capabilities.</w:t>
      </w:r>
    </w:p>
    <w:p>
      <w:pPr>
        <w:pStyle w:val="Heading2"/>
        <w:spacing w:after="160" w:before="280"/>
      </w:pPr>
      <w:r>
        <w:rPr>
          <w:rFonts w:ascii="Arial" w:cs="Arial" w:eastAsia="Arial" w:hAnsi="Arial"/>
          <w:b/>
          <w:bCs/>
          <w:color w:val="1A73E8"/>
          <w:sz w:val="26"/>
          <w:szCs w:val="26"/>
        </w:rPr>
        <w:t xml:space="preserve">Trading Terminal &amp; Tools</w:t>
      </w:r>
    </w:p>
    <w:p>
      <w:pPr>
        <w:spacing w:after="180"/>
      </w:pPr>
      <w:r>
        <w:rPr>
          <w:rFonts w:ascii="Arial" w:cs="Arial" w:eastAsia="Arial" w:hAnsi="Arial"/>
          <w:color w:val="333333"/>
          <w:sz w:val="21"/>
          <w:szCs w:val="21"/>
        </w:rPr>
        <w:t xml:space="preserve">Propr has built a custom trading terminal with real-time news feed integration, advanced charting, order book depth visualization, position management, and multi-layout workspaces. The terminal is designed around a single-screen workflow rather than requiring multiple tabs or windows.</w:t>
      </w:r>
    </w:p>
    <w:p>
      <w:pPr>
        <w:spacing w:after="180"/>
      </w:pPr>
      <w:r>
        <w:rPr>
          <w:rFonts w:ascii="Arial" w:cs="Arial" w:eastAsia="Arial" w:hAnsi="Arial"/>
          <w:color w:val="333333"/>
          <w:sz w:val="21"/>
          <w:szCs w:val="21"/>
        </w:rPr>
        <w:t xml:space="preserve">Additionally, Propr offers a free suite of trading tools at tools.propr.xyz, which includes: multi-timeframe dip analysis with BTC regime filtering, structural level mapping (VWAP + Volume Profile POC), multi-asset correlation heatmap with rolling regime detection, TWAP execution detection on BTC orderbook, real-time liquidation cascade probability, range fakeout detection, “Ghost Pump” squeeze collapse detection, and capital rotation tracking across major alts.</w:t>
      </w:r>
    </w:p>
    <w:p>
      <w:pPr>
        <w:pStyle w:val="Heading2"/>
        <w:spacing w:after="160" w:before="280"/>
      </w:pPr>
      <w:r>
        <w:rPr>
          <w:rFonts w:ascii="Arial" w:cs="Arial" w:eastAsia="Arial" w:hAnsi="Arial"/>
          <w:b/>
          <w:bCs/>
          <w:color w:val="1A73E8"/>
          <w:sz w:val="26"/>
          <w:szCs w:val="26"/>
        </w:rPr>
        <w:t xml:space="preserve">Backtestr.xyz</w:t>
      </w:r>
    </w:p>
    <w:p>
      <w:pPr>
        <w:spacing w:after="180"/>
      </w:pPr>
      <w:r>
        <w:rPr>
          <w:rFonts w:ascii="Arial" w:cs="Arial" w:eastAsia="Arial" w:hAnsi="Arial"/>
          <w:color w:val="333333"/>
          <w:sz w:val="21"/>
          <w:szCs w:val="21"/>
        </w:rPr>
        <w:t xml:space="preserve">One of Propr’s most differentiated product bets is Backtestr.xyz, an AI-powered backtesting tool that lets traders go from an idea to a backtested strategy in approximately one minute. This is designed to lower the barrier from “I have a thesis” to “I have data supporting (or refuting) my thesis”. The marketing teaser shows a +42.3% backtest result, though real-world performance details are not yet public.</w:t>
      </w:r>
    </w:p>
    <w:p>
      <w:pPr>
        <w:pStyle w:val="Heading2"/>
        <w:spacing w:after="160" w:before="280"/>
      </w:pPr>
      <w:r>
        <w:rPr>
          <w:rFonts w:ascii="Arial" w:cs="Arial" w:eastAsia="Arial" w:hAnsi="Arial"/>
          <w:b/>
          <w:bCs/>
          <w:color w:val="1A73E8"/>
          <w:sz w:val="26"/>
          <w:szCs w:val="26"/>
        </w:rPr>
        <w:t xml:space="preserve">Trading Agents (Coming Soon)</w:t>
      </w:r>
    </w:p>
    <w:p>
      <w:pPr>
        <w:spacing w:after="180"/>
      </w:pPr>
      <w:r>
        <w:rPr>
          <w:rFonts w:ascii="Arial" w:cs="Arial" w:eastAsia="Arial" w:hAnsi="Arial"/>
          <w:color w:val="333333"/>
          <w:sz w:val="21"/>
          <w:szCs w:val="21"/>
        </w:rPr>
        <w:t xml:space="preserve">Propr is building a trading agent framework where users can train their own trading agent based on their personal trading edge, then have it execute autonomously. The roadmap preview shows a basic agent interface with idle/active states and per-position PnL tracking across ETH-PERP, BTC-PERP, and SOL-PERP. This is not yet live.</w:t>
      </w:r>
    </w:p>
    <w:p>
      <w:pPr>
        <w:pStyle w:val="Heading1"/>
        <w:spacing w:after="200" w:before="360"/>
      </w:pPr>
      <w:r>
        <w:rPr>
          <w:rFonts w:ascii="Arial" w:cs="Arial" w:eastAsia="Arial" w:hAnsi="Arial"/>
          <w:b/>
          <w:bCs/>
          <w:color w:val="1C1C1C"/>
          <w:sz w:val="32"/>
          <w:szCs w:val="32"/>
        </w:rPr>
        <w:t xml:space="preserve">Business Model &amp; Economics</w:t>
      </w:r>
    </w:p>
    <w:p>
      <w:pPr>
        <w:pStyle w:val="Heading2"/>
        <w:spacing w:after="160" w:before="280"/>
      </w:pPr>
      <w:r>
        <w:rPr>
          <w:rFonts w:ascii="Arial" w:cs="Arial" w:eastAsia="Arial" w:hAnsi="Arial"/>
          <w:b/>
          <w:bCs/>
          <w:color w:val="1A73E8"/>
          <w:sz w:val="26"/>
          <w:szCs w:val="26"/>
        </w:rPr>
        <w:t xml:space="preserve">Revenue Streams</w:t>
      </w:r>
    </w:p>
    <w:p>
      <w:pPr>
        <w:pStyle w:val="ListParagraph"/>
        <w:numPr>
          <w:ilvl w:val="0"/>
          <w:numId w:val="2"/>
        </w:numPr>
        <w:spacing w:after="120"/>
      </w:pPr>
      <w:r>
        <w:rPr>
          <w:rFonts w:ascii="Arial" w:cs="Arial" w:eastAsia="Arial" w:hAnsi="Arial"/>
          <w:color w:val="333333"/>
          <w:sz w:val="21"/>
          <w:szCs w:val="21"/>
        </w:rPr>
        <w:t xml:space="preserve">Challenge fees: Traders pay an upfront fee to purchase a challenge tier (Bronze/Silver/Gold). This is the primary revenue source for most prop firms and likely Propr as well.</w:t>
      </w:r>
    </w:p>
    <w:p>
      <w:pPr>
        <w:pStyle w:val="ListParagraph"/>
        <w:numPr>
          <w:ilvl w:val="0"/>
          <w:numId w:val="2"/>
        </w:numPr>
        <w:spacing w:after="120"/>
      </w:pPr>
      <w:r>
        <w:rPr>
          <w:rFonts w:ascii="Arial" w:cs="Arial" w:eastAsia="Arial" w:hAnsi="Arial"/>
          <w:color w:val="333333"/>
          <w:sz w:val="21"/>
          <w:szCs w:val="21"/>
        </w:rPr>
        <w:t xml:space="preserve">Profit split retention: Propr retains 10–20% of funded trader profits (inverse of the 80–90% payout).</w:t>
      </w:r>
    </w:p>
    <w:p>
      <w:pPr>
        <w:pStyle w:val="ListParagraph"/>
        <w:numPr>
          <w:ilvl w:val="0"/>
          <w:numId w:val="2"/>
        </w:numPr>
        <w:spacing w:after="120"/>
      </w:pPr>
      <w:r>
        <w:rPr>
          <w:rFonts w:ascii="Arial" w:cs="Arial" w:eastAsia="Arial" w:hAnsi="Arial"/>
          <w:color w:val="333333"/>
          <w:sz w:val="21"/>
          <w:szCs w:val="21"/>
        </w:rPr>
        <w:t xml:space="preserve">Failed challenges: As with all prop firms, the majority of challenge purchasers fail, meaning the fee is retained with no subsequent capital deployment. This is the industry’s hidden margin driver.</w:t>
      </w:r>
    </w:p>
    <w:p>
      <w:pPr>
        <w:pStyle w:val="ListParagraph"/>
        <w:numPr>
          <w:ilvl w:val="0"/>
          <w:numId w:val="2"/>
        </w:numPr>
        <w:spacing w:after="180"/>
      </w:pPr>
      <w:r>
        <w:rPr>
          <w:rFonts w:ascii="Arial" w:cs="Arial" w:eastAsia="Arial" w:hAnsi="Arial"/>
          <w:color w:val="333333"/>
          <w:sz w:val="21"/>
          <w:szCs w:val="21"/>
        </w:rPr>
        <w:t xml:space="preserve">Future token-linked revenue: The $PROPR token may introduce additional revenue streams through staking fees, premium feature access, or challenge fee discounts for token holders.</w:t>
      </w:r>
    </w:p>
    <w:p>
      <w:pPr>
        <w:pStyle w:val="Heading2"/>
        <w:spacing w:after="160" w:before="280"/>
      </w:pPr>
      <w:r>
        <w:rPr>
          <w:rFonts w:ascii="Arial" w:cs="Arial" w:eastAsia="Arial" w:hAnsi="Arial"/>
          <w:b/>
          <w:bCs/>
          <w:color w:val="1A73E8"/>
          <w:sz w:val="26"/>
          <w:szCs w:val="26"/>
        </w:rPr>
        <w:t xml:space="preserve">On-Chain Execution Model</w:t>
      </w:r>
    </w:p>
    <w:p>
      <w:pPr>
        <w:spacing w:after="180"/>
      </w:pPr>
      <w:r>
        <w:rPr>
          <w:rFonts w:ascii="Arial" w:cs="Arial" w:eastAsia="Arial" w:hAnsi="Arial"/>
          <w:color w:val="333333"/>
          <w:sz w:val="21"/>
          <w:szCs w:val="21"/>
        </w:rPr>
        <w:t xml:space="preserve">What sets Propr apart structurally is that it uses Hyperliquid’s on-chain order book for trade execution. This means every trade, position, and payout is verifiable on-chain. This is a genuine transparency improvement over traditional prop firms that run on MetaTrader or proprietary simulated environments where the firm controls the execution layer. On Hyperliquid, Propr cannot shadow trade, delay fills, or manipulate execution — the order book is public and fully on-chain.</w:t>
      </w:r>
    </w:p>
    <w:p>
      <w:pPr>
        <w:spacing w:after="180"/>
      </w:pPr>
      <w:r>
        <w:rPr>
          <w:rFonts w:ascii="Arial" w:cs="Arial" w:eastAsia="Arial" w:hAnsi="Arial"/>
          <w:color w:val="333333"/>
          <w:sz w:val="21"/>
          <w:szCs w:val="21"/>
        </w:rPr>
        <w:t xml:space="preserve">The tradeoff is that Propr inherits Hyperliquid’s platform risk — any Hyperliquid-specific issues (bridge exploits, liquidation cascades, oracle failures) directly affect Propr traders.</w:t>
      </w:r>
    </w:p>
    <w:p>
      <w:pPr>
        <w:pStyle w:val="Heading1"/>
        <w:spacing w:after="200" w:before="360"/>
      </w:pPr>
      <w:r>
        <w:rPr>
          <w:rFonts w:ascii="Arial" w:cs="Arial" w:eastAsia="Arial" w:hAnsi="Arial"/>
          <w:b/>
          <w:bCs/>
          <w:color w:val="1C1C1C"/>
          <w:sz w:val="32"/>
          <w:szCs w:val="32"/>
        </w:rPr>
        <w:t xml:space="preserve">Team &amp; Backers</w:t>
      </w:r>
    </w:p>
    <w:p>
      <w:pPr>
        <w:pStyle w:val="Heading2"/>
        <w:spacing w:after="160" w:before="280"/>
      </w:pPr>
      <w:r>
        <w:rPr>
          <w:rFonts w:ascii="Arial" w:cs="Arial" w:eastAsia="Arial" w:hAnsi="Arial"/>
          <w:b/>
          <w:bCs/>
          <w:color w:val="1A73E8"/>
          <w:sz w:val="26"/>
          <w:szCs w:val="26"/>
        </w:rPr>
        <w:t xml:space="preserve">XBorg (Builder)</w:t>
      </w:r>
    </w:p>
    <w:p>
      <w:pPr>
        <w:spacing w:after="180"/>
      </w:pPr>
      <w:r>
        <w:rPr>
          <w:rFonts w:ascii="Arial" w:cs="Arial" w:eastAsia="Arial" w:hAnsi="Arial"/>
          <w:color w:val="333333"/>
          <w:sz w:val="21"/>
          <w:szCs w:val="21"/>
        </w:rPr>
        <w:t xml:space="preserve">XBorg is the studio behind Propr. They describe themselves as “a team of builders launching and scaling apps across emerging industries,” backed by 24,000 investors. Their primary products prior to Propr were in the esports/gaming fan engagement space — notably their FanBase Copilot (fan engagement platform used by top esports teams) and a player identity protocol. XBorg is explicitly not VC-backed and structures all value accrual through the XBG token.</w:t>
      </w:r>
    </w:p>
    <w:p>
      <w:pPr>
        <w:spacing w:after="180"/>
      </w:pPr>
      <w:r>
        <w:rPr>
          <w:rFonts w:ascii="Arial" w:cs="Arial" w:eastAsia="Arial" w:hAnsi="Arial"/>
          <w:color w:val="333333"/>
          <w:sz w:val="21"/>
          <w:szCs w:val="21"/>
        </w:rPr>
        <w:t xml:space="preserve">The pivot from esports to prop trading is notable. The connecting thread is “community-first” product development, but prop trading is a meaningfully different domain. The team’s ability to manage trading firm risk (capital allocation, liquidation scenarios, tail-risk management) versus community platform risk is a key question for diligence.</w:t>
      </w:r>
    </w:p>
    <w:p>
      <w:pPr>
        <w:pStyle w:val="Heading2"/>
        <w:spacing w:after="160" w:before="280"/>
      </w:pPr>
      <w:r>
        <w:rPr>
          <w:rFonts w:ascii="Arial" w:cs="Arial" w:eastAsia="Arial" w:hAnsi="Arial"/>
          <w:b/>
          <w:bCs/>
          <w:color w:val="1A73E8"/>
          <w:sz w:val="26"/>
          <w:szCs w:val="26"/>
        </w:rPr>
        <w:t xml:space="preserve">SwissBorg (Backer)</w:t>
      </w:r>
    </w:p>
    <w:p>
      <w:pPr>
        <w:spacing w:after="180"/>
      </w:pPr>
      <w:r>
        <w:rPr>
          <w:rFonts w:ascii="Arial" w:cs="Arial" w:eastAsia="Arial" w:hAnsi="Arial"/>
          <w:color w:val="333333"/>
          <w:sz w:val="21"/>
          <w:szCs w:val="21"/>
        </w:rPr>
        <w:t xml:space="preserve">SwissBorg is described as one of Europe’s largest crypto wealth apps with 900K+ users and $1.5B+ in AUM. They are a Swiss-based fintech focused on community-centric wealth management. SwissBorg’s involvement provides both distribution (access to their 900K user base) and credibility signaling. However, the nature of the backing (equity investment, strategic partnership, liquidity provision, or simply advisory) is not fully disclosed.</w:t>
      </w:r>
    </w:p>
    <w:p>
      <w:pPr>
        <w:pStyle w:val="Heading2"/>
        <w:spacing w:after="160" w:before="280"/>
      </w:pPr>
      <w:r>
        <w:rPr>
          <w:rFonts w:ascii="Arial" w:cs="Arial" w:eastAsia="Arial" w:hAnsi="Arial"/>
          <w:b/>
          <w:bCs/>
          <w:color w:val="1A73E8"/>
          <w:sz w:val="26"/>
          <w:szCs w:val="26"/>
        </w:rPr>
        <w:t xml:space="preserve">Build-in-Public Approach</w:t>
      </w:r>
    </w:p>
    <w:p>
      <w:pPr>
        <w:spacing w:after="180"/>
      </w:pPr>
      <w:r>
        <w:rPr>
          <w:rFonts w:ascii="Arial" w:cs="Arial" w:eastAsia="Arial" w:hAnsi="Arial"/>
          <w:color w:val="333333"/>
          <w:sz w:val="21"/>
          <w:szCs w:val="21"/>
        </w:rPr>
        <w:t xml:space="preserve">Propr emphasizes a build-in-public ethos: public changelog for every feature and rule change, live building sessions on Twitch, YouTube content, and an active Discord community. The Twitter/X account (@ProprXYZ) has ~1,800 followers as of early March 2026, suggesting early-stage community traction.</w:t>
      </w:r>
    </w:p>
    <w:p>
      <w:pPr>
        <w:pStyle w:val="Heading1"/>
        <w:spacing w:after="200" w:before="360"/>
      </w:pPr>
      <w:r>
        <w:rPr>
          <w:rFonts w:ascii="Arial" w:cs="Arial" w:eastAsia="Arial" w:hAnsi="Arial"/>
          <w:b/>
          <w:bCs/>
          <w:color w:val="1C1C1C"/>
          <w:sz w:val="32"/>
          <w:szCs w:val="32"/>
        </w:rPr>
        <w:t xml:space="preserve">Token Economics: $PROPR and $XBG</w:t>
      </w:r>
    </w:p>
    <w:p>
      <w:pPr>
        <w:pStyle w:val="Heading2"/>
        <w:spacing w:after="160" w:before="280"/>
      </w:pPr>
      <w:r>
        <w:rPr>
          <w:rFonts w:ascii="Arial" w:cs="Arial" w:eastAsia="Arial" w:hAnsi="Arial"/>
          <w:b/>
          <w:bCs/>
          <w:color w:val="1A73E8"/>
          <w:sz w:val="26"/>
          <w:szCs w:val="26"/>
        </w:rPr>
        <w:t xml:space="preserve">$PROPR Token (Upcoming)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Seed Round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Seed FDV</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$17.5M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XBG Staker Airdrop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of $PROPR supply, fully unlocked at TGE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Estimated TGE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August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Airdrop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130M $PROPR tokens to XBG stakers</w:t>
            </w:r>
          </w:p>
        </w:tc>
      </w:tr>
    </w:tbl>
    <w:p>
      <w:pPr>
        <w:spacing w:after="180"/>
      </w:pPr>
    </w:p>
    <w:p>
      <w:pPr>
        <w:spacing w:after="180"/>
      </w:pPr>
      <w:r>
        <w:rPr>
          <w:rFonts w:ascii="Arial" w:cs="Arial" w:eastAsia="Arial" w:hAnsi="Arial"/>
          <w:color w:val="333333"/>
          <w:sz w:val="21"/>
          <w:szCs w:val="21"/>
        </w:rPr>
        <w:t xml:space="preserve">XBG stakers who lock for 12 months reportedly receive ~235% APY in $PROPR terms (though this is denominated in an unlaunched token, so real yield depends entirely on TGE price). XBG stakers also receive monthly XBG drops through XBorg’s reward program, creating a dual-reward incentive to stake.</w:t>
      </w:r>
    </w:p>
    <w:p>
      <w:pPr>
        <w:pStyle w:val="Heading2"/>
        <w:spacing w:after="160" w:before="280"/>
      </w:pPr>
      <w:r>
        <w:rPr>
          <w:rFonts w:ascii="Arial" w:cs="Arial" w:eastAsia="Arial" w:hAnsi="Arial"/>
          <w:b/>
          <w:bCs/>
          <w:color w:val="1A73E8"/>
          <w:sz w:val="26"/>
          <w:szCs w:val="26"/>
        </w:rPr>
        <w:t xml:space="preserve">$XBG Token (Parent Token)</w:t>
      </w:r>
    </w:p>
    <w:p>
      <w:pPr>
        <w:spacing w:after="180"/>
      </w:pPr>
      <w:r>
        <w:rPr>
          <w:rFonts w:ascii="Arial" w:cs="Arial" w:eastAsia="Arial" w:hAnsi="Arial"/>
          <w:color w:val="333333"/>
          <w:sz w:val="21"/>
          <w:szCs w:val="21"/>
        </w:rPr>
        <w:t xml:space="preserve">XBG is the native utility/governance token of XBorg with a max supply of 1B tokens, ~410M in circulation, and a current market cap of approximately $13M (FDV ~$32M). Key mechanics include: revenue above 150% of quarterly OpEx triggers XBG buybacks, 1M monthly XBG rewards distributed to stakers, governance voting rights, and ecosystem perks across XBorg apps.</w:t>
      </w:r>
    </w:p>
    <w:p>
      <w:pPr>
        <w:spacing w:after="180"/>
      </w:pPr>
      <w:r>
        <w:rPr>
          <w:rFonts w:ascii="Arial" w:cs="Arial" w:eastAsia="Arial" w:hAnsi="Arial"/>
          <w:color w:val="333333"/>
          <w:sz w:val="21"/>
          <w:szCs w:val="21"/>
        </w:rPr>
        <w:t xml:space="preserve">The critical structural point: XBorg has no equity investors. All value creation is designed to flow to the token. This is both a feature (full alignment with token holders) and a risk (no institutional equity backstop if things go wrong).</w:t>
      </w:r>
    </w:p>
    <w:p>
      <w:pPr>
        <w:pStyle w:val="Heading2"/>
        <w:spacing w:after="160" w:before="280"/>
      </w:pPr>
      <w:r>
        <w:rPr>
          <w:rFonts w:ascii="Arial" w:cs="Arial" w:eastAsia="Arial" w:hAnsi="Arial"/>
          <w:b/>
          <w:bCs/>
          <w:color w:val="1A73E8"/>
          <w:sz w:val="26"/>
          <w:szCs w:val="26"/>
        </w:rPr>
        <w:t xml:space="preserve">Value Flow Analysis</w:t>
      </w:r>
    </w:p>
    <w:p>
      <w:pPr>
        <w:pStyle w:val="ListParagraph"/>
        <w:numPr>
          <w:ilvl w:val="0"/>
          <w:numId w:val="3"/>
        </w:numPr>
        <w:spacing w:after="120"/>
      </w:pPr>
      <w:r>
        <w:rPr>
          <w:rFonts w:ascii="Arial" w:cs="Arial" w:eastAsia="Arial" w:hAnsi="Arial"/>
          <w:color w:val="333333"/>
          <w:sz w:val="21"/>
          <w:szCs w:val="21"/>
        </w:rPr>
        <w:t xml:space="preserve">Propr generates revenue (challenge fees, profit split retention)</w:t>
      </w:r>
    </w:p>
    <w:p>
      <w:pPr>
        <w:pStyle w:val="ListParagraph"/>
        <w:numPr>
          <w:ilvl w:val="0"/>
          <w:numId w:val="3"/>
        </w:numPr>
        <w:spacing w:after="120"/>
      </w:pPr>
      <w:r>
        <w:rPr>
          <w:rFonts w:ascii="Arial" w:cs="Arial" w:eastAsia="Arial" w:hAnsi="Arial"/>
          <w:color w:val="333333"/>
          <w:sz w:val="21"/>
          <w:szCs w:val="21"/>
        </w:rPr>
        <w:t xml:space="preserve">Revenue flows to XBorg as the parent studio</w:t>
      </w:r>
    </w:p>
    <w:p>
      <w:pPr>
        <w:pStyle w:val="ListParagraph"/>
        <w:numPr>
          <w:ilvl w:val="0"/>
          <w:numId w:val="3"/>
        </w:numPr>
        <w:spacing w:after="120"/>
      </w:pPr>
      <w:r>
        <w:rPr>
          <w:rFonts w:ascii="Arial" w:cs="Arial" w:eastAsia="Arial" w:hAnsi="Arial"/>
          <w:color w:val="333333"/>
          <w:sz w:val="21"/>
          <w:szCs w:val="21"/>
        </w:rPr>
        <w:t xml:space="preserve">Revenue above 150% of quarterly OpEx triggers XBG buybacks</w:t>
      </w:r>
    </w:p>
    <w:p>
      <w:pPr>
        <w:pStyle w:val="ListParagraph"/>
        <w:numPr>
          <w:ilvl w:val="0"/>
          <w:numId w:val="3"/>
        </w:numPr>
        <w:spacing w:after="120"/>
      </w:pPr>
      <w:r>
        <w:rPr>
          <w:rFonts w:ascii="Arial" w:cs="Arial" w:eastAsia="Arial" w:hAnsi="Arial"/>
          <w:color w:val="333333"/>
          <w:sz w:val="21"/>
          <w:szCs w:val="21"/>
        </w:rPr>
        <w:t xml:space="preserve">$PROPR token adds a second layer: direct exposure to Propr specifically</w:t>
      </w:r>
    </w:p>
    <w:p>
      <w:pPr>
        <w:pStyle w:val="ListParagraph"/>
        <w:numPr>
          <w:ilvl w:val="0"/>
          <w:numId w:val="3"/>
        </w:numPr>
        <w:spacing w:after="180"/>
      </w:pPr>
      <w:r>
        <w:rPr>
          <w:rFonts w:ascii="Arial" w:cs="Arial" w:eastAsia="Arial" w:hAnsi="Arial"/>
          <w:color w:val="333333"/>
          <w:sz w:val="21"/>
          <w:szCs w:val="21"/>
        </w:rPr>
        <w:t xml:space="preserve">XBG stakers get 13% of PROPR at TGE, bridging the two tokens</w:t>
      </w:r>
    </w:p>
    <w:p>
      <w:pPr>
        <w:spacing w:after="180"/>
      </w:pPr>
      <w:r>
        <w:rPr>
          <w:rFonts w:ascii="Arial" w:cs="Arial" w:eastAsia="Arial" w:hAnsi="Arial"/>
          <w:color w:val="333333"/>
          <w:sz w:val="21"/>
          <w:szCs w:val="21"/>
        </w:rPr>
        <w:t xml:space="preserve">The dual-token structure (XBG for studio-level exposure, PROPR for product-level exposure) creates complexity. The 13% airdrop to XBG stakers could create significant sell pressure at PROPR TGE if stakers treat it as a free dividend rather than a long-term hold.</w:t>
      </w:r>
    </w:p>
    <w:p>
      <w:pPr>
        <w:pStyle w:val="Heading1"/>
        <w:spacing w:after="200" w:before="360"/>
      </w:pPr>
      <w:r>
        <w:rPr>
          <w:rFonts w:ascii="Arial" w:cs="Arial" w:eastAsia="Arial" w:hAnsi="Arial"/>
          <w:b/>
          <w:bCs/>
          <w:color w:val="1C1C1C"/>
          <w:sz w:val="32"/>
          <w:szCs w:val="32"/>
        </w:rPr>
        <w:t xml:space="preserve">Competitive Landscape</w:t>
      </w:r>
    </w:p>
    <w:p>
      <w:pPr>
        <w:pStyle w:val="Heading2"/>
        <w:spacing w:after="160" w:before="280"/>
      </w:pPr>
      <w:r>
        <w:rPr>
          <w:rFonts w:ascii="Arial" w:cs="Arial" w:eastAsia="Arial" w:hAnsi="Arial"/>
          <w:b/>
          <w:bCs/>
          <w:color w:val="1A73E8"/>
          <w:sz w:val="26"/>
          <w:szCs w:val="26"/>
        </w:rPr>
        <w:t xml:space="preserve">Traditional Prop Firms</w:t>
      </w:r>
    </w:p>
    <w:p>
      <w:pPr>
        <w:spacing w:after="180"/>
      </w:pPr>
      <w:r>
        <w:rPr>
          <w:rFonts w:ascii="Arial" w:cs="Arial" w:eastAsia="Arial" w:hAnsi="Arial"/>
          <w:color w:val="333333"/>
          <w:sz w:val="21"/>
          <w:szCs w:val="21"/>
        </w:rPr>
        <w:t xml:space="preserve">The prop trading industry is large ($20B+ by XBorg’s estimate) and dominated by firms like FTMO, FundedNext, Topstep, and The 5%ers. These firms typically operate on MetaTrader or proprietary platforms with opaque execution, frequent rule changes, and sometimes adversarial payout practices. The most common criticism is that firms are incentivized for traders to fail challenges (they keep the fee) rather than succeed (they must deploy capital). Propr’s transparency angle is a direct counter-positioning to this pain point.</w:t>
      </w:r>
    </w:p>
    <w:p>
      <w:pPr>
        <w:pStyle w:val="Heading2"/>
        <w:spacing w:after="160" w:before="280"/>
      </w:pPr>
      <w:r>
        <w:rPr>
          <w:rFonts w:ascii="Arial" w:cs="Arial" w:eastAsia="Arial" w:hAnsi="Arial"/>
          <w:b/>
          <w:bCs/>
          <w:color w:val="1A73E8"/>
          <w:sz w:val="26"/>
          <w:szCs w:val="26"/>
        </w:rPr>
        <w:t xml:space="preserve">Crypto-Native Prop Firms</w:t>
      </w:r>
    </w:p>
    <w:p>
      <w:pPr>
        <w:spacing w:after="180"/>
      </w:pPr>
      <w:r>
        <w:rPr>
          <w:rFonts w:ascii="Arial" w:cs="Arial" w:eastAsia="Arial" w:hAnsi="Arial"/>
          <w:color w:val="333333"/>
          <w:sz w:val="21"/>
          <w:szCs w:val="21"/>
        </w:rPr>
        <w:t xml:space="preserve">A few crypto-specific prop firms exist (HyroTrader on Bybit/Binance, FXGuys), but none are built natively on Hyperliquid with fully on-chain execution. This gives Propr a first-mover advantage in the Hyperliquid ecosystem specifically. However, Hyperliquid’s own growth and the increasing number of prop firms exploring crypto mean this moat could narrow quickly.</w:t>
      </w:r>
    </w:p>
    <w:p>
      <w:pPr>
        <w:pStyle w:val="Heading2"/>
        <w:spacing w:after="160" w:before="280"/>
      </w:pPr>
      <w:r>
        <w:rPr>
          <w:rFonts w:ascii="Arial" w:cs="Arial" w:eastAsia="Arial" w:hAnsi="Arial"/>
          <w:b/>
          <w:bCs/>
          <w:color w:val="1A73E8"/>
          <w:sz w:val="26"/>
          <w:szCs w:val="26"/>
        </w:rPr>
        <w:t xml:space="preserve">Competitive Advantages</w:t>
      </w:r>
    </w:p>
    <w:p>
      <w:pPr>
        <w:pStyle w:val="ListParagraph"/>
        <w:numPr>
          <w:ilvl w:val="0"/>
          <w:numId w:val="4"/>
        </w:numPr>
        <w:spacing w:after="120"/>
      </w:pPr>
      <w:r>
        <w:rPr>
          <w:rFonts w:ascii="Arial" w:cs="Arial" w:eastAsia="Arial" w:hAnsi="Arial"/>
          <w:color w:val="333333"/>
          <w:sz w:val="21"/>
          <w:szCs w:val="21"/>
        </w:rPr>
        <w:t xml:space="preserve">On-chain execution transparency: Verifiable trades, not just self-reported metrics</w:t>
      </w:r>
    </w:p>
    <w:p>
      <w:pPr>
        <w:pStyle w:val="ListParagraph"/>
        <w:numPr>
          <w:ilvl w:val="0"/>
          <w:numId w:val="4"/>
        </w:numPr>
        <w:spacing w:after="120"/>
      </w:pPr>
      <w:r>
        <w:rPr>
          <w:rFonts w:ascii="Arial" w:cs="Arial" w:eastAsia="Arial" w:hAnsi="Arial"/>
          <w:color w:val="333333"/>
          <w:sz w:val="21"/>
          <w:szCs w:val="21"/>
        </w:rPr>
        <w:t xml:space="preserve">270+ asset universe: Crypto, equity, and FX perps in one account is unusual for prop</w:t>
      </w:r>
    </w:p>
    <w:p>
      <w:pPr>
        <w:pStyle w:val="ListParagraph"/>
        <w:numPr>
          <w:ilvl w:val="0"/>
          <w:numId w:val="4"/>
        </w:numPr>
        <w:spacing w:after="120"/>
      </w:pPr>
      <w:r>
        <w:rPr>
          <w:rFonts w:ascii="Arial" w:cs="Arial" w:eastAsia="Arial" w:hAnsi="Arial"/>
          <w:color w:val="333333"/>
          <w:sz w:val="21"/>
          <w:szCs w:val="21"/>
        </w:rPr>
        <w:t xml:space="preserve">No consistency rules / no profit caps / no time limits: Trader-friendly rule set</w:t>
      </w:r>
    </w:p>
    <w:p>
      <w:pPr>
        <w:pStyle w:val="ListParagraph"/>
        <w:numPr>
          <w:ilvl w:val="0"/>
          <w:numId w:val="4"/>
        </w:numPr>
        <w:spacing w:after="120"/>
      </w:pPr>
      <w:r>
        <w:rPr>
          <w:rFonts w:ascii="Arial" w:cs="Arial" w:eastAsia="Arial" w:hAnsi="Arial"/>
          <w:color w:val="333333"/>
          <w:sz w:val="21"/>
          <w:szCs w:val="21"/>
        </w:rPr>
        <w:t xml:space="preserve">SwissBorg distribution channel: 900K+ potential user base</w:t>
      </w:r>
    </w:p>
    <w:p>
      <w:pPr>
        <w:pStyle w:val="ListParagraph"/>
        <w:numPr>
          <w:ilvl w:val="0"/>
          <w:numId w:val="4"/>
        </w:numPr>
        <w:spacing w:after="180"/>
      </w:pPr>
      <w:r>
        <w:rPr>
          <w:rFonts w:ascii="Arial" w:cs="Arial" w:eastAsia="Arial" w:hAnsi="Arial"/>
          <w:color w:val="333333"/>
          <w:sz w:val="21"/>
          <w:szCs w:val="21"/>
        </w:rPr>
        <w:t xml:space="preserve">AI/agent roadmap: Backtestr + trading agents add a differentiated product layer</w:t>
      </w:r>
    </w:p>
    <w:p>
      <w:pPr>
        <w:pStyle w:val="Heading2"/>
        <w:spacing w:after="160" w:before="280"/>
      </w:pPr>
      <w:r>
        <w:rPr>
          <w:rFonts w:ascii="Arial" w:cs="Arial" w:eastAsia="Arial" w:hAnsi="Arial"/>
          <w:b/>
          <w:bCs/>
          <w:color w:val="1A73E8"/>
          <w:sz w:val="26"/>
          <w:szCs w:val="26"/>
        </w:rPr>
        <w:t xml:space="preserve">Competitive Risks</w:t>
      </w:r>
    </w:p>
    <w:p>
      <w:pPr>
        <w:pStyle w:val="ListParagraph"/>
        <w:numPr>
          <w:ilvl w:val="0"/>
          <w:numId w:val="5"/>
        </w:numPr>
        <w:spacing w:after="120"/>
      </w:pPr>
      <w:r>
        <w:rPr>
          <w:rFonts w:ascii="Arial" w:cs="Arial" w:eastAsia="Arial" w:hAnsi="Arial"/>
          <w:color w:val="333333"/>
          <w:sz w:val="21"/>
          <w:szCs w:val="21"/>
        </w:rPr>
        <w:t xml:space="preserve">Low barrier to entry: Prop firm infrastructure-as-a-service exists (PropAccount, FPFX Tech), so new entrants can spin up Hyperliquid-based prop firms relatively easily</w:t>
      </w:r>
    </w:p>
    <w:p>
      <w:pPr>
        <w:pStyle w:val="ListParagraph"/>
        <w:numPr>
          <w:ilvl w:val="0"/>
          <w:numId w:val="5"/>
        </w:numPr>
        <w:spacing w:after="120"/>
      </w:pPr>
      <w:r>
        <w:rPr>
          <w:rFonts w:ascii="Arial" w:cs="Arial" w:eastAsia="Arial" w:hAnsi="Arial"/>
          <w:color w:val="333333"/>
          <w:sz w:val="21"/>
          <w:szCs w:val="21"/>
        </w:rPr>
        <w:t xml:space="preserve">Hyperliquid itself could add native prop-like features or partner with a competing firm</w:t>
      </w:r>
    </w:p>
    <w:p>
      <w:pPr>
        <w:pStyle w:val="ListParagraph"/>
        <w:numPr>
          <w:ilvl w:val="0"/>
          <w:numId w:val="5"/>
        </w:numPr>
        <w:spacing w:after="180"/>
      </w:pPr>
      <w:r>
        <w:rPr>
          <w:rFonts w:ascii="Arial" w:cs="Arial" w:eastAsia="Arial" w:hAnsi="Arial"/>
          <w:color w:val="333333"/>
          <w:sz w:val="21"/>
          <w:szCs w:val="21"/>
        </w:rPr>
        <w:t xml:space="preserve">FTMO and major incumbents have deep pockets, brand recognition, and are expanding into crypto</w:t>
      </w:r>
    </w:p>
    <w:p>
      <w:pPr>
        <w:pStyle w:val="Heading1"/>
        <w:spacing w:after="200" w:before="360"/>
      </w:pPr>
      <w:r>
        <w:rPr>
          <w:rFonts w:ascii="Arial" w:cs="Arial" w:eastAsia="Arial" w:hAnsi="Arial"/>
          <w:b/>
          <w:bCs/>
          <w:color w:val="1C1C1C"/>
          <w:sz w:val="32"/>
          <w:szCs w:val="32"/>
        </w:rPr>
        <w:t xml:space="preserve">Key Metrics &amp;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Payouts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Avg. Payout Processing Time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48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Tradable Assets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Twitter Followers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Discord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(invite link public)</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Build Transparency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Public changelog, Twitch streams, YouTube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Launch Timeline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2026</w:t>
            </w:r>
          </w:p>
        </w:tc>
      </w:tr>
    </w:tbl>
    <w:p>
      <w:pPr>
        <w:spacing w:after="180"/>
      </w:pPr>
    </w:p>
    <w:p>
      <w:pPr>
        <w:spacing w:after="180"/>
      </w:pPr>
      <w:r>
        <w:rPr>
          <w:rFonts w:ascii="Arial" w:cs="Arial" w:eastAsia="Arial" w:hAnsi="Arial"/>
          <w:color w:val="333333"/>
          <w:sz w:val="21"/>
          <w:szCs w:val="21"/>
        </w:rPr>
        <w:t xml:space="preserve">The $1.2M in total payouts is a meaningful early traction signal but modest relative to major prop firms (FTMO has paid $100M+). The &lt; 48h payout time is competitive with industry leaders and better than many.</w:t>
      </w:r>
    </w:p>
    <w:p>
      <w:pPr>
        <w:pStyle w:val="Heading1"/>
        <w:spacing w:after="200" w:before="360"/>
      </w:pPr>
      <w:r>
        <w:rPr>
          <w:rFonts w:ascii="Arial" w:cs="Arial" w:eastAsia="Arial" w:hAnsi="Arial"/>
          <w:b/>
          <w:bCs/>
          <w:color w:val="1C1C1C"/>
          <w:sz w:val="32"/>
          <w:szCs w:val="32"/>
        </w:rPr>
        <w:t xml:space="preserve">Risk Analysis</w:t>
      </w:r>
    </w:p>
    <w:p>
      <w:pPr>
        <w:pStyle w:val="Heading2"/>
        <w:spacing w:after="160" w:before="280"/>
      </w:pPr>
      <w:r>
        <w:rPr>
          <w:rFonts w:ascii="Arial" w:cs="Arial" w:eastAsia="Arial" w:hAnsi="Arial"/>
          <w:b/>
          <w:bCs/>
          <w:color w:val="1A73E8"/>
          <w:sz w:val="26"/>
          <w:szCs w:val="26"/>
        </w:rPr>
        <w:t xml:space="preserve">Platform Dependency Risk</w:t>
      </w:r>
    </w:p>
    <w:p>
      <w:pPr>
        <w:spacing w:after="180"/>
      </w:pPr>
      <w:r>
        <w:rPr>
          <w:rFonts w:ascii="Arial" w:cs="Arial" w:eastAsia="Arial" w:hAnsi="Arial"/>
          <w:color w:val="333333"/>
          <w:sz w:val="21"/>
          <w:szCs w:val="21"/>
        </w:rPr>
        <w:t xml:space="preserve">Propr is entirely dependent on Hyperliquid for trade execution, liquidity, and asset availability. Any Hyperliquid downtime, exploit, bridge vulnerability, or protocol-level liquidation cascade directly impacts Propr’s operations. This is a single-point-of-failure risk that traditional prop firms (which use multiple brokers/LPs) do not face. Given the IBIT liquidation cascade event of February 2026 and other Hyperliquid stress events, this is not theoretical.</w:t>
      </w:r>
    </w:p>
    <w:p>
      <w:pPr>
        <w:pStyle w:val="Heading2"/>
        <w:spacing w:after="160" w:before="280"/>
      </w:pPr>
      <w:r>
        <w:rPr>
          <w:rFonts w:ascii="Arial" w:cs="Arial" w:eastAsia="Arial" w:hAnsi="Arial"/>
          <w:b/>
          <w:bCs/>
          <w:color w:val="1A73E8"/>
          <w:sz w:val="26"/>
          <w:szCs w:val="26"/>
        </w:rPr>
        <w:t xml:space="preserve">Regulatory Risk</w:t>
      </w:r>
    </w:p>
    <w:p>
      <w:pPr>
        <w:spacing w:after="180"/>
      </w:pPr>
      <w:r>
        <w:rPr>
          <w:rFonts w:ascii="Arial" w:cs="Arial" w:eastAsia="Arial" w:hAnsi="Arial"/>
          <w:color w:val="333333"/>
          <w:sz w:val="21"/>
          <w:szCs w:val="21"/>
        </w:rPr>
        <w:t xml:space="preserve">Prop trading exists in a regulatory gray area globally. Most prop firms structure themselves as educational/technology services to avoid broker/dealer regulations. Propr adds crypto, on-chain execution, and a token launch on top of this already gray framework. Regulatory scrutiny of crypto prop firms is increasing, and the addition of equity perps (AAPL, TSLA) via Hyperliquid raises questions about securities classification in various jurisdictions.</w:t>
      </w:r>
    </w:p>
    <w:p>
      <w:pPr>
        <w:pStyle w:val="Heading2"/>
        <w:spacing w:after="160" w:before="280"/>
      </w:pPr>
      <w:r>
        <w:rPr>
          <w:rFonts w:ascii="Arial" w:cs="Arial" w:eastAsia="Arial" w:hAnsi="Arial"/>
          <w:b/>
          <w:bCs/>
          <w:color w:val="1A73E8"/>
          <w:sz w:val="26"/>
          <w:szCs w:val="26"/>
        </w:rPr>
        <w:t xml:space="preserve">Team Execution Risk</w:t>
      </w:r>
    </w:p>
    <w:p>
      <w:pPr>
        <w:spacing w:after="180"/>
      </w:pPr>
      <w:r>
        <w:rPr>
          <w:rFonts w:ascii="Arial" w:cs="Arial" w:eastAsia="Arial" w:hAnsi="Arial"/>
          <w:color w:val="333333"/>
          <w:sz w:val="21"/>
          <w:szCs w:val="21"/>
        </w:rPr>
        <w:t xml:space="preserve">XBorg’s background is in esports fan engagement, not financial trading infrastructure. Running a prop firm requires sophisticated risk management (capital allocation per trader, tail-risk modeling, liquidation management, correlation-aware portfolio limits). The team’s ability to manage these financial risks is unproven. SwissBorg’s backing helps, but SwissBorg is a wealth management app, not a trading firm either.</w:t>
      </w:r>
    </w:p>
    <w:p>
      <w:pPr>
        <w:pStyle w:val="Heading2"/>
        <w:spacing w:after="160" w:before="280"/>
      </w:pPr>
      <w:r>
        <w:rPr>
          <w:rFonts w:ascii="Arial" w:cs="Arial" w:eastAsia="Arial" w:hAnsi="Arial"/>
          <w:b/>
          <w:bCs/>
          <w:color w:val="1A73E8"/>
          <w:sz w:val="26"/>
          <w:szCs w:val="26"/>
        </w:rPr>
        <w:t xml:space="preserve">Token Dilution Risk</w:t>
      </w:r>
    </w:p>
    <w:p>
      <w:pPr>
        <w:spacing w:after="180"/>
      </w:pPr>
      <w:r>
        <w:rPr>
          <w:rFonts w:ascii="Arial" w:cs="Arial" w:eastAsia="Arial" w:hAnsi="Arial"/>
          <w:color w:val="333333"/>
          <w:sz w:val="21"/>
          <w:szCs w:val="21"/>
        </w:rPr>
        <w:t xml:space="preserve">The dual-token structure (XBG + PROPR) creates potential for misaligned incentives. The 13% PROPR airdrop to XBG stakers could see heavy sell pressure. Additionally, XBG itself is down ~92% from ATH ($0.416 to ~$0.032), signaling that XBorg’s previous products have not yet driven sustained token value. Propr needs to succeed where XBorg’s esports products have not in terms of driving XBG appreciation.</w:t>
      </w:r>
    </w:p>
    <w:p>
      <w:pPr>
        <w:pStyle w:val="Heading2"/>
        <w:spacing w:after="160" w:before="280"/>
      </w:pPr>
      <w:r>
        <w:rPr>
          <w:rFonts w:ascii="Arial" w:cs="Arial" w:eastAsia="Arial" w:hAnsi="Arial"/>
          <w:b/>
          <w:bCs/>
          <w:color w:val="1A73E8"/>
          <w:sz w:val="26"/>
          <w:szCs w:val="26"/>
        </w:rPr>
        <w:t xml:space="preserve">Market Size vs. Addressable Market</w:t>
      </w:r>
    </w:p>
    <w:p>
      <w:pPr>
        <w:spacing w:after="180"/>
      </w:pPr>
      <w:r>
        <w:rPr>
          <w:rFonts w:ascii="Arial" w:cs="Arial" w:eastAsia="Arial" w:hAnsi="Arial"/>
          <w:color w:val="333333"/>
          <w:sz w:val="21"/>
          <w:szCs w:val="21"/>
        </w:rPr>
        <w:t xml:space="preserve">The “$20B+ prop trading market” figure cited by XBorg is likely the total global prop firm revenue (challenge fees + operations), not the serviceable addressable market for a crypto-native prop firm on one DEX. The actual TAM is the subset of crypto traders who want prop funding specifically on Hyperliquid — a much smaller number today, though growing as Hyperliquid captures more perps volume.</w:t>
      </w:r>
    </w:p>
    <w:p>
      <w:pPr>
        <w:pStyle w:val="Heading1"/>
        <w:spacing w:after="200" w:before="360"/>
      </w:pPr>
      <w:r>
        <w:rPr>
          <w:rFonts w:ascii="Arial" w:cs="Arial" w:eastAsia="Arial" w:hAnsi="Arial"/>
          <w:b/>
          <w:bCs/>
          <w:color w:val="1C1C1C"/>
          <w:sz w:val="32"/>
          <w:szCs w:val="32"/>
        </w:rPr>
        <w:t xml:space="preserve">Investment Considerations</w:t>
      </w:r>
    </w:p>
    <w:p>
      <w:pPr>
        <w:pStyle w:val="Heading2"/>
        <w:spacing w:after="160" w:before="280"/>
      </w:pPr>
      <w:r>
        <w:rPr>
          <w:rFonts w:ascii="Arial" w:cs="Arial" w:eastAsia="Arial" w:hAnsi="Arial"/>
          <w:b/>
          <w:bCs/>
          <w:color w:val="1A73E8"/>
          <w:sz w:val="26"/>
          <w:szCs w:val="26"/>
        </w:rPr>
        <w:t xml:space="preserve">Bull Case</w:t>
      </w:r>
    </w:p>
    <w:p>
      <w:pPr>
        <w:pStyle w:val="ListParagraph"/>
        <w:numPr>
          <w:ilvl w:val="0"/>
          <w:numId w:val="6"/>
        </w:numPr>
        <w:spacing w:after="120"/>
      </w:pPr>
      <w:r>
        <w:rPr>
          <w:rFonts w:ascii="Arial" w:cs="Arial" w:eastAsia="Arial" w:hAnsi="Arial"/>
          <w:color w:val="333333"/>
          <w:sz w:val="21"/>
          <w:szCs w:val="21"/>
        </w:rPr>
        <w:t xml:space="preserve">On-chain transparency becomes the industry standard and Propr leads the category as the first credible on-chain prop firm</w:t>
      </w:r>
    </w:p>
    <w:p>
      <w:pPr>
        <w:pStyle w:val="ListParagraph"/>
        <w:numPr>
          <w:ilvl w:val="0"/>
          <w:numId w:val="6"/>
        </w:numPr>
        <w:spacing w:after="120"/>
      </w:pPr>
      <w:r>
        <w:rPr>
          <w:rFonts w:ascii="Arial" w:cs="Arial" w:eastAsia="Arial" w:hAnsi="Arial"/>
          <w:color w:val="333333"/>
          <w:sz w:val="21"/>
          <w:szCs w:val="21"/>
        </w:rPr>
        <w:t xml:space="preserve">Hyperliquid continues its explosive growth trajectory, expanding Propr’s addressable market</w:t>
      </w:r>
    </w:p>
    <w:p>
      <w:pPr>
        <w:pStyle w:val="ListParagraph"/>
        <w:numPr>
          <w:ilvl w:val="0"/>
          <w:numId w:val="6"/>
        </w:numPr>
        <w:spacing w:after="120"/>
      </w:pPr>
      <w:r>
        <w:rPr>
          <w:rFonts w:ascii="Arial" w:cs="Arial" w:eastAsia="Arial" w:hAnsi="Arial"/>
          <w:color w:val="333333"/>
          <w:sz w:val="21"/>
          <w:szCs w:val="21"/>
        </w:rPr>
        <w:t xml:space="preserve">SwissBorg’s 900K users provide a large distribution channel for challenge acquisition</w:t>
      </w:r>
    </w:p>
    <w:p>
      <w:pPr>
        <w:pStyle w:val="ListParagraph"/>
        <w:numPr>
          <w:ilvl w:val="0"/>
          <w:numId w:val="6"/>
        </w:numPr>
        <w:spacing w:after="120"/>
      </w:pPr>
      <w:r>
        <w:rPr>
          <w:rFonts w:ascii="Arial" w:cs="Arial" w:eastAsia="Arial" w:hAnsi="Arial"/>
          <w:color w:val="333333"/>
          <w:sz w:val="21"/>
          <w:szCs w:val="21"/>
        </w:rPr>
        <w:t xml:space="preserve">AI backtesting + trading agents become core differentiators that incumbents cannot easily replicate</w:t>
      </w:r>
    </w:p>
    <w:p>
      <w:pPr>
        <w:pStyle w:val="ListParagraph"/>
        <w:numPr>
          <w:ilvl w:val="0"/>
          <w:numId w:val="6"/>
        </w:numPr>
        <w:spacing w:after="180"/>
      </w:pPr>
      <w:r>
        <w:rPr>
          <w:rFonts w:ascii="Arial" w:cs="Arial" w:eastAsia="Arial" w:hAnsi="Arial"/>
          <w:color w:val="333333"/>
          <w:sz w:val="21"/>
          <w:szCs w:val="21"/>
        </w:rPr>
        <w:t xml:space="preserve">$17.5M FDV seed is reasonable for a revenue-generating product with identifiable backers</w:t>
      </w:r>
    </w:p>
    <w:p>
      <w:pPr>
        <w:pStyle w:val="Heading2"/>
        <w:spacing w:after="160" w:before="280"/>
      </w:pPr>
      <w:r>
        <w:rPr>
          <w:rFonts w:ascii="Arial" w:cs="Arial" w:eastAsia="Arial" w:hAnsi="Arial"/>
          <w:b/>
          <w:bCs/>
          <w:color w:val="1A73E8"/>
          <w:sz w:val="26"/>
          <w:szCs w:val="26"/>
        </w:rPr>
        <w:t xml:space="preserve">Bear Case</w:t>
      </w:r>
    </w:p>
    <w:p>
      <w:pPr>
        <w:pStyle w:val="ListParagraph"/>
        <w:numPr>
          <w:ilvl w:val="0"/>
          <w:numId w:val="7"/>
        </w:numPr>
        <w:spacing w:after="120"/>
      </w:pPr>
      <w:r>
        <w:rPr>
          <w:rFonts w:ascii="Arial" w:cs="Arial" w:eastAsia="Arial" w:hAnsi="Arial"/>
          <w:color w:val="333333"/>
          <w:sz w:val="21"/>
          <w:szCs w:val="21"/>
        </w:rPr>
        <w:t xml:space="preserve">Prop trading is a graveyard of crypto projects — the business model (challenge fees from mostly-failing traders) is ethically questioned and could attract regulatory action</w:t>
      </w:r>
    </w:p>
    <w:p>
      <w:pPr>
        <w:pStyle w:val="ListParagraph"/>
        <w:numPr>
          <w:ilvl w:val="0"/>
          <w:numId w:val="7"/>
        </w:numPr>
        <w:spacing w:after="120"/>
      </w:pPr>
      <w:r>
        <w:rPr>
          <w:rFonts w:ascii="Arial" w:cs="Arial" w:eastAsia="Arial" w:hAnsi="Arial"/>
          <w:color w:val="333333"/>
          <w:sz w:val="21"/>
          <w:szCs w:val="21"/>
        </w:rPr>
        <w:t xml:space="preserve">Hyperliquid platform risk creates a tail-risk scenario where a protocol-level issue wipes out funded accounts</w:t>
      </w:r>
    </w:p>
    <w:p>
      <w:pPr>
        <w:pStyle w:val="ListParagraph"/>
        <w:numPr>
          <w:ilvl w:val="0"/>
          <w:numId w:val="7"/>
        </w:numPr>
        <w:spacing w:after="120"/>
      </w:pPr>
      <w:r>
        <w:rPr>
          <w:rFonts w:ascii="Arial" w:cs="Arial" w:eastAsia="Arial" w:hAnsi="Arial"/>
          <w:color w:val="333333"/>
          <w:sz w:val="21"/>
          <w:szCs w:val="21"/>
        </w:rPr>
        <w:t xml:space="preserve">XBG’s -92% from ATH suggests the studio has not yet found product-market fit that drives sustained token demand</w:t>
      </w:r>
    </w:p>
    <w:p>
      <w:pPr>
        <w:pStyle w:val="ListParagraph"/>
        <w:numPr>
          <w:ilvl w:val="0"/>
          <w:numId w:val="7"/>
        </w:numPr>
        <w:spacing w:after="120"/>
      </w:pPr>
      <w:r>
        <w:rPr>
          <w:rFonts w:ascii="Arial" w:cs="Arial" w:eastAsia="Arial" w:hAnsi="Arial"/>
          <w:color w:val="333333"/>
          <w:sz w:val="21"/>
          <w:szCs w:val="21"/>
        </w:rPr>
        <w:t xml:space="preserve">Dual-token structure (XBG + PROPR) fragments value accrual and creates confusion about where to get exposure</w:t>
      </w:r>
    </w:p>
    <w:p>
      <w:pPr>
        <w:pStyle w:val="ListParagraph"/>
        <w:numPr>
          <w:ilvl w:val="0"/>
          <w:numId w:val="7"/>
        </w:numPr>
        <w:spacing w:after="180"/>
      </w:pPr>
      <w:r>
        <w:rPr>
          <w:rFonts w:ascii="Arial" w:cs="Arial" w:eastAsia="Arial" w:hAnsi="Arial"/>
          <w:color w:val="333333"/>
          <w:sz w:val="21"/>
          <w:szCs w:val="21"/>
        </w:rPr>
        <w:t xml:space="preserve">Low moat — any team could fork a similar prop firm UX on top of Hyperliquid</w:t>
      </w:r>
    </w:p>
    <w:p>
      <w:pPr>
        <w:pStyle w:val="Heading1"/>
        <w:spacing w:after="200" w:before="360"/>
      </w:pPr>
      <w:r>
        <w:rPr>
          <w:rFonts w:ascii="Arial" w:cs="Arial" w:eastAsia="Arial" w:hAnsi="Arial"/>
          <w:b/>
          <w:bCs/>
          <w:color w:val="1C1C1C"/>
          <w:sz w:val="32"/>
          <w:szCs w:val="32"/>
        </w:rPr>
        <w:t xml:space="preserve">Conclusion</w:t>
      </w:r>
    </w:p>
    <w:p>
      <w:pPr>
        <w:spacing w:after="180"/>
      </w:pPr>
      <w:r>
        <w:rPr>
          <w:rFonts w:ascii="Arial" w:cs="Arial" w:eastAsia="Arial" w:hAnsi="Arial"/>
          <w:color w:val="333333"/>
          <w:sz w:val="21"/>
          <w:szCs w:val="21"/>
        </w:rPr>
        <w:t xml:space="preserve">Propr is a well-positioned early entrant in the on-chain prop trading space, with genuine product differentiation (Hyperliquid transparency, trader-friendly rules, AI tooling roadmap) and credible distribution through SwissBorg. The $17.5M FDV seed round is reasonable for the stage.</w:t>
      </w:r>
    </w:p>
    <w:p>
      <w:pPr>
        <w:spacing w:after="180"/>
      </w:pPr>
      <w:r>
        <w:rPr>
          <w:rFonts w:ascii="Arial" w:cs="Arial" w:eastAsia="Arial" w:hAnsi="Arial"/>
          <w:color w:val="333333"/>
          <w:sz w:val="21"/>
          <w:szCs w:val="21"/>
        </w:rPr>
        <w:t xml:space="preserve">The key open questions center on: (1) whether the XBorg team can manage financial risk as effectively as they manage community products; (2) whether Hyperliquid platform dependency is an acceptable single-point-of-failure; (3) whether the dual-token structure creates more confusion than value; and (4) whether on-chain transparency is enough of a moat in a market where new prop firms can be spun up cheaply.</w:t>
      </w:r>
    </w:p>
    <w:p>
      <w:pPr>
        <w:spacing w:after="180"/>
      </w:pPr>
      <w:r>
        <w:rPr>
          <w:rFonts w:ascii="Arial" w:cs="Arial" w:eastAsia="Arial" w:hAnsi="Arial"/>
          <w:color w:val="333333"/>
          <w:sz w:val="21"/>
          <w:szCs w:val="21"/>
        </w:rPr>
        <w:t xml:space="preserve">For the Hyperliquid ecosystem specifically, Propr is a notable addition that expands the use case beyond direct trading — it’s effectively a capital-allocation layer on top of the exchange. Watch for funded-account volume as a % of Hyperliquid total OI as a key metric for Propr’s ecosystem relevance.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Propr Deep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1C1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2026-03-06T10:48:54.891Z</dcterms:created>
  <dcterms:modified xsi:type="dcterms:W3CDTF">2026-03-06T10:48:54.892Z</dcterms:modified>
</cp:coreProperties>
</file>

<file path=docProps/custom.xml><?xml version="1.0" encoding="utf-8"?>
<Properties xmlns="http://schemas.openxmlformats.org/officeDocument/2006/custom-properties" xmlns:vt="http://schemas.openxmlformats.org/officeDocument/2006/docPropsVTypes"/>
</file>