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D0228" w14:textId="23C7F871" w:rsidR="00E76263" w:rsidRDefault="00E76263" w:rsidP="002C6A11">
      <w:pPr>
        <w:jc w:val="center"/>
      </w:pPr>
      <w:r>
        <w:t>Operator learning in Mechanics and Materials</w:t>
      </w:r>
    </w:p>
    <w:p w14:paraId="57A58B58" w14:textId="7CE1EEA2" w:rsidR="00E76263" w:rsidRDefault="00E76263" w:rsidP="002C6A11">
      <w:pPr>
        <w:jc w:val="both"/>
      </w:pPr>
      <w:r w:rsidRPr="00E76263">
        <w:t xml:space="preserve">Mechanics and materials are gradually becoming data-rich due to rapid advances in experimental science and high-performance multiscale computing. There has been a growing interest in the field of solid mechanics for developing data-driven and learning-based methods to characterize, understand, model, and design material/structural systems. With data-driven approaches, it is possible to remove/relax the need for ad hoc constitutive models for describing the material behavior, to achieve fast multi-scale computation for structures as well as to generate optimal designs. </w:t>
      </w:r>
      <w:r w:rsidR="00185A33">
        <w:t>This talk will survey operator-learning methods developed for mechanics and materials, including (</w:t>
      </w:r>
      <w:proofErr w:type="spellStart"/>
      <w:r w:rsidR="00185A33">
        <w:t>i</w:t>
      </w:r>
      <w:proofErr w:type="spellEnd"/>
      <w:r w:rsidR="00185A33">
        <w:t xml:space="preserve">) data-driven surrogate models for classes of PDEs, (ii) discovery of constitutive relations for materials with complex, history-dependent </w:t>
      </w:r>
      <w:r w:rsidR="00185A33">
        <w:t>behavior</w:t>
      </w:r>
      <w:r w:rsidR="00185A33">
        <w:t>, and (iii) hybrid computational frameworks that couple learning with physics for complex geometries.</w:t>
      </w:r>
    </w:p>
    <w:p w14:paraId="0E3CE2A0" w14:textId="0BE3C540" w:rsidR="00E76263" w:rsidRDefault="00E76263">
      <w:r>
        <w:rPr>
          <w:noProof/>
        </w:rPr>
        <w:drawing>
          <wp:inline distT="0" distB="0" distL="0" distR="0" wp14:anchorId="3405E2FE" wp14:editId="4937B09E">
            <wp:extent cx="2368672" cy="2057506"/>
            <wp:effectExtent l="0" t="0" r="0" b="0"/>
            <wp:docPr id="671248073" name="Picture 1" descr="A person in a suit and bow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8073" name="Picture 1" descr="A person in a suit and bow ti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CC84" w14:textId="225F3E0F" w:rsidR="00243BE9" w:rsidRDefault="00243BE9">
      <w:r>
        <w:t xml:space="preserve">Bio: </w:t>
      </w:r>
    </w:p>
    <w:p w14:paraId="2A0AF8F7" w14:textId="77777777" w:rsidR="00243BE9" w:rsidRDefault="00243BE9" w:rsidP="00243BE9">
      <w:pPr>
        <w:jc w:val="both"/>
      </w:pPr>
      <w:r>
        <w:t xml:space="preserve">Burigede Liu is Granta Design Assistant Professor at the University of Cambridge. He received his Ph.D. in Engineering at University of Cambridge in 2019. He was a postdoc in Department of Mechanical and Process Engineering at ETH Zurich (2019) and a postdoctoral fellow in Mechanical and Civil Engineering at California Institute of Technology (2019-2021). Prof Liu's research interest includes data-driven mechanics; uncertainty quantification of materials; micro-mechanics of metals, </w:t>
      </w:r>
      <w:proofErr w:type="gramStart"/>
      <w:r>
        <w:t>composites</w:t>
      </w:r>
      <w:proofErr w:type="gramEnd"/>
      <w:r>
        <w:t xml:space="preserve"> and mechanical meta-materials as well as quantum computing. </w:t>
      </w:r>
    </w:p>
    <w:p w14:paraId="01FDEF6E" w14:textId="77777777" w:rsidR="00243BE9" w:rsidRDefault="00243BE9" w:rsidP="00243BE9"/>
    <w:p w14:paraId="3ADC7A6D" w14:textId="05D6FE52" w:rsidR="00243BE9" w:rsidRDefault="00243BE9" w:rsidP="00243BE9">
      <w:r>
        <w:t>​</w:t>
      </w:r>
    </w:p>
    <w:sectPr w:rsidR="00243B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63"/>
    <w:rsid w:val="00185A33"/>
    <w:rsid w:val="00243BE9"/>
    <w:rsid w:val="002C6A11"/>
    <w:rsid w:val="00A279D7"/>
    <w:rsid w:val="00E7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9F8B"/>
  <w15:chartTrackingRefBased/>
  <w15:docId w15:val="{7AAA5336-E2F7-407B-A631-AE7434EF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47EAA947F7364FA2019927EF8ADC47" ma:contentTypeVersion="17" ma:contentTypeDescription="Create a new document." ma:contentTypeScope="" ma:versionID="33eb245f96e06857e570e770535cdff8">
  <xsd:schema xmlns:xsd="http://www.w3.org/2001/XMLSchema" xmlns:xs="http://www.w3.org/2001/XMLSchema" xmlns:p="http://schemas.microsoft.com/office/2006/metadata/properties" xmlns:ns3="05efbbbe-c535-4fb7-b327-3a4357ebfe8f" xmlns:ns4="b8a11a54-8c89-4ed0-9caa-524a8fac4b18" targetNamespace="http://schemas.microsoft.com/office/2006/metadata/properties" ma:root="true" ma:fieldsID="1173c33af680b07d790d4893a2a48fcb" ns3:_="" ns4:_="">
    <xsd:import namespace="05efbbbe-c535-4fb7-b327-3a4357ebfe8f"/>
    <xsd:import namespace="b8a11a54-8c89-4ed0-9caa-524a8fac4b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fbbbe-c535-4fb7-b327-3a4357ebf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11a54-8c89-4ed0-9caa-524a8fac4b1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efbbbe-c535-4fb7-b327-3a4357ebfe8f" xsi:nil="true"/>
  </documentManagement>
</p:properties>
</file>

<file path=customXml/itemProps1.xml><?xml version="1.0" encoding="utf-8"?>
<ds:datastoreItem xmlns:ds="http://schemas.openxmlformats.org/officeDocument/2006/customXml" ds:itemID="{9D3E03C4-A399-4FCC-A200-CD30AC4BA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B5F995-3114-4B8E-AF31-4FA39CE8D2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fbbbe-c535-4fb7-b327-3a4357ebfe8f"/>
    <ds:schemaRef ds:uri="b8a11a54-8c89-4ed0-9caa-524a8fac4b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3BED07-B340-4E37-861C-9109D6D7F009}">
  <ds:schemaRefs>
    <ds:schemaRef ds:uri="http://purl.org/dc/elements/1.1/"/>
    <ds:schemaRef ds:uri="b8a11a54-8c89-4ed0-9caa-524a8fac4b18"/>
    <ds:schemaRef ds:uri="http://purl.org/dc/dcmitype/"/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05efbbbe-c535-4fb7-b327-3a4357ebfe8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Burigede Liu</dc:creator>
  <cp:keywords/>
  <dc:description/>
  <cp:lastModifiedBy>Burigede Liu</cp:lastModifiedBy>
  <cp:revision>2</cp:revision>
  <dcterms:created xsi:type="dcterms:W3CDTF">2025-09-25T13:11:00Z</dcterms:created>
  <dcterms:modified xsi:type="dcterms:W3CDTF">2025-09-25T13:11:00Z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0x010100DE47EAA947F7364FA2019927EF8ADC47</vt:lpwstr>
  </property>
</Properties>
</file>