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The word</w:t>
      </w:r>
    </w:p>
    <w:p>
      <w:pPr>
        <w:pStyle w:val="Normal"/>
        <w:bidi w:val="0"/>
        <w:rPr/>
      </w:pPr>
      <w:r>
        <w:rPr/>
        <w:t>The wrath of Achilles is what the poem is of (Nagy 1979, 73), as is often said.</w:t>
      </w:r>
    </w:p>
    <w:p>
      <w:pPr>
        <w:pStyle w:val="Normal"/>
        <w:bidi w:val="0"/>
        <w:rPr/>
      </w:pPr>
      <w:r>
        <w:rPr/>
        <w:t xml:space="preserve">Much is written of it (see Nagy 1979, chap. 2; West 1988; 1960, 12 and elsewhere). The singer (Lord, </w:t>
      </w:r>
      <w:r>
        <w:rPr>
          <w:i/>
        </w:rPr>
        <w:t>The Singer of Tales</w:t>
      </w:r>
      <w:r>
        <w:rPr/>
        <w:t>, 12) is another matter.</w:t>
      </w:r>
    </w:p>
    <w:p>
      <w:pPr>
        <w:pStyle w:val="Normal"/>
        <w:bidi w:val="0"/>
        <w:rPr/>
      </w:pPr>
      <w:r>
        <w:rPr/>
        <w:t>Not all agree.</w:t>
      </w:r>
      <w:r>
        <w:rPr>
          <w:rStyle w:val="FootnoteReference"/>
        </w:rPr>
        <w:footnoteReference w:id="2"/>
      </w:r>
      <w:r>
        <w:rPr/>
        <w:t xml:space="preserve"> And so it stands.</w:t>
      </w:r>
    </w:p>
    <w:p>
      <w:pPr>
        <w:pStyle w:val="Heading1"/>
        <w:bidi w:val="0"/>
        <w:ind w:hanging="0" w:start="0"/>
        <w:rPr/>
      </w:pPr>
      <w:r>
        <w:rPr/>
        <w:t>Works</w:t>
      </w:r>
    </w:p>
    <w:p>
      <w:pPr>
        <w:pStyle w:val="Bibliography1"/>
        <w:bidi w:val="0"/>
        <w:rPr/>
      </w:pPr>
      <w:r>
        <w:rPr/>
        <w:t xml:space="preserve">Lord, Albert B. 1960. </w:t>
      </w:r>
      <w:r>
        <w:rPr>
          <w:i/>
        </w:rPr>
        <w:t>The Singer of Tales</w:t>
      </w:r>
      <w:r>
        <w:rPr/>
        <w:t>. Cambridge, Mass.: Harvard University Press.</w:t>
      </w:r>
    </w:p>
    <w:p>
      <w:pPr>
        <w:pStyle w:val="Bibliography1"/>
        <w:bidi w:val="0"/>
        <w:rPr/>
      </w:pPr>
      <w:r>
        <w:rPr/>
        <w:t xml:space="preserve">Nagy, Gregory. 1979. </w:t>
      </w:r>
      <w:r>
        <w:rPr>
          <w:i/>
        </w:rPr>
        <w:t>The Best of the Achaeans: Concepts of the Hero in Archaic Greek Poetry</w:t>
      </w:r>
      <w:r>
        <w:rPr/>
        <w:t>. Baltimore: Johns Hopkins University Press.</w:t>
      </w:r>
    </w:p>
    <w:p>
      <w:pPr>
        <w:pStyle w:val="Bibliography1"/>
        <w:bidi w:val="0"/>
        <w:rPr/>
      </w:pPr>
      <w:r>
        <w:rPr/>
        <w:t xml:space="preserve">West, M. L. 1988. ‘The Rise of the Greek Epic’. </w:t>
      </w:r>
      <w:r>
        <w:rPr>
          <w:i/>
        </w:rPr>
        <w:t>The Journal of Hellenic Studies</w:t>
      </w:r>
      <w:r>
        <w:rPr/>
        <w:t xml:space="preserve"> 108: 151–72.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 xml:space="preserve">See Nagy, </w:t>
      </w:r>
      <w:r>
        <w:rPr>
          <w:i/>
        </w:rPr>
        <w:t>The Best of the Achaeans</w:t>
      </w:r>
      <w:r>
        <w:rPr/>
        <w:t>, 73; but he says otherwise elsewhere.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nb-NO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Bibliography1">
    <w:name w:val="Bibliography 1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Emil Berge</dc:creator>
  <dc:description/>
  <dc:language>nb-NO</dc:language>
  <cp:lastModifiedBy/>
  <cp:revision>0</cp:revision>
  <dc:subject/>
  <dc:title>The wrath, cited</dc:title>
</cp:coreProperties>
</file>