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The word</w:t>
      </w:r>
    </w:p>
    <w:p>
      <w:pPr>
        <w:pStyle w:val="Normal"/>
        <w:bidi w:val="0"/>
        <w:rPr/>
      </w:pPr>
      <w:r>
        <w:t xml:space="preserve">The wrath of Achilles is what the poem is of </w:t>
      </w:r>
      <w:r>
        <w:fldChar w:fldCharType="begin"/>
      </w:r>
      <w:r>
        <w:instrText xml:space="preserve"> ADDIN EN.CITE &lt;EndNote&gt;&lt;Cite&gt;&lt;Author&gt;Nagy&lt;/Author&gt;&lt;Year&gt;1979&lt;/Year&gt;&lt;RecNum&gt;12&lt;/RecNum&gt;&lt;Prefix&gt;see &lt;/Prefix&gt;&lt;Pages&gt;73&lt;/Pages&gt;&lt;DisplayText&gt;(see Nagy 1979, 73)&lt;/DisplayText&gt;&lt;record&gt;&lt;rec-number&gt;12&lt;/rec-number&gt;&lt;foreign-keys&gt;&lt;key app="EN" db-id="9a2tzx5ep0fxe2e5vwcv0a5uvd2ad0fzs05v" timestamp="1600000000"&gt;12&lt;/key&gt;&lt;/foreign-keys&gt;&lt;re</w:instrText>
      </w:r>
      <w:r>
        <w:instrText xml:space="preserve">f-type name="Book"&gt;6&lt;/ref-type&gt;&lt;contributors&gt;&lt;authors&gt;&lt;author&gt;Nagy, Gregory&lt;/author&gt;&lt;/authors&gt;&lt;/contributors&gt;&lt;titles&gt;&lt;title&gt;The Best of the Achaeans&lt;/title&gt;&lt;/titles&gt;&lt;dates&gt;&lt;year&gt;1979&lt;/year&gt;&lt;/dates&gt;&lt;pub-location&gt;Baltimore&lt;/pub-location&gt;&lt;publisher&gt;Johns Hopkins University Press&lt;/publisher&gt;&lt;urls&gt;&lt;/urls&gt;&lt;/record&gt;&lt;/Cite&gt;&lt;/EndNote&gt; </w:instrText>
      </w:r>
      <w:r>
        <w:fldChar w:fldCharType="separate"/>
      </w:r>
      <w:r>
        <w:t xml:space="preserve">(see Nagy 1979, 73)</w:t>
      </w:r>
      <w:r>
        <w:fldChar w:fldCharType="end"/>
      </w:r>
      <w:r>
        <w:t xml:space="preserve">, as is often said.</w:t>
      </w:r>
    </w:p>
    <w:p>
      <w:pPr>
        <w:pStyle w:val="Normal"/>
        <w:bidi w:val="0"/>
        <w:rPr/>
      </w:pPr>
      <w:r>
        <w:t xml:space="preserve">Much is written of it (see Nagy 1979, chap. 2; West 1988; 1960, 12 and elsewhere). The singer </w:t>
      </w:r>
      <w:r>
        <w:fldChar w:fldCharType="begin">
          <w:fldData xml:space="preserve">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</w:fldData>
        </w:fldChar>
      </w:r>
      <w:r>
        <w:instrText xml:space="preserve"> ADDIN EN.CITE </w:instrText>
      </w:r>
      <w:r>
        <w:fldChar w:fldCharType="begin">
          <w:fldData xml:space="preserve">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(Lord, </w:t>
      </w:r>
      <w:r>
        <w:rPr>
          <w:i/>
          <w:iCs/>
        </w:rPr>
        <w:t xml:space="preserve">The Singer of Tales</w:t>
      </w:r>
      <w:r>
        <w:t xml:space="preserve">, 12)</w:t>
      </w:r>
      <w:r>
        <w:fldChar w:fldCharType="end"/>
      </w:r>
      <w:r>
        <w:t xml:space="preserve"> is another matter.</w:t>
      </w:r>
    </w:p>
    <w:p>
      <w:pPr>
        <w:pStyle w:val="Normal"/>
        <w:bidi w:val="0"/>
        <w:rPr/>
      </w:pPr>
      <w:r>
        <w:rPr/>
        <w:t>Not all agree.</w:t>
      </w:r>
      <w:r>
        <w:rPr>
          <w:rStyle w:val="FootnoteReference"/>
        </w:rPr>
        <w:footnoteReference w:id="2"/>
      </w:r>
      <w:r>
        <w:rPr/>
        <w:t xml:space="preserve"> And so it stands.</w:t>
      </w:r>
    </w:p>
    <w:p>
      <w:pPr>
        <w:pStyle w:val="Heading1"/>
        <w:bidi w:val="0"/>
        <w:ind w:hanging="0" w:start="0"/>
        <w:rPr/>
      </w:pPr>
      <w:r>
        <w:rPr/>
        <w:t>Works</w:t>
      </w:r>
    </w:p>
    <w:p>
      <w:pPr>
        <w:pStyle w:val="Bibliography1"/>
        <w:bidi w:val="0"/>
        <w:rPr/>
      </w:pPr>
      <w:r>
        <w:rPr/>
        <w:t xml:space="preserve">Lord, Albert B. 1960. </w:t>
      </w:r>
      <w:r>
        <w:rPr>
          <w:i/>
        </w:rPr>
        <w:t>The Singer of Tales</w:t>
      </w:r>
      <w:r>
        <w:rPr/>
        <w:t>. Cambridge, Mass.: Harvard University Press.</w:t>
      </w:r>
    </w:p>
    <w:p>
      <w:pPr>
        <w:pStyle w:val="Bibliography1"/>
        <w:bidi w:val="0"/>
        <w:rPr/>
      </w:pPr>
      <w:r>
        <w:rPr/>
        <w:t xml:space="preserve">Nagy, Gregory. 1979. </w:t>
      </w:r>
      <w:r>
        <w:rPr>
          <w:i/>
        </w:rPr>
        <w:t>The Best of the Achaeans: Concepts of the Hero in Archaic Greek Poetry</w:t>
      </w:r>
      <w:r>
        <w:rPr/>
        <w:t>. Baltimore: Johns Hopkins University Press.</w:t>
      </w:r>
    </w:p>
    <w:p>
      <w:pPr>
        <w:pStyle w:val="Bibliography1"/>
        <w:bidi w:val="0"/>
        <w:rPr/>
      </w:pPr>
      <w:r>
        <w:rPr/>
        <w:t xml:space="preserve">West, M. L. 1988. ‘The Rise of the Greek Epic’. </w:t>
      </w:r>
      <w:r>
        <w:rPr>
          <w:i/>
        </w:rPr>
        <w:t>The Journal of Hellenic Studies</w:t>
      </w:r>
      <w:r>
        <w:rPr/>
        <w:t xml:space="preserve"> 108: 151–72.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rPr/>
        <w:t xml:space="preserve">See Nagy, </w:t>
      </w:r>
      <w:r>
        <w:rPr>
          <w:i/>
        </w:rPr>
        <w:t>The Best of the Achaeans</w:t>
      </w:r>
      <w:r>
        <w:rPr/>
        <w:t>, 73; but he says otherwise elsewhere.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nb-NO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Bibliography1">
    <w:name w:val="Bibliography 1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Emil Berge</dc:creator>
  <dc:description/>
  <dc:language>nb-NO</dc:language>
  <cp:lastModifiedBy/>
  <cp:revision>0</cp:revision>
  <dc:subject/>
  <dc:title>The wrath, cited</dc:title>
</cp:coreProperties>
</file>