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TFE · Business Analytics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2C2A"/>
          <w:sz w:val="48"/>
          <w:szCs w:val="48"/>
        </w:rPr>
        <w:t xml:space="preserve">Pla de treball i passos a seguir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Supervivència en desastres marítims: del Titanic al Sewol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 persones  ·  ~30 hores  ·  Lliurament en 2–4 setmanes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1. Context i problema de negoci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treball parteix de la competició del Titanic a Kaggle i la complementa amb un cas real més recent, el naufragi del MV Sewol (Corea del Sud, 2014), per validar si els patrons trobats es mantenen en un context modern.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Pregunta de recerca:</w:t>
      </w:r>
    </w:p>
    <w:p>
      <w:pPr>
        <w:pBdr>
          <w:left w:val="single" w:color="0F6E56" w:sz="6" w:space="10"/>
        </w:pBdr>
        <w:spacing w:after="100" w:before="100"/>
        <w:ind w:left="4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«Quins factors determinen la probabilitat de supervivència en un desastre marítim i com poden utilitzar-se per millorar la gestió d'evacuacions?»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Datasets principals: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Titanic (Kaggle) — 891 passatgers etiquetats, variables: classe, gènere, edat, tarifa, cabina, port d'embarcament.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 Sewol (Kaggle) — dataset públic amb informació individual de passatgers del ferry coreà enfonsat el 2014.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(Opcional) Maritime Disasters s.XX (Kaggle) — per contextualitzar visualment a Power BI.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2. Divisió de feina i responsabilitats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Persona 1 — Dades + EDA</w:t>
            </w:r>
          </w:p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~10 hores  ·  Setmana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Objectiu: entregar un CSV net i ben documentat que Persona 2 pugui usar directament.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Tasca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Descarregar datasets Titanic i Sewol de Kaggle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Kaggle.com /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Explorar estructura de cada dataset (columnes, nulls, tipus)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Neteja: imputar nuls (edat mediana, embarcament moda), eliminar duplicats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Harmonitzar columnes entre Titanic i Sewol (gènere, edat, supervivència)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visual: distribucions, correlacions, supervivència per grup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seaborn / matplotlib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 CSV net + notebook documentat per a P2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Estadística descriptiva bàsica (mitjanes, taxes de supervivència per grup)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Entregable: titanic_clean.csv + sewol_clean.csv + notebook EDA.ipynb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EEDF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Persona 2 — Model de Machine Learning</w:t>
            </w:r>
          </w:p>
          <w:p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~10 hores  ·  Setmana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Objectiu: construir un model predictiu interpretable i validar-lo al Sewol.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Tasca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Preparar features per al model (encoding, escalat)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base: Logistic Regression (benchmark)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Forest + GridSearchCV per optimitzar hiperparàmetres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Avaluació: accuracy, ROC-AUC, matriu de confusió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SHAP values per explicar quins factors influeixen més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shap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Validació creuada: aplicar el model Titanic al dataset Sewol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· 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resultats i preparar dades per a Power BI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C3489"/>
          <w:sz w:val="22"/>
          <w:szCs w:val="22"/>
        </w:rPr>
        <w:t xml:space="preserve">Entregable: model_ml.ipynb + resultats_model.csv (probabilitats per passatger)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AECE7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Persona 3 — Visualització + Memòria</w:t>
            </w:r>
          </w:p>
          <w:p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~10 hores  ·  Setmanes 3–4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Objectiu: construir un dashboard narratiu i redactar la memòria final del TFE.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560"/>
        <w:gridCol w:w="12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Tasca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Importar resultats_model.csv a Power BI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Titanic: taxa de supervivència per classe, gènere i edat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Pàgina comparativa Titanic vs Sewol: canvien els patrons?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Visualitzar importància de variables (SHAP) al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Narrativa: orientar el dashboard a un gestor d'emergències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Redacció memòria: introducció, metodologia, resultats, conclusions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/ Google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Revisió conjunta i preparació presentació final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Entregable: dashboard_tfe.pbix + memoria_tfe.docx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3. Seqüència temporal recomanada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6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Setmana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Tasca principal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Setmana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Dades + EDA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net i notebook EDA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Setmana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(+ P1 suport)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ML + validació Sewol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 model + resultats 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Setmana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(+ P2 suport)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Power BI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Fitxer .pbix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Setmana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+ equip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Memòria + presentació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Memòria final + slides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Clau de traspàs: P1 → P2 (CSV net al final de la setmana 1) · P2 → P3 (resultats CSV al final de la setmana 2).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4. Stack tecnològic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Eina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a què s'utilitza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(pandas, matplotlib, seaborn)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EDA, neteja de dades, estadística descriptiva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(scikit-learn)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Preprocessing, Logistic Regression, Random Forest, GridSearchCV, mètriques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(shap)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Interpretabilitat del model (SHAP values)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Entorn de treball per a P1 i P2; permet combinar codi i explicació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interactiu per a P3 (gratuït, descarregable)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Kaggle.com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Descàrrega dels datasets (Titanic i Sewol)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/ Google Docs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Redacció de la memòria final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5. Consells pràctics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cal arribar al 90% d'accuracy. Amb un Random Forest ben explicat via SHAP i una validació al Sewol, el treball ja té un nivell excel·lent per a un postgrau.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punt diferencial del treball és la comparativa Titanic vs Sewol. Dediqueu temps de qualitat a les pàgines de Power BI on es mostra si els patrons canvien (gènere, classe social).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Documenteu el codi mentre l'escriviu. La memòria final s'escriurà molt més ràpid si els notebooks ja expliquen cada pas.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Reunió d'equip al final de cada setmana (30 min) per resoldre bloquejos i fer el traspàs de fitxers.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dataset Sewol té menys variables que el Titanic, centreu la comparativa en les comunes: gènere, edat i supervivència. No cal forçar una comparació perfecta.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2C2C2A"/>
        </w:rPr>
        <w:t xml:space="preserve">6. Estructura recomanada de la memòria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Introducció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Problema de negoci, objectius,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Estat de l'art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Estudis previs sobre Titanic i gestió d'evacuacions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Metodologia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Procés ETL, elecció del model, mètriques d'avaluació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Resultats EDA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Principals insights de l'anàlisi exploratòria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Model 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Rendiment, SHAP values, factors clau de supervivència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Comparativa Titanic vs Sewol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 mantenen els patrons? Diferències clau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Conclusions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a la pregunta de recerca, limitacions, línies futures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Annexos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Notebooks Python, codi complet, fonts dels datasets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TFE Business Analytics  ·  Pàg.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2026-05-03T18:59:18.960Z</dcterms:created>
  <dcterms:modified xsi:type="dcterms:W3CDTF">2026-05-03T18:59:18.960Z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